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464"/>
          <w:sz w:val="18"/>
        </w:rPr>
        <w:t>PRIVILEGED &amp; CONFIDENTIAL — ATTORNEY WORK PRODUCT</w:t>
      </w:r>
    </w:p>
    <w:p>
      <w:pPr>
        <w:pStyle w:val="Title"/>
        <w:jc w:val="center"/>
      </w:pPr>
      <w:r>
        <w:t>Privilege Log Defensibility</w:t>
        <w:br/>
        <w:t>Categorized Assessment</w:t>
      </w:r>
    </w:p>
    <w:p>
      <w:pPr>
        <w:jc w:val="center"/>
      </w:pPr>
      <w:r>
        <w:rPr>
          <w:b/>
          <w:sz w:val="20"/>
        </w:rPr>
        <w:t>Thornfield Industries, Inc.  |  Meridian Environmental Coalition et al. v. Thornfield Industries, Inc. et al.</w:t>
      </w:r>
    </w:p>
    <w:p>
      <w:pPr>
        <w:jc w:val="center"/>
      </w:pPr>
      <w:r>
        <w:rPr>
          <w:sz w:val="18"/>
        </w:rPr>
        <w:t>Prepared April 26, 2026  •  Review of 98 log entries and supplied sample documents</w:t>
      </w:r>
    </w:p>
    <w:p>
      <w:pPr>
        <w:pStyle w:val="Heading1"/>
      </w:pPr>
      <w:r>
        <w:t>Executive assessment</w:t>
      </w:r>
    </w:p>
    <w:p>
      <w:pPr>
        <w:spacing w:after="80"/>
      </w:pPr>
      <w:r>
        <w:rPr>
          <w:b w:val="0"/>
          <w:i w:val="0"/>
        </w:rPr>
        <w:t>The log is materially overinclusive. The strongest systemic defects are (1) claims for communications involving Margaret Langford before March 15, 2019, when she was a business/regulatory executive and not Thornfield’s lawyer; (2) claims for ordinary-course environmental audits, sampling and operating/business records prepared by Graystone under its routine services agreement; (3) claims for lobbying and regulatory-affairs communications by Teresa Molina, a nonlawyer; and (4) communications shared outside Thornfield’s direct counsel circle, including a likely waiver to Graystone, high-risk pre-JDA exchanges with Garfield’s counsel, an insurance broker, and NJDEP. Labels such as “privileged,” “confidential,” or “work product” do not cure these defects.</w:t>
      </w:r>
    </w:p>
    <w:p>
      <w:pPr>
        <w:spacing w:after="80"/>
      </w:pPr>
      <w:r>
        <w:rPr>
          <w:b w:val="0"/>
          <w:i w:val="0"/>
        </w:rPr>
        <w:t>At the same time, the descriptions for most post-engagement counsel communications, internal legal advice, legal research, and litigation strategy are facially supportable. Several need document-level narrowing because ordinary business facts, source data, attachments, raw financial records, filed pleadings, and testifying-expert materials are not protected merely because they appear in a legal communication or litigation file.</w:t>
      </w:r>
    </w:p>
    <w:p>
      <w:pPr>
        <w:spacing w:after="80"/>
      </w:pPr>
      <w:r>
        <w:rPr>
          <w:b w:val="0"/>
          <w:i w:val="0"/>
        </w:rPr>
        <w:t>No production history or evidence that a disclosure was inadvertent was supplied. Accordingly, this review identifies conditional Rule 502 clawback candidates if a defensibly privileged item was inadvertently produced to an adversary; it does not identify a confirmed clawback event. Known voluntary third-party disclosures should not be presented as inadvertent clawback claims on the current record.</w:t>
      </w:r>
    </w:p>
    <w:p>
      <w:pPr>
        <w:pStyle w:val="Heading1"/>
      </w:pPr>
      <w:r>
        <w:t>Bottom line by category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vAlign w:val="top"/>
            <w:shd w:fill="17365D"/>
          </w:tcPr>
          <w:p>
            <w:pPr>
              <w:spacing w:after="0" w:before="0"/>
            </w:pPr>
            <w:r/>
            <w:r>
              <w:rPr>
                <w:rFonts w:ascii="Aptos" w:hAnsi="Aptos"/>
                <w:b/>
                <w:color w:val="FFFFFF"/>
                <w:sz w:val="17"/>
              </w:rPr>
              <w:t>Category</w:t>
            </w:r>
          </w:p>
        </w:tc>
        <w:tc>
          <w:tcPr>
            <w:tcW w:type="dxa" w:w="3240"/>
            <w:vAlign w:val="top"/>
            <w:shd w:fill="17365D"/>
          </w:tcPr>
          <w:p>
            <w:pPr>
              <w:spacing w:after="0" w:before="0"/>
            </w:pPr>
            <w:r/>
            <w:r>
              <w:rPr>
                <w:rFonts w:ascii="Aptos" w:hAnsi="Aptos"/>
                <w:b/>
                <w:color w:val="FFFFFF"/>
                <w:sz w:val="17"/>
              </w:rPr>
              <w:t>Entries / sources</w:t>
            </w:r>
          </w:p>
        </w:tc>
        <w:tc>
          <w:tcPr>
            <w:tcW w:type="dxa" w:w="6336"/>
            <w:vAlign w:val="top"/>
            <w:shd w:fill="17365D"/>
          </w:tcPr>
          <w:p>
            <w:pPr>
              <w:spacing w:after="0" w:before="0"/>
            </w:pPr>
            <w:r/>
            <w:r>
              <w:rPr>
                <w:rFonts w:ascii="Aptos" w:hAnsi="Aptos"/>
                <w:b/>
                <w:color w:val="FFFFFF"/>
                <w:sz w:val="17"/>
              </w:rPr>
              <w:t>Assessment</w:t>
            </w:r>
          </w:p>
        </w:tc>
      </w:tr>
      <w:tr>
        <w:trPr>
          <w:cantSplit/>
        </w:trPr>
        <w:tc>
          <w:tcPr>
            <w:tcW w:type="dxa" w:w="2232"/>
            <w:vAlign w:val="top"/>
            <w:shd w:fill="F2F6FA"/>
          </w:tcPr>
          <w:p>
            <w:pPr>
              <w:spacing w:after="0" w:before="0"/>
            </w:pPr>
            <w:r/>
            <w:r>
              <w:rPr>
                <w:rFonts w:ascii="Aptos" w:hAnsi="Aptos"/>
                <w:b w:val="0"/>
                <w:color w:val="000000"/>
                <w:sz w:val="17"/>
              </w:rPr>
              <w:t>Not defensible / produce</w:t>
            </w:r>
          </w:p>
        </w:tc>
        <w:tc>
          <w:tcPr>
            <w:tcW w:type="dxa" w:w="3240"/>
            <w:vAlign w:val="top"/>
            <w:shd w:fill="F2F6FA"/>
          </w:tcPr>
          <w:p>
            <w:pPr>
              <w:spacing w:after="0" w:before="0"/>
            </w:pPr>
            <w:r/>
            <w:r>
              <w:rPr>
                <w:rFonts w:ascii="Aptos" w:hAnsi="Aptos"/>
                <w:b w:val="0"/>
                <w:color w:val="000000"/>
                <w:sz w:val="17"/>
              </w:rPr>
              <w:t>Entries 1, 3–11, 24, 31, 33, 55, 58, 67, 89, 96</w:t>
            </w:r>
          </w:p>
        </w:tc>
        <w:tc>
          <w:tcPr>
            <w:tcW w:type="dxa" w:w="6336"/>
            <w:vAlign w:val="top"/>
            <w:shd w:fill="F2F6FA"/>
          </w:tcPr>
          <w:p>
            <w:pPr>
              <w:spacing w:after="0" w:before="0"/>
            </w:pPr>
            <w:r/>
            <w:r>
              <w:rPr>
                <w:rFonts w:ascii="Aptos" w:hAnsi="Aptos"/>
                <w:b w:val="0"/>
                <w:color w:val="000000"/>
                <w:sz w:val="17"/>
              </w:rPr>
              <w:t>Pre-GC business/regulatory communications; pre-engagement capabilities materials; routine consultant audits/reports; Molina lobbying/regulatory affairs; finance and operations communications.</w:t>
            </w:r>
          </w:p>
        </w:tc>
      </w:tr>
      <w:tr>
        <w:trPr>
          <w:cantSplit/>
        </w:trPr>
        <w:tc>
          <w:tcPr>
            <w:tcW w:type="dxa" w:w="2232"/>
            <w:vAlign w:val="top"/>
          </w:tcPr>
          <w:p>
            <w:pPr>
              <w:spacing w:after="0" w:before="0"/>
            </w:pPr>
            <w:r/>
            <w:r>
              <w:rPr>
                <w:rFonts w:ascii="Aptos" w:hAnsi="Aptos"/>
                <w:b w:val="0"/>
                <w:color w:val="000000"/>
                <w:sz w:val="17"/>
              </w:rPr>
              <w:t>Waiver / high-risk common-interest issues</w:t>
            </w:r>
          </w:p>
        </w:tc>
        <w:tc>
          <w:tcPr>
            <w:tcW w:type="dxa" w:w="3240"/>
            <w:vAlign w:val="top"/>
          </w:tcPr>
          <w:p>
            <w:pPr>
              <w:spacing w:after="0" w:before="0"/>
            </w:pPr>
            <w:r/>
            <w:r>
              <w:rPr>
                <w:rFonts w:ascii="Aptos" w:hAnsi="Aptos"/>
                <w:b w:val="0"/>
                <w:color w:val="000000"/>
                <w:sz w:val="17"/>
              </w:rPr>
              <w:t>Entry 78; Entries 85 and 91 (conditional); sample-doc-102; sample-doc-119</w:t>
            </w:r>
          </w:p>
        </w:tc>
        <w:tc>
          <w:tcPr>
            <w:tcW w:type="dxa" w:w="6336"/>
            <w:vAlign w:val="top"/>
          </w:tcPr>
          <w:p>
            <w:pPr>
              <w:spacing w:after="0" w:before="0"/>
            </w:pPr>
            <w:r/>
            <w:r>
              <w:rPr>
                <w:rFonts w:ascii="Aptos" w:hAnsi="Aptos"/>
                <w:b w:val="0"/>
                <w:color w:val="000000"/>
                <w:sz w:val="17"/>
              </w:rPr>
              <w:t>Graystone, broker and NJDEP disclosures create substantial waiver risk. Garfield pre-JDA exchanges are not retroactively covered by the later agreement; an independent common-interest argument may exist but requires contemporaneous proof.</w:t>
            </w:r>
          </w:p>
        </w:tc>
      </w:tr>
      <w:tr>
        <w:trPr>
          <w:cantSplit/>
        </w:trPr>
        <w:tc>
          <w:tcPr>
            <w:tcW w:type="dxa" w:w="2232"/>
            <w:vAlign w:val="top"/>
            <w:shd w:fill="F2F6FA"/>
          </w:tcPr>
          <w:p>
            <w:pPr>
              <w:spacing w:after="0" w:before="0"/>
            </w:pPr>
            <w:r/>
            <w:r>
              <w:rPr>
                <w:rFonts w:ascii="Aptos" w:hAnsi="Aptos"/>
                <w:b w:val="0"/>
                <w:color w:val="000000"/>
                <w:sz w:val="17"/>
              </w:rPr>
              <w:t>Narrow, segregate, or verify before asserting</w:t>
            </w:r>
          </w:p>
        </w:tc>
        <w:tc>
          <w:tcPr>
            <w:tcW w:type="dxa" w:w="3240"/>
            <w:vAlign w:val="top"/>
            <w:shd w:fill="F2F6FA"/>
          </w:tcPr>
          <w:p>
            <w:pPr>
              <w:spacing w:after="0" w:before="0"/>
            </w:pPr>
            <w:r/>
            <w:r>
              <w:rPr>
                <w:rFonts w:ascii="Aptos" w:hAnsi="Aptos"/>
                <w:b w:val="0"/>
                <w:color w:val="000000"/>
                <w:sz w:val="17"/>
              </w:rPr>
              <w:t>Entries 2, 12–19, 21, 25, 27, 38, 40, 43–44, 48, 50, 53, 60–61, 64, 68, 72, 75–76, 81, 87, 90, 93–94, 97–98</w:t>
            </w:r>
          </w:p>
        </w:tc>
        <w:tc>
          <w:tcPr>
            <w:tcW w:type="dxa" w:w="6336"/>
            <w:vAlign w:val="top"/>
            <w:shd w:fill="F2F6FA"/>
          </w:tcPr>
          <w:p>
            <w:pPr>
              <w:spacing w:after="0" w:before="0"/>
            </w:pPr>
            <w:r/>
            <w:r>
              <w:rPr>
                <w:rFonts w:ascii="Aptos" w:hAnsi="Aptos"/>
                <w:b w:val="0"/>
                <w:color w:val="000000"/>
                <w:sz w:val="17"/>
              </w:rPr>
              <w:t>Legal advice may be protected, but the claim must be limited to counsel’s analysis and confidential request/response; independently existing facts, data, records, business material, public filings and expert disclosures remain producible. Specific sample/log date mismatches require reconciliation.</w:t>
            </w:r>
          </w:p>
        </w:tc>
      </w:tr>
      <w:tr>
        <w:trPr>
          <w:cantSplit/>
        </w:trPr>
        <w:tc>
          <w:tcPr>
            <w:tcW w:type="dxa" w:w="2232"/>
            <w:vAlign w:val="top"/>
          </w:tcPr>
          <w:p>
            <w:pPr>
              <w:spacing w:after="0" w:before="0"/>
            </w:pPr>
            <w:r/>
            <w:r>
              <w:rPr>
                <w:rFonts w:ascii="Aptos" w:hAnsi="Aptos"/>
                <w:b w:val="0"/>
                <w:color w:val="000000"/>
                <w:sz w:val="17"/>
              </w:rPr>
              <w:t>Facially defensible on present record</w:t>
            </w:r>
          </w:p>
        </w:tc>
        <w:tc>
          <w:tcPr>
            <w:tcW w:type="dxa" w:w="3240"/>
            <w:vAlign w:val="top"/>
          </w:tcPr>
          <w:p>
            <w:pPr>
              <w:spacing w:after="0" w:before="0"/>
            </w:pPr>
            <w:r/>
            <w:r>
              <w:rPr>
                <w:rFonts w:ascii="Aptos" w:hAnsi="Aptos"/>
                <w:b w:val="0"/>
                <w:color w:val="000000"/>
                <w:sz w:val="17"/>
              </w:rPr>
              <w:t>Remaining entries, subject to document-level verification</w:t>
            </w:r>
          </w:p>
        </w:tc>
        <w:tc>
          <w:tcPr>
            <w:tcW w:type="dxa" w:w="6336"/>
            <w:vAlign w:val="top"/>
          </w:tcPr>
          <w:p>
            <w:pPr>
              <w:spacing w:after="0" w:before="0"/>
            </w:pPr>
            <w:r/>
            <w:r>
              <w:rPr>
                <w:rFonts w:ascii="Aptos" w:hAnsi="Aptos"/>
                <w:b w:val="0"/>
                <w:color w:val="000000"/>
                <w:sz w:val="17"/>
              </w:rPr>
              <w:t>Outside counsel legal advice, attorney work product, draft litigation papers, research, case assessments, and legal strategy shared within Thornfield’s legal team or counsel group.</w:t>
            </w:r>
          </w:p>
        </w:tc>
      </w:tr>
    </w:tbl>
    <w:p>
      <w:pPr>
        <w:pStyle w:val="Heading1"/>
      </w:pPr>
      <w:r>
        <w:t>Key legal and factual issues requiring immediate attention</w:t>
      </w:r>
    </w:p>
    <w:p>
      <w:pPr>
        <w:spacing w:after="100"/>
      </w:pPr>
      <w:r>
        <w:rPr>
          <w:b/>
        </w:rPr>
        <w:t xml:space="preserve">Pre-GC Langford period (Entries 1, 3–6, 8–10; sample-docs 003, 005, 009). </w:t>
      </w:r>
      <w:r>
        <w:t>The organization chart expressly states that Langford served as VP of Regulatory Affairs through March 14, 2019, in a business/operational role, provided no legal advice, and was not in the legal department. Her law license or legal-sounding subject lines do not create ACP. These sampled messages are operational compliance, schedules, audits, and budget action items.</w:t>
      </w:r>
    </w:p>
    <w:p>
      <w:pPr>
        <w:spacing w:after="100"/>
      </w:pPr>
      <w:r>
        <w:rPr>
          <w:b/>
        </w:rPr>
        <w:t xml:space="preserve">Outside counsel pre-engagement (Entries 2, 7, 11; sample-docs 007, 011). </w:t>
      </w:r>
      <w:r>
        <w:t>CLM’s January 6, 2020 engagement letter expressly states no attorney-client relationship or legal advice before that date. The Nov.–Dec. 2019 materials are capabilities/engagement terms. Entry 2 (2017) is even less supported; any WP claim requires proof of reasonably anticipated litigation and preparation because of litigation, not a generic “potential exposure” label.</w:t>
      </w:r>
    </w:p>
    <w:p>
      <w:pPr>
        <w:spacing w:after="100"/>
      </w:pPr>
      <w:r>
        <w:rPr>
          <w:b/>
        </w:rPr>
        <w:t xml:space="preserve">Graystone ordinary-course records (Entries 33, 58, 96; sample-docs 033, 058, 096, 128). </w:t>
      </w:r>
      <w:r>
        <w:t>The reports/checklists were created under the September 1, 2018 MSA for routine annual/quarterly compliance and sampling. They predate the litigation hold and were not prepared at counsel’s direction. The reports say they are ordinary compliance materials; underlying environmental results are independently discoverable. Confidentiality is not privilege.</w:t>
      </w:r>
    </w:p>
    <w:p>
      <w:pPr>
        <w:spacing w:after="100"/>
      </w:pPr>
      <w:r>
        <w:rPr>
          <w:b/>
        </w:rPr>
        <w:t xml:space="preserve">Molina / government relations (Entries 31, 55, 89; sample-docs 031, 055, 089, 134, 141, 203). </w:t>
      </w:r>
      <w:r>
        <w:t>Molina is expressly a nonlawyer VP of Government Relations, is not legal department, and has never given legal advice. Her communications concern lobbying, agency meetings, public-policy positioning, legislative strategy, and factual meeting reports. They are not ACP.</w:t>
      </w:r>
    </w:p>
    <w:p>
      <w:pPr>
        <w:spacing w:after="100"/>
      </w:pPr>
      <w:r>
        <w:rPr>
          <w:b/>
        </w:rPr>
        <w:t xml:space="preserve">Graystone disclosure (Entry 78; sample-doc-078). </w:t>
      </w:r>
      <w:r>
        <w:t>Pruitt forwarded the Marsh/Kapadia legal exchange to Dr. Reese on June 14, 2021 and instructed him to incorporate the legal team’s views into technical modeling. Graystone was retained under a routine consulting MSA, no common-interest agreement covered Graystone, and the forwarded counsel email itself warns against third-party disclosure. The underlying exchange may have been privileged before forwarding, but the transmitted copy presents a substantial waiver problem. Do not call it an inadvertent disclosure without evidence.</w:t>
      </w:r>
    </w:p>
    <w:p>
      <w:pPr>
        <w:spacing w:after="100"/>
      </w:pPr>
      <w:r>
        <w:rPr>
          <w:b/>
        </w:rPr>
        <w:t xml:space="preserve">Garfield pre-JDA disclosures (Entries 85 and 91; sample-docs 085 and 091). </w:t>
      </w:r>
      <w:r>
        <w:t>The Thornfield–Garfield agreement is effective August 3, 2021 and expressly nonretroactive. The March 15 and May 2, 2021 samples were shared with Garfield counsel before execution; the May 2 email says the formal arrangement is still to come. The later agreement does not retroactively cover them. A common-interest doctrine may nevertheless apply without a signed agreement if a then-existing common legal defense purpose and confidentiality are established. The liability allocation discussion creates an adversity concern; these claims are high-risk/conditional, not automatically waived.</w:t>
      </w:r>
    </w:p>
    <w:p>
      <w:pPr>
        <w:spacing w:after="100"/>
      </w:pPr>
      <w:r>
        <w:rPr>
          <w:b/>
        </w:rPr>
        <w:t xml:space="preserve">Broker and NJDEP disclosure (sample-docs 102 and 119). </w:t>
      </w:r>
      <w:r>
        <w:t>Sample 102 forwards outside counsel’s litigation assessment to Ridgeline Risk Partners, an insurance broker with no common-interest agreement. Sample 119 intentionally sends Langford’s legal-risk memorandum to NJDEP, a regulator/co-plaintiff, for settlement dialogue, notwithstanding a warning in the memo not to disclose it. These are likely waivers, not Rule 502(b) inadvertent disclosures; do not pursue clawback absent facts showing mistake.</w:t>
      </w:r>
    </w:p>
    <w:p>
      <w:pPr>
        <w:spacing w:after="100"/>
      </w:pPr>
      <w:r>
        <w:rPr>
          <w:b/>
        </w:rPr>
        <w:t xml:space="preserve">Testifying expert / report (expert disclosures and sample-doc-199). </w:t>
      </w:r>
      <w:r>
        <w:t>Reese was designated as a testifying expert under Rule 26(a)(2)(B). The March 22, 2022 technical report says it was prepared at CLM’s direction but also states Reese was designated testifying expert in 2024. Testifying-expert opinions, report and facts/data considered are discoverable under Rule 26(a)(2)(B) and (b)(4)(A); attorney-expert communications receive only Rule 26(b)(4)(C)’s limited protection. The 2018–2021 routine Graystone materials are not converted into WP by later expert designation. Reconcile the report’s date/chronology and all disclosure history.</w:t>
      </w:r>
    </w:p>
    <w:p>
      <w:pPr>
        <w:spacing w:after="100"/>
      </w:pPr>
      <w:r>
        <w:rPr>
          <w:b/>
        </w:rPr>
        <w:t xml:space="preserve">Mixed business emails (Entry 44; sample-docs 044, 156, 158). </w:t>
      </w:r>
      <w:r>
        <w:t>The sampled Sandra Choi emails are long operational updates on production, vendors, staffing, budgets, maintenance and contracts, ending with a legal question. A short request for legal advice does not cloak the entire business email. Produce the business material and consider only a narrow redaction of the actual legal request if justified; there is no attorney response in the sample.</w:t>
      </w:r>
    </w:p>
    <w:p>
      <w:pPr>
        <w:spacing w:after="100"/>
      </w:pPr>
      <w:r>
        <w:rPr>
          <w:b/>
        </w:rPr>
        <w:t xml:space="preserve">Clawback scope (Rule 502). </w:t>
      </w:r>
      <w:r>
        <w:t>Rule 502(b) relief applies only to inadvertent disclosure where reasonable steps were taken to prevent disclosure and prompt reasonable steps were taken to rectify it. The supplied evidence shows intentional sharing in several examples, not inadvertence. The spreadsheet therefore separates potential candidates from exclusions and requires production-history verification before any clawback notice.</w:t>
      </w:r>
    </w:p>
    <w:p>
      <w:pPr>
        <w:pStyle w:val="Heading1"/>
      </w:pPr>
      <w:r>
        <w:t>Sample documents outside the supplied 98-entry log</w:t>
      </w:r>
    </w:p>
    <w:p>
      <w:pPr>
        <w:spacing w:after="80"/>
      </w:pPr>
      <w:r>
        <w:rPr>
          <w:b w:val="0"/>
          <w:i w:val="0"/>
        </w:rPr>
        <w:t>Several supplied samples appear to be additional or later Bates documents not accounted for in the log provided (which ends at TF-PRIV-000790). They should be mapped to a supplemental log or confirmed as outside the production universe. The workbook’s “Additional Samples” tab records each sample separately, including a recommended classification and action. Particularly urgent unmatched samples are: sample-doc-102 (broker disclosure), sample-doc-119 (NJDEP disclosure), sample-doc-199 (testifying expert report), and sample-doc-162 (planned public press release).</w:t>
      </w:r>
    </w:p>
    <w:p>
      <w:pPr>
        <w:spacing w:after="80"/>
      </w:pPr>
      <w:r>
        <w:rPr>
          <w:b w:val="0"/>
          <w:i w:val="0"/>
        </w:rPr>
        <w:t>Additional reconciliation flags: sample-doc-025 is dated April 10, 2019 and appears to be a separate 2019 legal-advice communication, not Entry 25’s April 10, 2020 communication; sample-doc-093 is dated April 14, 2021 while Entry 93 is dated May 15, 2021; sample-doc-076 content concerns later review planning despite Entry 76’s December 2020 date. Confirm originals, Bates, versions, metadata, recipients and whether the wrong sample was supplied before finalizing those claims.</w:t>
      </w:r>
    </w:p>
    <w:p>
      <w:pPr>
        <w:pStyle w:val="Heading1"/>
      </w:pPr>
      <w:r>
        <w:t>Recommended actions</w:t>
      </w:r>
    </w:p>
    <w:p>
      <w:pPr>
        <w:pStyle w:val="ListBullet"/>
        <w:spacing w:after="40"/>
      </w:pPr>
      <w:r>
        <w:t>Immediately remove or narrow entries identified as not defensible; produce routine audit, sampling, business, finance, lobbying and pre-engagement materials subject to other applicable objections and redactions.</w:t>
      </w:r>
    </w:p>
    <w:p>
      <w:pPr>
        <w:pStyle w:val="ListBullet"/>
        <w:spacing w:after="40"/>
      </w:pPr>
      <w:r>
        <w:t>For partial claims, separate legal analysis from attachments, raw sampling results, manifests, contracts, underlying financial records, public filings, hold notices, and purely administrative/logistical content. Do not use privilege to withhold facts simply because they were communicated to counsel.</w:t>
      </w:r>
    </w:p>
    <w:p>
      <w:pPr>
        <w:pStyle w:val="ListBullet"/>
        <w:spacing w:after="40"/>
      </w:pPr>
      <w:r>
        <w:t>Conduct a targeted disclosure audit for Entries 78, 85 and 91 and unmatched samples 102 and 119; identify who received each item, when, whether it was further shared, whether confidentiality was intended/maintained, and whether any production to an adversary was inadvertent. Preserve the email headers and transmission evidence.</w:t>
      </w:r>
    </w:p>
    <w:p>
      <w:pPr>
        <w:pStyle w:val="ListBullet"/>
        <w:spacing w:after="40"/>
      </w:pPr>
      <w:r>
        <w:t>Confirm the Pacific Mutual common-interest agreement’s April 22, 2020 effective date and scope. It does not cover pre-effective communications, pure claims handling/business communications, Ridgeline, Graystone, regulators, or Garfield. Confirm the August 3, 2021 Garfield agreement’s prospective-only terms.</w:t>
      </w:r>
    </w:p>
    <w:p>
      <w:pPr>
        <w:pStyle w:val="ListBullet"/>
        <w:spacing w:after="40"/>
      </w:pPr>
      <w:r>
        <w:t>For any candidate already produced to an adversary, assess Rule 502(b) factors promptly, provide notice, seek clawback only where disclosure was inadvertent and reasonable precautions/rectification are supportable, and separately evaluate subject-matter waiver under Rule 502(a).</w:t>
      </w:r>
    </w:p>
    <w:p>
      <w:pPr>
        <w:pStyle w:val="ListBullet"/>
        <w:spacing w:after="40"/>
      </w:pPr>
      <w:r>
        <w:t>Prepare a supplemental log for unmatched sample documents and correct all date/Bates inconsistencies. Ensure sampled unlogged documents, attachments, and later expert disclosures are traceable to the production set.</w:t>
      </w:r>
    </w:p>
    <w:p>
      <w:pPr>
        <w:pStyle w:val="ListBullet"/>
        <w:spacing w:after="40"/>
      </w:pPr>
      <w:r>
        <w:t>Apply Rule 26 expert-discovery rules to Reese: deliver the required testifying report, opinions and facts/data considered; preserve only distinct counsel mental impressions and communications within applicable Rule 26(b)(4)(C) limits.</w:t>
      </w:r>
    </w:p>
    <w:p>
      <w:pPr>
        <w:pStyle w:val="Heading1"/>
      </w:pPr>
      <w:r>
        <w:t>Standards applied / limitations</w:t>
      </w:r>
    </w:p>
    <w:p>
      <w:pPr>
        <w:spacing w:after="80"/>
      </w:pPr>
      <w:r>
        <w:rPr>
          <w:b w:val="0"/>
          <w:i w:val="0"/>
        </w:rPr>
        <w:t>Attorney-client privilege protects confidential communications made for the purpose of obtaining or providing legal advice, not the underlying facts. Corporate communications are assessed by function and purpose (Upjohn Co. v. United States, 449 U.S. 383 (1981)). Work product protects materials prepared because of anticipated litigation, not records created in the ordinary course (Fed. R. Civ. P. 26(b)(3); Hickman v. Taylor, 329 U.S. 495 (1947)). Common interest is a nonwaiver principle for otherwise privileged communications shared to further a common legal interest; it does not create privilege and does not ordinarily cover business interests (In re Teleglobe Communications Corp., 493 F.3d 345 (3d Cir. 2007)). Agreements are evidence of intent/scope but do not create privilege, cure disclosure to outsiders, or operate retroactively where they say otherwise. Testifying expert discovery is governed by Fed. R. Civ. P. 26(a)(2) and 26(b)(4).</w:t>
      </w:r>
    </w:p>
    <w:p>
      <w:pPr>
        <w:spacing w:after="80"/>
      </w:pPr>
      <w:r>
        <w:rPr>
          <w:b w:val="0"/>
          <w:i/>
        </w:rPr>
        <w:t>This assessment is preliminary and based on the supplied log, organizational chart, agreements, engagement letter, expert disclosure and sample documents. Many entries were assessed from log descriptions only; “defensible” means facially supportable, not a final determination without examining the complete communication, attachments, metadata, confidentiality, distribution, and production history. No independent investigation of applicable protective orders or court rulings was provided.</w:t>
      </w:r>
    </w:p>
    <w:p>
      <w:pPr>
        <w:sectPr>
          <w:headerReference w:type="default" r:id="rId9"/>
          <w:footerReference w:type="default" r:id="rId10"/>
          <w:pgSz w:w="12240" w:h="15840"/>
          <w:pgMar w:top="979" w:right="1123" w:bottom="979" w:left="1123" w:header="720" w:footer="720" w:gutter="0"/>
          <w:cols w:space="720"/>
          <w:docGrid w:linePitch="360"/>
        </w:sectPr>
      </w:pPr>
    </w:p>
    <w:p>
      <w:pPr>
        <w:pStyle w:val="Heading1"/>
      </w:pPr>
      <w:r>
        <w:t>Appendix A — Entry-by-entry assessment of all 98 claims</w:t>
      </w:r>
    </w:p>
    <w:p>
      <w:pPr>
        <w:spacing w:after="80"/>
      </w:pPr>
      <w:r>
        <w:rPr>
          <w:b w:val="0"/>
          <w:i/>
        </w:rPr>
        <w:t>“Defensible” and “narrow/conditional” conclusions are provisional where no matching full sample was supplied. Entries marked not defensible or likely waived should be removed from the log or revised to the actual, narrower basis if supportable.</w:t>
      </w:r>
    </w:p>
    <w:tbl>
      <w:tblPr>
        <w:tblStyle w:val="TableGrid"/>
        <w:tblW w:type="auto" w:w="0"/>
        <w:jc w:val="center"/>
        <w:tblLook w:firstColumn="1" w:firstRow="1" w:lastColumn="0" w:lastRow="0" w:noHBand="0" w:noVBand="1" w:val="04A0"/>
      </w:tblPr>
      <w:tblGrid>
        <w:gridCol w:w="3657"/>
        <w:gridCol w:w="3657"/>
        <w:gridCol w:w="3657"/>
        <w:gridCol w:w="3657"/>
      </w:tblGrid>
      <w:tr>
        <w:trPr>
          <w:tblHeader w:val="true"/>
        </w:trPr>
        <w:tc>
          <w:tcPr>
            <w:tcW w:type="dxa" w:w="648"/>
            <w:vAlign w:val="top"/>
            <w:shd w:fill="17365D"/>
          </w:tcPr>
          <w:p>
            <w:pPr>
              <w:spacing w:after="0" w:before="0"/>
            </w:pPr>
            <w:r/>
            <w:r>
              <w:rPr>
                <w:rFonts w:ascii="Aptos" w:hAnsi="Aptos"/>
                <w:b/>
                <w:color w:val="FFFFFF"/>
                <w:sz w:val="14"/>
              </w:rPr>
              <w:t>Entry</w:t>
            </w:r>
          </w:p>
        </w:tc>
        <w:tc>
          <w:tcPr>
            <w:tcW w:type="dxa" w:w="2131"/>
            <w:vAlign w:val="top"/>
            <w:shd w:fill="17365D"/>
          </w:tcPr>
          <w:p>
            <w:pPr>
              <w:spacing w:after="0" w:before="0"/>
            </w:pPr>
            <w:r/>
            <w:r>
              <w:rPr>
                <w:rFonts w:ascii="Aptos" w:hAnsi="Aptos"/>
                <w:b/>
                <w:color w:val="FFFFFF"/>
                <w:sz w:val="14"/>
              </w:rPr>
              <w:t>Bates range</w:t>
            </w:r>
          </w:p>
        </w:tc>
        <w:tc>
          <w:tcPr>
            <w:tcW w:type="dxa" w:w="2448"/>
            <w:vAlign w:val="top"/>
            <w:shd w:fill="17365D"/>
          </w:tcPr>
          <w:p>
            <w:pPr>
              <w:spacing w:after="0" w:before="0"/>
            </w:pPr>
            <w:r/>
            <w:r>
              <w:rPr>
                <w:rFonts w:ascii="Aptos" w:hAnsi="Aptos"/>
                <w:b/>
                <w:color w:val="FFFFFF"/>
                <w:sz w:val="14"/>
              </w:rPr>
              <w:t>Category</w:t>
            </w:r>
          </w:p>
        </w:tc>
        <w:tc>
          <w:tcPr>
            <w:tcW w:type="dxa" w:w="10080"/>
            <w:vAlign w:val="top"/>
            <w:shd w:fill="17365D"/>
          </w:tcPr>
          <w:p>
            <w:pPr>
              <w:spacing w:after="0" w:before="0"/>
            </w:pPr>
            <w:r/>
            <w:r>
              <w:rPr>
                <w:rFonts w:ascii="Aptos" w:hAnsi="Aptos"/>
                <w:b/>
                <w:color w:val="FFFFFF"/>
                <w:sz w:val="14"/>
              </w:rPr>
              <w:t>Defensibility finding and action</w:t>
            </w:r>
          </w:p>
        </w:tc>
      </w:tr>
      <w:tr>
        <w:trPr>
          <w:cantSplit/>
        </w:trPr>
        <w:tc>
          <w:tcPr>
            <w:tcW w:type="dxa" w:w="648"/>
            <w:vAlign w:val="top"/>
            <w:shd w:fill="F2F6FA"/>
          </w:tcPr>
          <w:p>
            <w:pPr>
              <w:spacing w:after="0" w:before="0"/>
            </w:pPr>
            <w:r/>
            <w:r>
              <w:rPr>
                <w:rFonts w:ascii="Aptos" w:hAnsi="Aptos"/>
                <w:b w:val="0"/>
                <w:color w:val="000000"/>
                <w:sz w:val="14"/>
              </w:rPr>
              <w:t>1</w:t>
            </w:r>
          </w:p>
        </w:tc>
        <w:tc>
          <w:tcPr>
            <w:tcW w:type="dxa" w:w="2131"/>
            <w:vAlign w:val="top"/>
            <w:shd w:fill="F2F6FA"/>
          </w:tcPr>
          <w:p>
            <w:pPr>
              <w:spacing w:after="0" w:before="0"/>
            </w:pPr>
            <w:r/>
            <w:r>
              <w:rPr>
                <w:rFonts w:ascii="Aptos" w:hAnsi="Aptos"/>
                <w:b w:val="0"/>
                <w:color w:val="000000"/>
                <w:sz w:val="14"/>
              </w:rPr>
              <w:t>TF-PRIV-000001–000008</w:t>
            </w:r>
          </w:p>
        </w:tc>
        <w:tc>
          <w:tcPr>
            <w:tcW w:type="dxa" w:w="2448"/>
            <w:vAlign w:val="top"/>
            <w:shd w:fill="F2F6FA"/>
          </w:tcPr>
          <w:p>
            <w:pPr>
              <w:spacing w:after="0" w:before="0"/>
            </w:pPr>
            <w:r/>
            <w:r>
              <w:rPr>
                <w:rFonts w:ascii="Aptos" w:hAnsi="Aptos"/>
                <w:b w:val="0"/>
                <w:color w:val="000000"/>
                <w:sz w:val="14"/>
              </w:rPr>
              <w:t>Not defensible — no legal role</w:t>
            </w:r>
          </w:p>
        </w:tc>
        <w:tc>
          <w:tcPr>
            <w:tcW w:type="dxa" w:w="10080"/>
            <w:vAlign w:val="top"/>
            <w:shd w:fill="F2F6FA"/>
          </w:tcPr>
          <w:p>
            <w:pPr>
              <w:spacing w:after="0" w:before="0"/>
            </w:pPr>
            <w:r/>
            <w:r>
              <w:rPr>
                <w:rFonts w:ascii="Aptos" w:hAnsi="Aptos"/>
                <w:b w:val="0"/>
                <w:color w:val="000000"/>
                <w:sz w:val="14"/>
              </w:rPr>
              <w:t>Langford was VP of Regulatory Affairs until 2019-03-14 and the org chart expressly says she gave no legal advice in that role. Routine compliance procedures/reporting are operational. Recommended action: Produce; remove privilege designation unless independent work-product facts emerge.</w:t>
            </w:r>
          </w:p>
        </w:tc>
      </w:tr>
      <w:tr>
        <w:trPr>
          <w:cantSplit/>
        </w:trPr>
        <w:tc>
          <w:tcPr>
            <w:tcW w:type="dxa" w:w="648"/>
            <w:vAlign w:val="top"/>
          </w:tcPr>
          <w:p>
            <w:pPr>
              <w:spacing w:after="0" w:before="0"/>
            </w:pPr>
            <w:r/>
            <w:r>
              <w:rPr>
                <w:rFonts w:ascii="Aptos" w:hAnsi="Aptos"/>
                <w:b w:val="0"/>
                <w:color w:val="000000"/>
                <w:sz w:val="14"/>
              </w:rPr>
              <w:t>2</w:t>
            </w:r>
          </w:p>
        </w:tc>
        <w:tc>
          <w:tcPr>
            <w:tcW w:type="dxa" w:w="2131"/>
            <w:vAlign w:val="top"/>
          </w:tcPr>
          <w:p>
            <w:pPr>
              <w:spacing w:after="0" w:before="0"/>
            </w:pPr>
            <w:r/>
            <w:r>
              <w:rPr>
                <w:rFonts w:ascii="Aptos" w:hAnsi="Aptos"/>
                <w:b w:val="0"/>
                <w:color w:val="000000"/>
                <w:sz w:val="14"/>
              </w:rPr>
              <w:t>TF-PRIV-000009–000015</w:t>
            </w:r>
          </w:p>
        </w:tc>
        <w:tc>
          <w:tcPr>
            <w:tcW w:type="dxa" w:w="2448"/>
            <w:vAlign w:val="top"/>
          </w:tcPr>
          <w:p>
            <w:pPr>
              <w:spacing w:after="0" w:before="0"/>
            </w:pPr>
            <w:r/>
            <w:r>
              <w:rPr>
                <w:rFonts w:ascii="Aptos" w:hAnsi="Aptos"/>
                <w:b w:val="0"/>
                <w:color w:val="000000"/>
                <w:sz w:val="14"/>
              </w:rPr>
              <w:t>High-risk / unsupported on current record</w:t>
            </w:r>
          </w:p>
        </w:tc>
        <w:tc>
          <w:tcPr>
            <w:tcW w:type="dxa" w:w="10080"/>
            <w:vAlign w:val="top"/>
          </w:tcPr>
          <w:p>
            <w:pPr>
              <w:spacing w:after="0" w:before="0"/>
            </w:pPr>
            <w:r/>
            <w:r>
              <w:rPr>
                <w:rFonts w:ascii="Aptos" w:hAnsi="Aptos"/>
                <w:b w:val="0"/>
                <w:color w:val="000000"/>
                <w:sz w:val="14"/>
              </w:rPr>
              <w:t>CLM engagement letter says no attorney-client relationship before 2020-01-06 and pre-engagement discussions were capabilities/terms only. A 2017 work-product claim needs evidence litigation was reasonably anticipated and this analysis was prepared because of it. Recommended action: Withdraw ACP claim; preserve WP only if contemporaneous evidence supports anticipation and litigation purpose.</w:t>
            </w:r>
          </w:p>
        </w:tc>
      </w:tr>
      <w:tr>
        <w:trPr>
          <w:cantSplit/>
        </w:trPr>
        <w:tc>
          <w:tcPr>
            <w:tcW w:type="dxa" w:w="648"/>
            <w:vAlign w:val="top"/>
            <w:shd w:fill="F2F6FA"/>
          </w:tcPr>
          <w:p>
            <w:pPr>
              <w:spacing w:after="0" w:before="0"/>
            </w:pPr>
            <w:r/>
            <w:r>
              <w:rPr>
                <w:rFonts w:ascii="Aptos" w:hAnsi="Aptos"/>
                <w:b w:val="0"/>
                <w:color w:val="000000"/>
                <w:sz w:val="14"/>
              </w:rPr>
              <w:t>3</w:t>
            </w:r>
          </w:p>
        </w:tc>
        <w:tc>
          <w:tcPr>
            <w:tcW w:type="dxa" w:w="2131"/>
            <w:vAlign w:val="top"/>
            <w:shd w:fill="F2F6FA"/>
          </w:tcPr>
          <w:p>
            <w:pPr>
              <w:spacing w:after="0" w:before="0"/>
            </w:pPr>
            <w:r/>
            <w:r>
              <w:rPr>
                <w:rFonts w:ascii="Aptos" w:hAnsi="Aptos"/>
                <w:b w:val="0"/>
                <w:color w:val="000000"/>
                <w:sz w:val="14"/>
              </w:rPr>
              <w:t>TF-PRIV-000016–000022</w:t>
            </w:r>
          </w:p>
        </w:tc>
        <w:tc>
          <w:tcPr>
            <w:tcW w:type="dxa" w:w="2448"/>
            <w:vAlign w:val="top"/>
            <w:shd w:fill="F2F6FA"/>
          </w:tcPr>
          <w:p>
            <w:pPr>
              <w:spacing w:after="0" w:before="0"/>
            </w:pPr>
            <w:r/>
            <w:r>
              <w:rPr>
                <w:rFonts w:ascii="Aptos" w:hAnsi="Aptos"/>
                <w:b w:val="0"/>
                <w:color w:val="000000"/>
                <w:sz w:val="14"/>
              </w:rPr>
              <w:t>Not defensible — business/regulatory role</w:t>
            </w:r>
          </w:p>
        </w:tc>
        <w:tc>
          <w:tcPr>
            <w:tcW w:type="dxa" w:w="10080"/>
            <w:vAlign w:val="top"/>
            <w:shd w:fill="F2F6FA"/>
          </w:tcPr>
          <w:p>
            <w:pPr>
              <w:spacing w:after="0" w:before="0"/>
            </w:pPr>
            <w:r/>
            <w:r>
              <w:rPr>
                <w:rFonts w:ascii="Aptos" w:hAnsi="Aptos"/>
                <w:b w:val="0"/>
                <w:color w:val="000000"/>
                <w:sz w:val="14"/>
              </w:rPr>
              <w:t>Langford was VP of Regulatory Affairs, not legal department; sample is operational SOP/sampling coordination and ordinary consultant use. Recommended action: Produce; facts/data and SOP are ordinary-course materials.</w:t>
            </w:r>
          </w:p>
        </w:tc>
      </w:tr>
      <w:tr>
        <w:trPr>
          <w:cantSplit/>
        </w:trPr>
        <w:tc>
          <w:tcPr>
            <w:tcW w:type="dxa" w:w="648"/>
            <w:vAlign w:val="top"/>
          </w:tcPr>
          <w:p>
            <w:pPr>
              <w:spacing w:after="0" w:before="0"/>
            </w:pPr>
            <w:r/>
            <w:r>
              <w:rPr>
                <w:rFonts w:ascii="Aptos" w:hAnsi="Aptos"/>
                <w:b w:val="0"/>
                <w:color w:val="000000"/>
                <w:sz w:val="14"/>
              </w:rPr>
              <w:t>4</w:t>
            </w:r>
          </w:p>
        </w:tc>
        <w:tc>
          <w:tcPr>
            <w:tcW w:type="dxa" w:w="2131"/>
            <w:vAlign w:val="top"/>
          </w:tcPr>
          <w:p>
            <w:pPr>
              <w:spacing w:after="0" w:before="0"/>
            </w:pPr>
            <w:r/>
            <w:r>
              <w:rPr>
                <w:rFonts w:ascii="Aptos" w:hAnsi="Aptos"/>
                <w:b w:val="0"/>
                <w:color w:val="000000"/>
                <w:sz w:val="14"/>
              </w:rPr>
              <w:t>TF-PRIV-000023–000030</w:t>
            </w:r>
          </w:p>
        </w:tc>
        <w:tc>
          <w:tcPr>
            <w:tcW w:type="dxa" w:w="2448"/>
            <w:vAlign w:val="top"/>
          </w:tcPr>
          <w:p>
            <w:pPr>
              <w:spacing w:after="0" w:before="0"/>
            </w:pPr>
            <w:r/>
            <w:r>
              <w:rPr>
                <w:rFonts w:ascii="Aptos" w:hAnsi="Aptos"/>
                <w:b w:val="0"/>
                <w:color w:val="000000"/>
                <w:sz w:val="14"/>
              </w:rPr>
              <w:t>Not defensible — no legal role</w:t>
            </w:r>
          </w:p>
        </w:tc>
        <w:tc>
          <w:tcPr>
            <w:tcW w:type="dxa" w:w="10080"/>
            <w:vAlign w:val="top"/>
          </w:tcPr>
          <w:p>
            <w:pPr>
              <w:spacing w:after="0" w:before="0"/>
            </w:pPr>
            <w:r/>
            <w:r>
              <w:rPr>
                <w:rFonts w:ascii="Aptos" w:hAnsi="Aptos"/>
                <w:b w:val="0"/>
                <w:color w:val="000000"/>
                <w:sz w:val="14"/>
              </w:rPr>
              <w:t>Pre-GC Langford; log description does not overcome org chart. Risk mitigation may be business/compliance advice. Recommended action: Produce absent independent proof of attorney capacity / work-product purpose.</w:t>
            </w:r>
          </w:p>
        </w:tc>
      </w:tr>
      <w:tr>
        <w:trPr>
          <w:cantSplit/>
        </w:trPr>
        <w:tc>
          <w:tcPr>
            <w:tcW w:type="dxa" w:w="648"/>
            <w:vAlign w:val="top"/>
            <w:shd w:fill="F2F6FA"/>
          </w:tcPr>
          <w:p>
            <w:pPr>
              <w:spacing w:after="0" w:before="0"/>
            </w:pPr>
            <w:r/>
            <w:r>
              <w:rPr>
                <w:rFonts w:ascii="Aptos" w:hAnsi="Aptos"/>
                <w:b w:val="0"/>
                <w:color w:val="000000"/>
                <w:sz w:val="14"/>
              </w:rPr>
              <w:t>5</w:t>
            </w:r>
          </w:p>
        </w:tc>
        <w:tc>
          <w:tcPr>
            <w:tcW w:type="dxa" w:w="2131"/>
            <w:vAlign w:val="top"/>
            <w:shd w:fill="F2F6FA"/>
          </w:tcPr>
          <w:p>
            <w:pPr>
              <w:spacing w:after="0" w:before="0"/>
            </w:pPr>
            <w:r/>
            <w:r>
              <w:rPr>
                <w:rFonts w:ascii="Aptos" w:hAnsi="Aptos"/>
                <w:b w:val="0"/>
                <w:color w:val="000000"/>
                <w:sz w:val="14"/>
              </w:rPr>
              <w:t>TF-PRIV-000031–000036</w:t>
            </w:r>
          </w:p>
        </w:tc>
        <w:tc>
          <w:tcPr>
            <w:tcW w:type="dxa" w:w="2448"/>
            <w:vAlign w:val="top"/>
            <w:shd w:fill="F2F6FA"/>
          </w:tcPr>
          <w:p>
            <w:pPr>
              <w:spacing w:after="0" w:before="0"/>
            </w:pPr>
            <w:r/>
            <w:r>
              <w:rPr>
                <w:rFonts w:ascii="Aptos" w:hAnsi="Aptos"/>
                <w:b w:val="0"/>
                <w:color w:val="000000"/>
                <w:sz w:val="14"/>
              </w:rPr>
              <w:t>Not defensible — routine business</w:t>
            </w:r>
          </w:p>
        </w:tc>
        <w:tc>
          <w:tcPr>
            <w:tcW w:type="dxa" w:w="10080"/>
            <w:vAlign w:val="top"/>
            <w:shd w:fill="F2F6FA"/>
          </w:tcPr>
          <w:p>
            <w:pPr>
              <w:spacing w:after="0" w:before="0"/>
            </w:pPr>
            <w:r/>
            <w:r>
              <w:rPr>
                <w:rFonts w:ascii="Aptos" w:hAnsi="Aptos"/>
                <w:b w:val="0"/>
                <w:color w:val="000000"/>
                <w:sz w:val="14"/>
              </w:rPr>
              <w:t>Pre-GC Langford; sample is routine reporting dates, data collection, and contractor scheduling. Recommended action: Produce.</w:t>
            </w:r>
          </w:p>
        </w:tc>
      </w:tr>
      <w:tr>
        <w:trPr>
          <w:cantSplit/>
        </w:trPr>
        <w:tc>
          <w:tcPr>
            <w:tcW w:type="dxa" w:w="648"/>
            <w:vAlign w:val="top"/>
          </w:tcPr>
          <w:p>
            <w:pPr>
              <w:spacing w:after="0" w:before="0"/>
            </w:pPr>
            <w:r/>
            <w:r>
              <w:rPr>
                <w:rFonts w:ascii="Aptos" w:hAnsi="Aptos"/>
                <w:b w:val="0"/>
                <w:color w:val="000000"/>
                <w:sz w:val="14"/>
              </w:rPr>
              <w:t>6</w:t>
            </w:r>
          </w:p>
        </w:tc>
        <w:tc>
          <w:tcPr>
            <w:tcW w:type="dxa" w:w="2131"/>
            <w:vAlign w:val="top"/>
          </w:tcPr>
          <w:p>
            <w:pPr>
              <w:spacing w:after="0" w:before="0"/>
            </w:pPr>
            <w:r/>
            <w:r>
              <w:rPr>
                <w:rFonts w:ascii="Aptos" w:hAnsi="Aptos"/>
                <w:b w:val="0"/>
                <w:color w:val="000000"/>
                <w:sz w:val="14"/>
              </w:rPr>
              <w:t>TF-PRIV-000037–000045</w:t>
            </w:r>
          </w:p>
        </w:tc>
        <w:tc>
          <w:tcPr>
            <w:tcW w:type="dxa" w:w="2448"/>
            <w:vAlign w:val="top"/>
          </w:tcPr>
          <w:p>
            <w:pPr>
              <w:spacing w:after="0" w:before="0"/>
            </w:pPr>
            <w:r/>
            <w:r>
              <w:rPr>
                <w:rFonts w:ascii="Aptos" w:hAnsi="Aptos"/>
                <w:b w:val="0"/>
                <w:color w:val="000000"/>
                <w:sz w:val="14"/>
              </w:rPr>
              <w:t>Not defensible on present record</w:t>
            </w:r>
          </w:p>
        </w:tc>
        <w:tc>
          <w:tcPr>
            <w:tcW w:type="dxa" w:w="10080"/>
            <w:vAlign w:val="top"/>
          </w:tcPr>
          <w:p>
            <w:pPr>
              <w:spacing w:after="0" w:before="0"/>
            </w:pPr>
            <w:r/>
            <w:r>
              <w:rPr>
                <w:rFonts w:ascii="Aptos" w:hAnsi="Aptos"/>
                <w:b w:val="0"/>
                <w:color w:val="000000"/>
                <w:sz w:val="14"/>
              </w:rPr>
              <w:t>Pre-GC Langford. Compliance planning and deadlines may be business/regulatory work; no attorney role established. Recommended action: Produce or identify a distinct attorney-authored communication not described in this entry.</w:t>
            </w:r>
          </w:p>
        </w:tc>
      </w:tr>
      <w:tr>
        <w:trPr>
          <w:cantSplit/>
        </w:trPr>
        <w:tc>
          <w:tcPr>
            <w:tcW w:type="dxa" w:w="648"/>
            <w:vAlign w:val="top"/>
            <w:shd w:fill="F2F6FA"/>
          </w:tcPr>
          <w:p>
            <w:pPr>
              <w:spacing w:after="0" w:before="0"/>
            </w:pPr>
            <w:r/>
            <w:r>
              <w:rPr>
                <w:rFonts w:ascii="Aptos" w:hAnsi="Aptos"/>
                <w:b w:val="0"/>
                <w:color w:val="000000"/>
                <w:sz w:val="14"/>
              </w:rPr>
              <w:t>7</w:t>
            </w:r>
          </w:p>
        </w:tc>
        <w:tc>
          <w:tcPr>
            <w:tcW w:type="dxa" w:w="2131"/>
            <w:vAlign w:val="top"/>
            <w:shd w:fill="F2F6FA"/>
          </w:tcPr>
          <w:p>
            <w:pPr>
              <w:spacing w:after="0" w:before="0"/>
            </w:pPr>
            <w:r/>
            <w:r>
              <w:rPr>
                <w:rFonts w:ascii="Aptos" w:hAnsi="Aptos"/>
                <w:b w:val="0"/>
                <w:color w:val="000000"/>
                <w:sz w:val="14"/>
              </w:rPr>
              <w:t>TF-PRIV-000046–000054</w:t>
            </w:r>
          </w:p>
        </w:tc>
        <w:tc>
          <w:tcPr>
            <w:tcW w:type="dxa" w:w="2448"/>
            <w:vAlign w:val="top"/>
            <w:shd w:fill="F2F6FA"/>
          </w:tcPr>
          <w:p>
            <w:pPr>
              <w:spacing w:after="0" w:before="0"/>
            </w:pPr>
            <w:r/>
            <w:r>
              <w:rPr>
                <w:rFonts w:ascii="Aptos" w:hAnsi="Aptos"/>
                <w:b w:val="0"/>
                <w:color w:val="000000"/>
                <w:sz w:val="14"/>
              </w:rPr>
              <w:t>Not defensible — pre-engagement solicitation</w:t>
            </w:r>
          </w:p>
        </w:tc>
        <w:tc>
          <w:tcPr>
            <w:tcW w:type="dxa" w:w="10080"/>
            <w:vAlign w:val="top"/>
            <w:shd w:fill="F2F6FA"/>
          </w:tcPr>
          <w:p>
            <w:pPr>
              <w:spacing w:after="0" w:before="0"/>
            </w:pPr>
            <w:r/>
            <w:r>
              <w:rPr>
                <w:rFonts w:ascii="Aptos" w:hAnsi="Aptos"/>
                <w:b w:val="0"/>
                <w:color w:val="000000"/>
                <w:sz w:val="14"/>
              </w:rPr>
              <w:t>Engagement letter says no attorney-client relationship before 2020-01-06; sample is a law-firm capabilities pitch and invites possible future engagement, not advice. Recommended action: Produce; confidentiality disclaimer does not create privilege.</w:t>
            </w:r>
          </w:p>
        </w:tc>
      </w:tr>
      <w:tr>
        <w:trPr>
          <w:cantSplit/>
        </w:trPr>
        <w:tc>
          <w:tcPr>
            <w:tcW w:type="dxa" w:w="648"/>
            <w:vAlign w:val="top"/>
          </w:tcPr>
          <w:p>
            <w:pPr>
              <w:spacing w:after="0" w:before="0"/>
            </w:pPr>
            <w:r/>
            <w:r>
              <w:rPr>
                <w:rFonts w:ascii="Aptos" w:hAnsi="Aptos"/>
                <w:b w:val="0"/>
                <w:color w:val="000000"/>
                <w:sz w:val="14"/>
              </w:rPr>
              <w:t>8</w:t>
            </w:r>
          </w:p>
        </w:tc>
        <w:tc>
          <w:tcPr>
            <w:tcW w:type="dxa" w:w="2131"/>
            <w:vAlign w:val="top"/>
          </w:tcPr>
          <w:p>
            <w:pPr>
              <w:spacing w:after="0" w:before="0"/>
            </w:pPr>
            <w:r/>
            <w:r>
              <w:rPr>
                <w:rFonts w:ascii="Aptos" w:hAnsi="Aptos"/>
                <w:b w:val="0"/>
                <w:color w:val="000000"/>
                <w:sz w:val="14"/>
              </w:rPr>
              <w:t>TF-PRIV-000055–000060</w:t>
            </w:r>
          </w:p>
        </w:tc>
        <w:tc>
          <w:tcPr>
            <w:tcW w:type="dxa" w:w="2448"/>
            <w:vAlign w:val="top"/>
          </w:tcPr>
          <w:p>
            <w:pPr>
              <w:spacing w:after="0" w:before="0"/>
            </w:pPr>
            <w:r/>
            <w:r>
              <w:rPr>
                <w:rFonts w:ascii="Aptos" w:hAnsi="Aptos"/>
                <w:b w:val="0"/>
                <w:color w:val="000000"/>
                <w:sz w:val="14"/>
              </w:rPr>
              <w:t>Not defensible — no legal role</w:t>
            </w:r>
          </w:p>
        </w:tc>
        <w:tc>
          <w:tcPr>
            <w:tcW w:type="dxa" w:w="10080"/>
            <w:vAlign w:val="top"/>
          </w:tcPr>
          <w:p>
            <w:pPr>
              <w:spacing w:after="0" w:before="0"/>
            </w:pPr>
            <w:r/>
            <w:r>
              <w:rPr>
                <w:rFonts w:ascii="Aptos" w:hAnsi="Aptos"/>
                <w:b w:val="0"/>
                <w:color w:val="000000"/>
                <w:sz w:val="14"/>
              </w:rPr>
              <w:t>Langford was VP Regulatory Affairs, outside legal department; underlying operational obligations are independently discoverable. Recommended action: Produce absent separate evidence of counsel involvement.</w:t>
            </w:r>
          </w:p>
        </w:tc>
      </w:tr>
      <w:tr>
        <w:trPr>
          <w:cantSplit/>
        </w:trPr>
        <w:tc>
          <w:tcPr>
            <w:tcW w:type="dxa" w:w="648"/>
            <w:vAlign w:val="top"/>
            <w:shd w:fill="F2F6FA"/>
          </w:tcPr>
          <w:p>
            <w:pPr>
              <w:spacing w:after="0" w:before="0"/>
            </w:pPr>
            <w:r/>
            <w:r>
              <w:rPr>
                <w:rFonts w:ascii="Aptos" w:hAnsi="Aptos"/>
                <w:b w:val="0"/>
                <w:color w:val="000000"/>
                <w:sz w:val="14"/>
              </w:rPr>
              <w:t>9</w:t>
            </w:r>
          </w:p>
        </w:tc>
        <w:tc>
          <w:tcPr>
            <w:tcW w:type="dxa" w:w="2131"/>
            <w:vAlign w:val="top"/>
            <w:shd w:fill="F2F6FA"/>
          </w:tcPr>
          <w:p>
            <w:pPr>
              <w:spacing w:after="0" w:before="0"/>
            </w:pPr>
            <w:r/>
            <w:r>
              <w:rPr>
                <w:rFonts w:ascii="Aptos" w:hAnsi="Aptos"/>
                <w:b w:val="0"/>
                <w:color w:val="000000"/>
                <w:sz w:val="14"/>
              </w:rPr>
              <w:t>TF-PRIV-000061–000072</w:t>
            </w:r>
          </w:p>
        </w:tc>
        <w:tc>
          <w:tcPr>
            <w:tcW w:type="dxa" w:w="2448"/>
            <w:vAlign w:val="top"/>
            <w:shd w:fill="F2F6FA"/>
          </w:tcPr>
          <w:p>
            <w:pPr>
              <w:spacing w:after="0" w:before="0"/>
            </w:pPr>
            <w:r/>
            <w:r>
              <w:rPr>
                <w:rFonts w:ascii="Aptos" w:hAnsi="Aptos"/>
                <w:b w:val="0"/>
                <w:color w:val="000000"/>
                <w:sz w:val="14"/>
              </w:rPr>
              <w:t>Not defensible — ordinary-course audit summary</w:t>
            </w:r>
          </w:p>
        </w:tc>
        <w:tc>
          <w:tcPr>
            <w:tcW w:type="dxa" w:w="10080"/>
            <w:vAlign w:val="top"/>
            <w:shd w:fill="F2F6FA"/>
          </w:tcPr>
          <w:p>
            <w:pPr>
              <w:spacing w:after="0" w:before="0"/>
            </w:pPr>
            <w:r/>
            <w:r>
              <w:rPr>
                <w:rFonts w:ascii="Aptos" w:hAnsi="Aptos"/>
                <w:b w:val="0"/>
                <w:color w:val="000000"/>
                <w:sz w:val="14"/>
              </w:rPr>
              <w:t>Sample is Langford’s VP Regulatory Affairs summary of Graystone routine audit, findings, monitoring, maintenance, and budget actions. Recommended action: Produce; underlying Graystone report and data are nonprivileged.</w:t>
            </w:r>
          </w:p>
        </w:tc>
      </w:tr>
      <w:tr>
        <w:trPr>
          <w:cantSplit/>
        </w:trPr>
        <w:tc>
          <w:tcPr>
            <w:tcW w:type="dxa" w:w="648"/>
            <w:vAlign w:val="top"/>
          </w:tcPr>
          <w:p>
            <w:pPr>
              <w:spacing w:after="0" w:before="0"/>
            </w:pPr>
            <w:r/>
            <w:r>
              <w:rPr>
                <w:rFonts w:ascii="Aptos" w:hAnsi="Aptos"/>
                <w:b w:val="0"/>
                <w:color w:val="000000"/>
                <w:sz w:val="14"/>
              </w:rPr>
              <w:t>10</w:t>
            </w:r>
          </w:p>
        </w:tc>
        <w:tc>
          <w:tcPr>
            <w:tcW w:type="dxa" w:w="2131"/>
            <w:vAlign w:val="top"/>
          </w:tcPr>
          <w:p>
            <w:pPr>
              <w:spacing w:after="0" w:before="0"/>
            </w:pPr>
            <w:r/>
            <w:r>
              <w:rPr>
                <w:rFonts w:ascii="Aptos" w:hAnsi="Aptos"/>
                <w:b w:val="0"/>
                <w:color w:val="000000"/>
                <w:sz w:val="14"/>
              </w:rPr>
              <w:t>TF-PRIV-000073–000080</w:t>
            </w:r>
          </w:p>
        </w:tc>
        <w:tc>
          <w:tcPr>
            <w:tcW w:type="dxa" w:w="2448"/>
            <w:vAlign w:val="top"/>
          </w:tcPr>
          <w:p>
            <w:pPr>
              <w:spacing w:after="0" w:before="0"/>
            </w:pPr>
            <w:r/>
            <w:r>
              <w:rPr>
                <w:rFonts w:ascii="Aptos" w:hAnsi="Aptos"/>
                <w:b w:val="0"/>
                <w:color w:val="000000"/>
                <w:sz w:val="14"/>
              </w:rPr>
              <w:t>Not defensible — no legal role</w:t>
            </w:r>
          </w:p>
        </w:tc>
        <w:tc>
          <w:tcPr>
            <w:tcW w:type="dxa" w:w="10080"/>
            <w:vAlign w:val="top"/>
          </w:tcPr>
          <w:p>
            <w:pPr>
              <w:spacing w:after="0" w:before="0"/>
            </w:pPr>
            <w:r/>
            <w:r>
              <w:rPr>
                <w:rFonts w:ascii="Aptos" w:hAnsi="Aptos"/>
                <w:b w:val="0"/>
                <w:color w:val="000000"/>
                <w:sz w:val="14"/>
              </w:rPr>
              <w:t>Date predates Langford’s General Counsel appointment; legal-sounding subject line is insufficient. Recommended action: Produce absent contemporaneous legal-capacity evidence.</w:t>
            </w:r>
          </w:p>
        </w:tc>
      </w:tr>
      <w:tr>
        <w:trPr>
          <w:cantSplit/>
        </w:trPr>
        <w:tc>
          <w:tcPr>
            <w:tcW w:type="dxa" w:w="648"/>
            <w:vAlign w:val="top"/>
            <w:shd w:fill="F2F6FA"/>
          </w:tcPr>
          <w:p>
            <w:pPr>
              <w:spacing w:after="0" w:before="0"/>
            </w:pPr>
            <w:r/>
            <w:r>
              <w:rPr>
                <w:rFonts w:ascii="Aptos" w:hAnsi="Aptos"/>
                <w:b w:val="0"/>
                <w:color w:val="000000"/>
                <w:sz w:val="14"/>
              </w:rPr>
              <w:t>11</w:t>
            </w:r>
          </w:p>
        </w:tc>
        <w:tc>
          <w:tcPr>
            <w:tcW w:type="dxa" w:w="2131"/>
            <w:vAlign w:val="top"/>
            <w:shd w:fill="F2F6FA"/>
          </w:tcPr>
          <w:p>
            <w:pPr>
              <w:spacing w:after="0" w:before="0"/>
            </w:pPr>
            <w:r/>
            <w:r>
              <w:rPr>
                <w:rFonts w:ascii="Aptos" w:hAnsi="Aptos"/>
                <w:b w:val="0"/>
                <w:color w:val="000000"/>
                <w:sz w:val="14"/>
              </w:rPr>
              <w:t>TF-PRIV-000081–000092</w:t>
            </w:r>
          </w:p>
        </w:tc>
        <w:tc>
          <w:tcPr>
            <w:tcW w:type="dxa" w:w="2448"/>
            <w:vAlign w:val="top"/>
            <w:shd w:fill="F2F6FA"/>
          </w:tcPr>
          <w:p>
            <w:pPr>
              <w:spacing w:after="0" w:before="0"/>
            </w:pPr>
            <w:r/>
            <w:r>
              <w:rPr>
                <w:rFonts w:ascii="Aptos" w:hAnsi="Aptos"/>
                <w:b w:val="0"/>
                <w:color w:val="000000"/>
                <w:sz w:val="14"/>
              </w:rPr>
              <w:t>Not defensible — pre-engagement solicitation</w:t>
            </w:r>
          </w:p>
        </w:tc>
        <w:tc>
          <w:tcPr>
            <w:tcW w:type="dxa" w:w="10080"/>
            <w:vAlign w:val="top"/>
            <w:shd w:fill="F2F6FA"/>
          </w:tcPr>
          <w:p>
            <w:pPr>
              <w:spacing w:after="0" w:before="0"/>
            </w:pPr>
            <w:r/>
            <w:r>
              <w:rPr>
                <w:rFonts w:ascii="Aptos" w:hAnsi="Aptos"/>
                <w:b w:val="0"/>
                <w:color w:val="000000"/>
                <w:sz w:val="14"/>
              </w:rPr>
              <w:t>Sample is follow-up re capabilities/standard engagement terms; engagement letter disclaims advice and relationship before Jan. 6, 2020. Recommended action: Produce, including attachment unless independently protected.</w:t>
            </w:r>
          </w:p>
        </w:tc>
      </w:tr>
      <w:tr>
        <w:trPr>
          <w:cantSplit/>
        </w:trPr>
        <w:tc>
          <w:tcPr>
            <w:tcW w:type="dxa" w:w="648"/>
            <w:vAlign w:val="top"/>
          </w:tcPr>
          <w:p>
            <w:pPr>
              <w:spacing w:after="0" w:before="0"/>
            </w:pPr>
            <w:r/>
            <w:r>
              <w:rPr>
                <w:rFonts w:ascii="Aptos" w:hAnsi="Aptos"/>
                <w:b w:val="0"/>
                <w:color w:val="000000"/>
                <w:sz w:val="14"/>
              </w:rPr>
              <w:t>12</w:t>
            </w:r>
          </w:p>
        </w:tc>
        <w:tc>
          <w:tcPr>
            <w:tcW w:type="dxa" w:w="2131"/>
            <w:vAlign w:val="top"/>
          </w:tcPr>
          <w:p>
            <w:pPr>
              <w:spacing w:after="0" w:before="0"/>
            </w:pPr>
            <w:r/>
            <w:r>
              <w:rPr>
                <w:rFonts w:ascii="Aptos" w:hAnsi="Aptos"/>
                <w:b w:val="0"/>
                <w:color w:val="000000"/>
                <w:sz w:val="14"/>
              </w:rPr>
              <w:t>TF-PRIV-000093–000100</w:t>
            </w:r>
          </w:p>
        </w:tc>
        <w:tc>
          <w:tcPr>
            <w:tcW w:type="dxa" w:w="2448"/>
            <w:vAlign w:val="top"/>
          </w:tcPr>
          <w:p>
            <w:pPr>
              <w:spacing w:after="0" w:before="0"/>
            </w:pPr>
            <w:r/>
            <w:r>
              <w:rPr>
                <w:rFonts w:ascii="Aptos" w:hAnsi="Aptos"/>
                <w:b w:val="0"/>
                <w:color w:val="000000"/>
                <w:sz w:val="14"/>
              </w:rPr>
              <w:t>Defensible, subject to scope/need-to-know</w:t>
            </w:r>
          </w:p>
        </w:tc>
        <w:tc>
          <w:tcPr>
            <w:tcW w:type="dxa" w:w="10080"/>
            <w:vAlign w:val="top"/>
          </w:tcPr>
          <w:p>
            <w:pPr>
              <w:spacing w:after="0" w:before="0"/>
            </w:pPr>
            <w:r/>
            <w:r>
              <w:rPr>
                <w:rFonts w:ascii="Aptos" w:hAnsi="Aptos"/>
                <w:b w:val="0"/>
                <w:color w:val="000000"/>
                <w:sz w:val="14"/>
              </w:rPr>
              <w:t>Langford had been GC since Mar. 15, 2019; specific RCRA/contract legal analysis to operations personnel supports ACP. Recommended action: Retain legal analysis; segregate attached contracts, factual business material, and nonlegal portions.</w:t>
            </w:r>
          </w:p>
        </w:tc>
      </w:tr>
      <w:tr>
        <w:trPr>
          <w:cantSplit/>
        </w:trPr>
        <w:tc>
          <w:tcPr>
            <w:tcW w:type="dxa" w:w="648"/>
            <w:vAlign w:val="top"/>
            <w:shd w:fill="F2F6FA"/>
          </w:tcPr>
          <w:p>
            <w:pPr>
              <w:spacing w:after="0" w:before="0"/>
            </w:pPr>
            <w:r/>
            <w:r>
              <w:rPr>
                <w:rFonts w:ascii="Aptos" w:hAnsi="Aptos"/>
                <w:b w:val="0"/>
                <w:color w:val="000000"/>
                <w:sz w:val="14"/>
              </w:rPr>
              <w:t>13</w:t>
            </w:r>
          </w:p>
        </w:tc>
        <w:tc>
          <w:tcPr>
            <w:tcW w:type="dxa" w:w="2131"/>
            <w:vAlign w:val="top"/>
            <w:shd w:fill="F2F6FA"/>
          </w:tcPr>
          <w:p>
            <w:pPr>
              <w:spacing w:after="0" w:before="0"/>
            </w:pPr>
            <w:r/>
            <w:r>
              <w:rPr>
                <w:rFonts w:ascii="Aptos" w:hAnsi="Aptos"/>
                <w:b w:val="0"/>
                <w:color w:val="000000"/>
                <w:sz w:val="14"/>
              </w:rPr>
              <w:t>TF-PRIV-000101–000108</w:t>
            </w:r>
          </w:p>
        </w:tc>
        <w:tc>
          <w:tcPr>
            <w:tcW w:type="dxa" w:w="2448"/>
            <w:vAlign w:val="top"/>
            <w:shd w:fill="F2F6FA"/>
          </w:tcPr>
          <w:p>
            <w:pPr>
              <w:spacing w:after="0" w:before="0"/>
            </w:pPr>
            <w:r/>
            <w:r>
              <w:rPr>
                <w:rFonts w:ascii="Aptos" w:hAnsi="Aptos"/>
                <w:b w:val="0"/>
                <w:color w:val="000000"/>
                <w:sz w:val="14"/>
              </w:rPr>
              <w:t>Defensible on log; verify actual document</w:t>
            </w:r>
          </w:p>
        </w:tc>
        <w:tc>
          <w:tcPr>
            <w:tcW w:type="dxa" w:w="10080"/>
            <w:vAlign w:val="top"/>
            <w:shd w:fill="F2F6FA"/>
          </w:tcPr>
          <w:p>
            <w:pPr>
              <w:spacing w:after="0" w:before="0"/>
            </w:pPr>
            <w:r/>
            <w:r>
              <w:rPr>
                <w:rFonts w:ascii="Aptos" w:hAnsi="Aptos"/>
                <w:b w:val="0"/>
                <w:color w:val="000000"/>
                <w:sz w:val="14"/>
              </w:rPr>
              <w:t>Post-appointment GC communication on legal response to enforcement notice is classic legal advice. Recommended action: Retain advice; produce underlying notice, measurements, and pre-existing records.</w:t>
            </w:r>
          </w:p>
        </w:tc>
      </w:tr>
      <w:tr>
        <w:trPr>
          <w:cantSplit/>
        </w:trPr>
        <w:tc>
          <w:tcPr>
            <w:tcW w:type="dxa" w:w="648"/>
            <w:vAlign w:val="top"/>
          </w:tcPr>
          <w:p>
            <w:pPr>
              <w:spacing w:after="0" w:before="0"/>
            </w:pPr>
            <w:r/>
            <w:r>
              <w:rPr>
                <w:rFonts w:ascii="Aptos" w:hAnsi="Aptos"/>
                <w:b w:val="0"/>
                <w:color w:val="000000"/>
                <w:sz w:val="14"/>
              </w:rPr>
              <w:t>14</w:t>
            </w:r>
          </w:p>
        </w:tc>
        <w:tc>
          <w:tcPr>
            <w:tcW w:type="dxa" w:w="2131"/>
            <w:vAlign w:val="top"/>
          </w:tcPr>
          <w:p>
            <w:pPr>
              <w:spacing w:after="0" w:before="0"/>
            </w:pPr>
            <w:r/>
            <w:r>
              <w:rPr>
                <w:rFonts w:ascii="Aptos" w:hAnsi="Aptos"/>
                <w:b w:val="0"/>
                <w:color w:val="000000"/>
                <w:sz w:val="14"/>
              </w:rPr>
              <w:t>TF-PRIV-000109–000115</w:t>
            </w:r>
          </w:p>
        </w:tc>
        <w:tc>
          <w:tcPr>
            <w:tcW w:type="dxa" w:w="2448"/>
            <w:vAlign w:val="top"/>
          </w:tcPr>
          <w:p>
            <w:pPr>
              <w:spacing w:after="0" w:before="0"/>
            </w:pPr>
            <w:r/>
            <w:r>
              <w:rPr>
                <w:rFonts w:ascii="Aptos" w:hAnsi="Aptos"/>
                <w:b w:val="0"/>
                <w:color w:val="000000"/>
                <w:sz w:val="14"/>
              </w:rPr>
              <w:t>Defensible if legal analysis predominates</w:t>
            </w:r>
          </w:p>
        </w:tc>
        <w:tc>
          <w:tcPr>
            <w:tcW w:type="dxa" w:w="10080"/>
            <w:vAlign w:val="top"/>
          </w:tcPr>
          <w:p>
            <w:pPr>
              <w:spacing w:after="0" w:before="0"/>
            </w:pPr>
            <w:r/>
            <w:r>
              <w:rPr>
                <w:rFonts w:ascii="Aptos" w:hAnsi="Aptos"/>
                <w:b w:val="0"/>
                <w:color w:val="000000"/>
                <w:sz w:val="14"/>
              </w:rPr>
              <w:t>GC-to-CEO legal briefing may be privileged, but generic public regulatory updates/business impact are not automatically privileged. Recommended action: Review text; redact only legal analysis and retain a specific legal-purpose log description.</w:t>
            </w:r>
          </w:p>
        </w:tc>
      </w:tr>
      <w:tr>
        <w:trPr>
          <w:cantSplit/>
        </w:trPr>
        <w:tc>
          <w:tcPr>
            <w:tcW w:type="dxa" w:w="648"/>
            <w:vAlign w:val="top"/>
            <w:shd w:fill="F2F6FA"/>
          </w:tcPr>
          <w:p>
            <w:pPr>
              <w:spacing w:after="0" w:before="0"/>
            </w:pPr>
            <w:r/>
            <w:r>
              <w:rPr>
                <w:rFonts w:ascii="Aptos" w:hAnsi="Aptos"/>
                <w:b w:val="0"/>
                <w:color w:val="000000"/>
                <w:sz w:val="14"/>
              </w:rPr>
              <w:t>15</w:t>
            </w:r>
          </w:p>
        </w:tc>
        <w:tc>
          <w:tcPr>
            <w:tcW w:type="dxa" w:w="2131"/>
            <w:vAlign w:val="top"/>
            <w:shd w:fill="F2F6FA"/>
          </w:tcPr>
          <w:p>
            <w:pPr>
              <w:spacing w:after="0" w:before="0"/>
            </w:pPr>
            <w:r/>
            <w:r>
              <w:rPr>
                <w:rFonts w:ascii="Aptos" w:hAnsi="Aptos"/>
                <w:b w:val="0"/>
                <w:color w:val="000000"/>
                <w:sz w:val="14"/>
              </w:rPr>
              <w:t>TF-PRIV-000116–000125</w:t>
            </w:r>
          </w:p>
        </w:tc>
        <w:tc>
          <w:tcPr>
            <w:tcW w:type="dxa" w:w="2448"/>
            <w:vAlign w:val="top"/>
            <w:shd w:fill="F2F6FA"/>
          </w:tcPr>
          <w:p>
            <w:pPr>
              <w:spacing w:after="0" w:before="0"/>
            </w:pPr>
            <w:r/>
            <w:r>
              <w:rPr>
                <w:rFonts w:ascii="Aptos" w:hAnsi="Aptos"/>
                <w:b w:val="0"/>
                <w:color w:val="000000"/>
                <w:sz w:val="14"/>
              </w:rPr>
              <w:t>Defensible, subject to recipient purpose</w:t>
            </w:r>
          </w:p>
        </w:tc>
        <w:tc>
          <w:tcPr>
            <w:tcW w:type="dxa" w:w="10080"/>
            <w:vAlign w:val="top"/>
            <w:shd w:fill="F2F6FA"/>
          </w:tcPr>
          <w:p>
            <w:pPr>
              <w:spacing w:after="0" w:before="0"/>
            </w:pPr>
            <w:r/>
            <w:r>
              <w:rPr>
                <w:rFonts w:ascii="Aptos" w:hAnsi="Aptos"/>
                <w:b w:val="0"/>
                <w:color w:val="000000"/>
                <w:sz w:val="14"/>
              </w:rPr>
              <w:t>GC advice on permit requirements to EHS/Operations is legal advice; confirm Choi’s need to know and segregate operational recommendations. Recommended action: Retain advice; produce independently existing permit and compliance data.</w:t>
            </w:r>
          </w:p>
        </w:tc>
      </w:tr>
      <w:tr>
        <w:trPr>
          <w:cantSplit/>
        </w:trPr>
        <w:tc>
          <w:tcPr>
            <w:tcW w:type="dxa" w:w="648"/>
            <w:vAlign w:val="top"/>
          </w:tcPr>
          <w:p>
            <w:pPr>
              <w:spacing w:after="0" w:before="0"/>
            </w:pPr>
            <w:r/>
            <w:r>
              <w:rPr>
                <w:rFonts w:ascii="Aptos" w:hAnsi="Aptos"/>
                <w:b w:val="0"/>
                <w:color w:val="000000"/>
                <w:sz w:val="14"/>
              </w:rPr>
              <w:t>16</w:t>
            </w:r>
          </w:p>
        </w:tc>
        <w:tc>
          <w:tcPr>
            <w:tcW w:type="dxa" w:w="2131"/>
            <w:vAlign w:val="top"/>
          </w:tcPr>
          <w:p>
            <w:pPr>
              <w:spacing w:after="0" w:before="0"/>
            </w:pPr>
            <w:r/>
            <w:r>
              <w:rPr>
                <w:rFonts w:ascii="Aptos" w:hAnsi="Aptos"/>
                <w:b w:val="0"/>
                <w:color w:val="000000"/>
                <w:sz w:val="14"/>
              </w:rPr>
              <w:t>TF-PRIV-000126–000132</w:t>
            </w:r>
          </w:p>
        </w:tc>
        <w:tc>
          <w:tcPr>
            <w:tcW w:type="dxa" w:w="2448"/>
            <w:vAlign w:val="top"/>
          </w:tcPr>
          <w:p>
            <w:pPr>
              <w:spacing w:after="0" w:before="0"/>
            </w:pPr>
            <w:r/>
            <w:r>
              <w:rPr>
                <w:rFonts w:ascii="Aptos" w:hAnsi="Aptos"/>
                <w:b w:val="0"/>
                <w:color w:val="000000"/>
                <w:sz w:val="14"/>
              </w:rPr>
              <w:t>Defensible on log; verify text</w:t>
            </w:r>
          </w:p>
        </w:tc>
        <w:tc>
          <w:tcPr>
            <w:tcW w:type="dxa" w:w="10080"/>
            <w:vAlign w:val="top"/>
          </w:tcPr>
          <w:p>
            <w:pPr>
              <w:spacing w:after="0" w:before="0"/>
            </w:pPr>
            <w:r/>
            <w:r>
              <w:rPr>
                <w:rFonts w:ascii="Aptos" w:hAnsi="Aptos"/>
                <w:b w:val="0"/>
                <w:color w:val="000000"/>
                <w:sz w:val="14"/>
              </w:rPr>
              <w:t>GC-to-EHS legal guidance on TSCA reporting/compliance is a confidential legal consultation. Recommended action: Retain advice; facts, inventories, and filings remain discoverable.</w:t>
            </w:r>
          </w:p>
        </w:tc>
      </w:tr>
      <w:tr>
        <w:trPr>
          <w:cantSplit/>
        </w:trPr>
        <w:tc>
          <w:tcPr>
            <w:tcW w:type="dxa" w:w="648"/>
            <w:vAlign w:val="top"/>
            <w:shd w:fill="F2F6FA"/>
          </w:tcPr>
          <w:p>
            <w:pPr>
              <w:spacing w:after="0" w:before="0"/>
            </w:pPr>
            <w:r/>
            <w:r>
              <w:rPr>
                <w:rFonts w:ascii="Aptos" w:hAnsi="Aptos"/>
                <w:b w:val="0"/>
                <w:color w:val="000000"/>
                <w:sz w:val="14"/>
              </w:rPr>
              <w:t>17</w:t>
            </w:r>
          </w:p>
        </w:tc>
        <w:tc>
          <w:tcPr>
            <w:tcW w:type="dxa" w:w="2131"/>
            <w:vAlign w:val="top"/>
            <w:shd w:fill="F2F6FA"/>
          </w:tcPr>
          <w:p>
            <w:pPr>
              <w:spacing w:after="0" w:before="0"/>
            </w:pPr>
            <w:r/>
            <w:r>
              <w:rPr>
                <w:rFonts w:ascii="Aptos" w:hAnsi="Aptos"/>
                <w:b w:val="0"/>
                <w:color w:val="000000"/>
                <w:sz w:val="14"/>
              </w:rPr>
              <w:t>TF-PRIV-000133–000140</w:t>
            </w:r>
          </w:p>
        </w:tc>
        <w:tc>
          <w:tcPr>
            <w:tcW w:type="dxa" w:w="2448"/>
            <w:vAlign w:val="top"/>
            <w:shd w:fill="F2F6FA"/>
          </w:tcPr>
          <w:p>
            <w:pPr>
              <w:spacing w:after="0" w:before="0"/>
            </w:pPr>
            <w:r/>
            <w:r>
              <w:rPr>
                <w:rFonts w:ascii="Aptos" w:hAnsi="Aptos"/>
                <w:b w:val="0"/>
                <w:color w:val="000000"/>
                <w:sz w:val="14"/>
              </w:rPr>
              <w:t>Defensible, subject to segmentation</w:t>
            </w:r>
          </w:p>
        </w:tc>
        <w:tc>
          <w:tcPr>
            <w:tcW w:type="dxa" w:w="10080"/>
            <w:vAlign w:val="top"/>
            <w:shd w:fill="F2F6FA"/>
          </w:tcPr>
          <w:p>
            <w:pPr>
              <w:spacing w:after="0" w:before="0"/>
            </w:pPr>
            <w:r/>
            <w:r>
              <w:rPr>
                <w:rFonts w:ascii="Aptos" w:hAnsi="Aptos"/>
                <w:b w:val="0"/>
                <w:color w:val="000000"/>
                <w:sz w:val="14"/>
              </w:rPr>
              <w:t>Specific RCRA/NJDEP legal advice by GC to Operations; underlying manifests and routine compliance records are not privileged. Recommended action: Retain counsel’s analysis, not manifests or ordinary business data.</w:t>
            </w:r>
          </w:p>
        </w:tc>
      </w:tr>
      <w:tr>
        <w:trPr>
          <w:cantSplit/>
        </w:trPr>
        <w:tc>
          <w:tcPr>
            <w:tcW w:type="dxa" w:w="648"/>
            <w:vAlign w:val="top"/>
          </w:tcPr>
          <w:p>
            <w:pPr>
              <w:spacing w:after="0" w:before="0"/>
            </w:pPr>
            <w:r/>
            <w:r>
              <w:rPr>
                <w:rFonts w:ascii="Aptos" w:hAnsi="Aptos"/>
                <w:b w:val="0"/>
                <w:color w:val="000000"/>
                <w:sz w:val="14"/>
              </w:rPr>
              <w:t>18</w:t>
            </w:r>
          </w:p>
        </w:tc>
        <w:tc>
          <w:tcPr>
            <w:tcW w:type="dxa" w:w="2131"/>
            <w:vAlign w:val="top"/>
          </w:tcPr>
          <w:p>
            <w:pPr>
              <w:spacing w:after="0" w:before="0"/>
            </w:pPr>
            <w:r/>
            <w:r>
              <w:rPr>
                <w:rFonts w:ascii="Aptos" w:hAnsi="Aptos"/>
                <w:b w:val="0"/>
                <w:color w:val="000000"/>
                <w:sz w:val="14"/>
              </w:rPr>
              <w:t>TF-PRIV-000141–000148</w:t>
            </w:r>
          </w:p>
        </w:tc>
        <w:tc>
          <w:tcPr>
            <w:tcW w:type="dxa" w:w="2448"/>
            <w:vAlign w:val="top"/>
          </w:tcPr>
          <w:p>
            <w:pPr>
              <w:spacing w:after="0" w:before="0"/>
            </w:pPr>
            <w:r/>
            <w:r>
              <w:rPr>
                <w:rFonts w:ascii="Aptos" w:hAnsi="Aptos"/>
                <w:b w:val="0"/>
                <w:color w:val="000000"/>
                <w:sz w:val="14"/>
              </w:rPr>
              <w:t>Defensible if legal purpose is dominant</w:t>
            </w:r>
          </w:p>
        </w:tc>
        <w:tc>
          <w:tcPr>
            <w:tcW w:type="dxa" w:w="10080"/>
            <w:vAlign w:val="top"/>
          </w:tcPr>
          <w:p>
            <w:pPr>
              <w:spacing w:after="0" w:before="0"/>
            </w:pPr>
            <w:r/>
            <w:r>
              <w:rPr>
                <w:rFonts w:ascii="Aptos" w:hAnsi="Aptos"/>
                <w:b w:val="0"/>
                <w:color w:val="000000"/>
                <w:sz w:val="14"/>
              </w:rPr>
              <w:t>GC risk assessment/recommendations may convey legal advice; Pruitt cc requires a need-to-know showing. Recommended action: Retain legal analysis; separate routine program status and operational implementation material.</w:t>
            </w:r>
          </w:p>
        </w:tc>
      </w:tr>
      <w:tr>
        <w:trPr>
          <w:cantSplit/>
        </w:trPr>
        <w:tc>
          <w:tcPr>
            <w:tcW w:type="dxa" w:w="648"/>
            <w:vAlign w:val="top"/>
            <w:shd w:fill="F2F6FA"/>
          </w:tcPr>
          <w:p>
            <w:pPr>
              <w:spacing w:after="0" w:before="0"/>
            </w:pPr>
            <w:r/>
            <w:r>
              <w:rPr>
                <w:rFonts w:ascii="Aptos" w:hAnsi="Aptos"/>
                <w:b w:val="0"/>
                <w:color w:val="000000"/>
                <w:sz w:val="14"/>
              </w:rPr>
              <w:t>19</w:t>
            </w:r>
          </w:p>
        </w:tc>
        <w:tc>
          <w:tcPr>
            <w:tcW w:type="dxa" w:w="2131"/>
            <w:vAlign w:val="top"/>
            <w:shd w:fill="F2F6FA"/>
          </w:tcPr>
          <w:p>
            <w:pPr>
              <w:spacing w:after="0" w:before="0"/>
            </w:pPr>
            <w:r/>
            <w:r>
              <w:rPr>
                <w:rFonts w:ascii="Aptos" w:hAnsi="Aptos"/>
                <w:b w:val="0"/>
                <w:color w:val="000000"/>
                <w:sz w:val="14"/>
              </w:rPr>
              <w:t>TF-PRIV-000149–000155</w:t>
            </w:r>
          </w:p>
        </w:tc>
        <w:tc>
          <w:tcPr>
            <w:tcW w:type="dxa" w:w="2448"/>
            <w:vAlign w:val="top"/>
            <w:shd w:fill="F2F6FA"/>
          </w:tcPr>
          <w:p>
            <w:pPr>
              <w:spacing w:after="0" w:before="0"/>
            </w:pPr>
            <w:r/>
            <w:r>
              <w:rPr>
                <w:rFonts w:ascii="Aptos" w:hAnsi="Aptos"/>
                <w:b w:val="0"/>
                <w:color w:val="000000"/>
                <w:sz w:val="14"/>
              </w:rPr>
              <w:t>Defensible on log; verify text</w:t>
            </w:r>
          </w:p>
        </w:tc>
        <w:tc>
          <w:tcPr>
            <w:tcW w:type="dxa" w:w="10080"/>
            <w:vAlign w:val="top"/>
            <w:shd w:fill="F2F6FA"/>
          </w:tcPr>
          <w:p>
            <w:pPr>
              <w:spacing w:after="0" w:before="0"/>
            </w:pPr>
            <w:r/>
            <w:r>
              <w:rPr>
                <w:rFonts w:ascii="Aptos" w:hAnsi="Aptos"/>
                <w:b w:val="0"/>
                <w:color w:val="000000"/>
                <w:sz w:val="14"/>
              </w:rPr>
              <w:t>Post-GC legal analysis of emerging state/federal requirements to EHS is plausible privileged advice. Recommended action: Retain legal analysis; produce source regulations and monitoring data.</w:t>
            </w:r>
          </w:p>
        </w:tc>
      </w:tr>
      <w:tr>
        <w:trPr>
          <w:cantSplit/>
        </w:trPr>
        <w:tc>
          <w:tcPr>
            <w:tcW w:type="dxa" w:w="648"/>
            <w:vAlign w:val="top"/>
          </w:tcPr>
          <w:p>
            <w:pPr>
              <w:spacing w:after="0" w:before="0"/>
            </w:pPr>
            <w:r/>
            <w:r>
              <w:rPr>
                <w:rFonts w:ascii="Aptos" w:hAnsi="Aptos"/>
                <w:b w:val="0"/>
                <w:color w:val="000000"/>
                <w:sz w:val="14"/>
              </w:rPr>
              <w:t>20</w:t>
            </w:r>
          </w:p>
        </w:tc>
        <w:tc>
          <w:tcPr>
            <w:tcW w:type="dxa" w:w="2131"/>
            <w:vAlign w:val="top"/>
          </w:tcPr>
          <w:p>
            <w:pPr>
              <w:spacing w:after="0" w:before="0"/>
            </w:pPr>
            <w:r/>
            <w:r>
              <w:rPr>
                <w:rFonts w:ascii="Aptos" w:hAnsi="Aptos"/>
                <w:b w:val="0"/>
                <w:color w:val="000000"/>
                <w:sz w:val="14"/>
              </w:rPr>
              <w:t>TF-PRIV-000156–000162</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Engagement began Jan. 6, 2020; outside counsel’s legal analysis to GC about CERCLA liability is within representation. Recommended action: Retain; separate nonprivileged source documents and attachments.</w:t>
            </w:r>
          </w:p>
        </w:tc>
      </w:tr>
      <w:tr>
        <w:trPr>
          <w:cantSplit/>
        </w:trPr>
        <w:tc>
          <w:tcPr>
            <w:tcW w:type="dxa" w:w="648"/>
            <w:vAlign w:val="top"/>
            <w:shd w:fill="F2F6FA"/>
          </w:tcPr>
          <w:p>
            <w:pPr>
              <w:spacing w:after="0" w:before="0"/>
            </w:pPr>
            <w:r/>
            <w:r>
              <w:rPr>
                <w:rFonts w:ascii="Aptos" w:hAnsi="Aptos"/>
                <w:b w:val="0"/>
                <w:color w:val="000000"/>
                <w:sz w:val="14"/>
              </w:rPr>
              <w:t>21</w:t>
            </w:r>
          </w:p>
        </w:tc>
        <w:tc>
          <w:tcPr>
            <w:tcW w:type="dxa" w:w="2131"/>
            <w:vAlign w:val="top"/>
            <w:shd w:fill="F2F6FA"/>
          </w:tcPr>
          <w:p>
            <w:pPr>
              <w:spacing w:after="0" w:before="0"/>
            </w:pPr>
            <w:r/>
            <w:r>
              <w:rPr>
                <w:rFonts w:ascii="Aptos" w:hAnsi="Aptos"/>
                <w:b w:val="0"/>
                <w:color w:val="000000"/>
                <w:sz w:val="14"/>
              </w:rPr>
              <w:t>TF-PRIV-000163–000170</w:t>
            </w:r>
          </w:p>
        </w:tc>
        <w:tc>
          <w:tcPr>
            <w:tcW w:type="dxa" w:w="2448"/>
            <w:vAlign w:val="top"/>
            <w:shd w:fill="F2F6FA"/>
          </w:tcPr>
          <w:p>
            <w:pPr>
              <w:spacing w:after="0" w:before="0"/>
            </w:pPr>
            <w:r/>
            <w:r>
              <w:rPr>
                <w:rFonts w:ascii="Aptos" w:hAnsi="Aptos"/>
                <w:b w:val="0"/>
                <w:color w:val="000000"/>
                <w:sz w:val="14"/>
              </w:rPr>
              <w:t>Defensible, factual limits apply</w:t>
            </w:r>
          </w:p>
        </w:tc>
        <w:tc>
          <w:tcPr>
            <w:tcW w:type="dxa" w:w="10080"/>
            <w:vAlign w:val="top"/>
            <w:shd w:fill="F2F6FA"/>
          </w:tcPr>
          <w:p>
            <w:pPr>
              <w:spacing w:after="0" w:before="0"/>
            </w:pPr>
            <w:r/>
            <w:r>
              <w:rPr>
                <w:rFonts w:ascii="Aptos" w:hAnsi="Aptos"/>
                <w:b w:val="0"/>
                <w:color w:val="000000"/>
                <w:sz w:val="14"/>
              </w:rPr>
              <w:t>Client’s factual communication to counsel requesting legal analysis is protected as a communication, but underlying disposal facts/records are not. Recommended action: Retain communication narrowly; produce source records and facts from nonprivileged sources.</w:t>
            </w:r>
          </w:p>
        </w:tc>
      </w:tr>
      <w:tr>
        <w:trPr>
          <w:cantSplit/>
        </w:trPr>
        <w:tc>
          <w:tcPr>
            <w:tcW w:type="dxa" w:w="648"/>
            <w:vAlign w:val="top"/>
          </w:tcPr>
          <w:p>
            <w:pPr>
              <w:spacing w:after="0" w:before="0"/>
            </w:pPr>
            <w:r/>
            <w:r>
              <w:rPr>
                <w:rFonts w:ascii="Aptos" w:hAnsi="Aptos"/>
                <w:b w:val="0"/>
                <w:color w:val="000000"/>
                <w:sz w:val="14"/>
              </w:rPr>
              <w:t>22</w:t>
            </w:r>
          </w:p>
        </w:tc>
        <w:tc>
          <w:tcPr>
            <w:tcW w:type="dxa" w:w="2131"/>
            <w:vAlign w:val="top"/>
          </w:tcPr>
          <w:p>
            <w:pPr>
              <w:spacing w:after="0" w:before="0"/>
            </w:pPr>
            <w:r/>
            <w:r>
              <w:rPr>
                <w:rFonts w:ascii="Aptos" w:hAnsi="Aptos"/>
                <w:b w:val="0"/>
                <w:color w:val="000000"/>
                <w:sz w:val="14"/>
              </w:rPr>
              <w:t>TF-PRIV-000171–000180</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Counsel memorandum analyzing exposure and defenses/mental impressions. Recommended action: Retain; assess separable public law or factual material only if it reveals no strategy.</w:t>
            </w:r>
          </w:p>
        </w:tc>
      </w:tr>
      <w:tr>
        <w:trPr>
          <w:cantSplit/>
        </w:trPr>
        <w:tc>
          <w:tcPr>
            <w:tcW w:type="dxa" w:w="648"/>
            <w:vAlign w:val="top"/>
            <w:shd w:fill="F2F6FA"/>
          </w:tcPr>
          <w:p>
            <w:pPr>
              <w:spacing w:after="0" w:before="0"/>
            </w:pPr>
            <w:r/>
            <w:r>
              <w:rPr>
                <w:rFonts w:ascii="Aptos" w:hAnsi="Aptos"/>
                <w:b w:val="0"/>
                <w:color w:val="000000"/>
                <w:sz w:val="14"/>
              </w:rPr>
              <w:t>23</w:t>
            </w:r>
          </w:p>
        </w:tc>
        <w:tc>
          <w:tcPr>
            <w:tcW w:type="dxa" w:w="2131"/>
            <w:vAlign w:val="top"/>
            <w:shd w:fill="F2F6FA"/>
          </w:tcPr>
          <w:p>
            <w:pPr>
              <w:spacing w:after="0" w:before="0"/>
            </w:pPr>
            <w:r/>
            <w:r>
              <w:rPr>
                <w:rFonts w:ascii="Aptos" w:hAnsi="Aptos"/>
                <w:b w:val="0"/>
                <w:color w:val="000000"/>
                <w:sz w:val="14"/>
              </w:rPr>
              <w:t>TF-PRIV-000181–000188</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GC-to-CEO litigation risk and legal assessment is confidential legal advice. Recommended action: Retain advice; underlying facts and financial records remain discoverable.</w:t>
            </w:r>
          </w:p>
        </w:tc>
      </w:tr>
      <w:tr>
        <w:trPr>
          <w:cantSplit/>
        </w:trPr>
        <w:tc>
          <w:tcPr>
            <w:tcW w:type="dxa" w:w="648"/>
            <w:vAlign w:val="top"/>
          </w:tcPr>
          <w:p>
            <w:pPr>
              <w:spacing w:after="0" w:before="0"/>
            </w:pPr>
            <w:r/>
            <w:r>
              <w:rPr>
                <w:rFonts w:ascii="Aptos" w:hAnsi="Aptos"/>
                <w:b w:val="0"/>
                <w:color w:val="000000"/>
                <w:sz w:val="14"/>
              </w:rPr>
              <w:t>24</w:t>
            </w:r>
          </w:p>
        </w:tc>
        <w:tc>
          <w:tcPr>
            <w:tcW w:type="dxa" w:w="2131"/>
            <w:vAlign w:val="top"/>
          </w:tcPr>
          <w:p>
            <w:pPr>
              <w:spacing w:after="0" w:before="0"/>
            </w:pPr>
            <w:r/>
            <w:r>
              <w:rPr>
                <w:rFonts w:ascii="Aptos" w:hAnsi="Aptos"/>
                <w:b w:val="0"/>
                <w:color w:val="000000"/>
                <w:sz w:val="14"/>
              </w:rPr>
              <w:t>TF-PRIV-000189–000194</w:t>
            </w:r>
          </w:p>
        </w:tc>
        <w:tc>
          <w:tcPr>
            <w:tcW w:type="dxa" w:w="2448"/>
            <w:vAlign w:val="top"/>
          </w:tcPr>
          <w:p>
            <w:pPr>
              <w:spacing w:after="0" w:before="0"/>
            </w:pPr>
            <w:r/>
            <w:r>
              <w:rPr>
                <w:rFonts w:ascii="Aptos" w:hAnsi="Aptos"/>
                <w:b w:val="0"/>
                <w:color w:val="000000"/>
                <w:sz w:val="14"/>
              </w:rPr>
              <w:t>Not defensible — business budgeting</w:t>
            </w:r>
          </w:p>
        </w:tc>
        <w:tc>
          <w:tcPr>
            <w:tcW w:type="dxa" w:w="10080"/>
            <w:vAlign w:val="top"/>
          </w:tcPr>
          <w:p>
            <w:pPr>
              <w:spacing w:after="0" w:before="0"/>
            </w:pPr>
            <w:r/>
            <w:r>
              <w:rPr>
                <w:rFonts w:ascii="Aptos" w:hAnsi="Aptos"/>
                <w:b w:val="0"/>
                <w:color w:val="000000"/>
                <w:sz w:val="14"/>
              </w:rPr>
              <w:t>Sample is operational cost projections, downtime, and capital planning exchanged between EHS and Operations, not counsel. Recommended action: Produce; cost data are not privileged.</w:t>
            </w:r>
          </w:p>
        </w:tc>
      </w:tr>
      <w:tr>
        <w:trPr>
          <w:cantSplit/>
        </w:trPr>
        <w:tc>
          <w:tcPr>
            <w:tcW w:type="dxa" w:w="648"/>
            <w:vAlign w:val="top"/>
            <w:shd w:fill="F2F6FA"/>
          </w:tcPr>
          <w:p>
            <w:pPr>
              <w:spacing w:after="0" w:before="0"/>
            </w:pPr>
            <w:r/>
            <w:r>
              <w:rPr>
                <w:rFonts w:ascii="Aptos" w:hAnsi="Aptos"/>
                <w:b w:val="0"/>
                <w:color w:val="000000"/>
                <w:sz w:val="14"/>
              </w:rPr>
              <w:t>25</w:t>
            </w:r>
          </w:p>
        </w:tc>
        <w:tc>
          <w:tcPr>
            <w:tcW w:type="dxa" w:w="2131"/>
            <w:vAlign w:val="top"/>
            <w:shd w:fill="F2F6FA"/>
          </w:tcPr>
          <w:p>
            <w:pPr>
              <w:spacing w:after="0" w:before="0"/>
            </w:pPr>
            <w:r/>
            <w:r>
              <w:rPr>
                <w:rFonts w:ascii="Aptos" w:hAnsi="Aptos"/>
                <w:b w:val="0"/>
                <w:color w:val="000000"/>
                <w:sz w:val="14"/>
              </w:rPr>
              <w:t>TF-PRIV-000195–000203</w:t>
            </w:r>
          </w:p>
        </w:tc>
        <w:tc>
          <w:tcPr>
            <w:tcW w:type="dxa" w:w="2448"/>
            <w:vAlign w:val="top"/>
            <w:shd w:fill="F2F6FA"/>
          </w:tcPr>
          <w:p>
            <w:pPr>
              <w:spacing w:after="0" w:before="0"/>
            </w:pPr>
            <w:r/>
            <w:r>
              <w:rPr>
                <w:rFonts w:ascii="Aptos" w:hAnsi="Aptos"/>
                <w:b w:val="0"/>
                <w:color w:val="000000"/>
                <w:sz w:val="14"/>
              </w:rPr>
              <w:t>Defensible on log; reconcile sample mismatch</w:t>
            </w:r>
          </w:p>
        </w:tc>
        <w:tc>
          <w:tcPr>
            <w:tcW w:type="dxa" w:w="10080"/>
            <w:vAlign w:val="top"/>
            <w:shd w:fill="F2F6FA"/>
          </w:tcPr>
          <w:p>
            <w:pPr>
              <w:spacing w:after="0" w:before="0"/>
            </w:pPr>
            <w:r/>
            <w:r>
              <w:rPr>
                <w:rFonts w:ascii="Aptos" w:hAnsi="Aptos"/>
                <w:b w:val="0"/>
                <w:color w:val="000000"/>
                <w:sz w:val="14"/>
              </w:rPr>
              <w:t>Post-GC advice on legal reporting obligations is protected. But sample-doc-025 is dated Apr. 10, 2019, not this 2020 entry; it appears to be a separate 2019 legal-advice communication and cannot validate the 2020 item. Recommended action: Verify Bates/date/author and locate the actual 2020 document before asserting.</w:t>
            </w:r>
          </w:p>
        </w:tc>
      </w:tr>
      <w:tr>
        <w:trPr>
          <w:cantSplit/>
        </w:trPr>
        <w:tc>
          <w:tcPr>
            <w:tcW w:type="dxa" w:w="648"/>
            <w:vAlign w:val="top"/>
          </w:tcPr>
          <w:p>
            <w:pPr>
              <w:spacing w:after="0" w:before="0"/>
            </w:pPr>
            <w:r/>
            <w:r>
              <w:rPr>
                <w:rFonts w:ascii="Aptos" w:hAnsi="Aptos"/>
                <w:b w:val="0"/>
                <w:color w:val="000000"/>
                <w:sz w:val="14"/>
              </w:rPr>
              <w:t>26</w:t>
            </w:r>
          </w:p>
        </w:tc>
        <w:tc>
          <w:tcPr>
            <w:tcW w:type="dxa" w:w="2131"/>
            <w:vAlign w:val="top"/>
          </w:tcPr>
          <w:p>
            <w:pPr>
              <w:spacing w:after="0" w:before="0"/>
            </w:pPr>
            <w:r/>
            <w:r>
              <w:rPr>
                <w:rFonts w:ascii="Aptos" w:hAnsi="Aptos"/>
                <w:b w:val="0"/>
                <w:color w:val="000000"/>
                <w:sz w:val="14"/>
              </w:rPr>
              <w:t>TF-PRIV-000204–000210</w:t>
            </w:r>
          </w:p>
        </w:tc>
        <w:tc>
          <w:tcPr>
            <w:tcW w:type="dxa" w:w="2448"/>
            <w:vAlign w:val="top"/>
          </w:tcPr>
          <w:p>
            <w:pPr>
              <w:spacing w:after="0" w:before="0"/>
            </w:pPr>
            <w:r/>
            <w:r>
              <w:rPr>
                <w:rFonts w:ascii="Aptos" w:hAnsi="Aptos"/>
                <w:b w:val="0"/>
                <w:color w:val="000000"/>
                <w:sz w:val="14"/>
              </w:rPr>
              <w:t>Defensible ACP/WP</w:t>
            </w:r>
          </w:p>
        </w:tc>
        <w:tc>
          <w:tcPr>
            <w:tcW w:type="dxa" w:w="10080"/>
            <w:vAlign w:val="top"/>
          </w:tcPr>
          <w:p>
            <w:pPr>
              <w:spacing w:after="0" w:before="0"/>
            </w:pPr>
            <w:r/>
            <w:r>
              <w:rPr>
                <w:rFonts w:ascii="Aptos" w:hAnsi="Aptos"/>
                <w:b w:val="0"/>
                <w:color w:val="000000"/>
                <w:sz w:val="14"/>
              </w:rPr>
              <w:t>Outside counsel’s defense strategy in reasonably anticipated CERCLA litigation. Recommended action: Retain; verify all addressees and attachments.</w:t>
            </w:r>
          </w:p>
        </w:tc>
      </w:tr>
      <w:tr>
        <w:trPr>
          <w:cantSplit/>
        </w:trPr>
        <w:tc>
          <w:tcPr>
            <w:tcW w:type="dxa" w:w="648"/>
            <w:vAlign w:val="top"/>
            <w:shd w:fill="F2F6FA"/>
          </w:tcPr>
          <w:p>
            <w:pPr>
              <w:spacing w:after="0" w:before="0"/>
            </w:pPr>
            <w:r/>
            <w:r>
              <w:rPr>
                <w:rFonts w:ascii="Aptos" w:hAnsi="Aptos"/>
                <w:b w:val="0"/>
                <w:color w:val="000000"/>
                <w:sz w:val="14"/>
              </w:rPr>
              <w:t>27</w:t>
            </w:r>
          </w:p>
        </w:tc>
        <w:tc>
          <w:tcPr>
            <w:tcW w:type="dxa" w:w="2131"/>
            <w:vAlign w:val="top"/>
            <w:shd w:fill="F2F6FA"/>
          </w:tcPr>
          <w:p>
            <w:pPr>
              <w:spacing w:after="0" w:before="0"/>
            </w:pPr>
            <w:r/>
            <w:r>
              <w:rPr>
                <w:rFonts w:ascii="Aptos" w:hAnsi="Aptos"/>
                <w:b w:val="0"/>
                <w:color w:val="000000"/>
                <w:sz w:val="14"/>
              </w:rPr>
              <w:t>TF-PRIV-000211–000218</w:t>
            </w:r>
          </w:p>
        </w:tc>
        <w:tc>
          <w:tcPr>
            <w:tcW w:type="dxa" w:w="2448"/>
            <w:vAlign w:val="top"/>
            <w:shd w:fill="F2F6FA"/>
          </w:tcPr>
          <w:p>
            <w:pPr>
              <w:spacing w:after="0" w:before="0"/>
            </w:pPr>
            <w:r/>
            <w:r>
              <w:rPr>
                <w:rFonts w:ascii="Aptos" w:hAnsi="Aptos"/>
                <w:b w:val="0"/>
                <w:color w:val="000000"/>
                <w:sz w:val="14"/>
              </w:rPr>
              <w:t>Defensible communication; facts not privileged</w:t>
            </w:r>
          </w:p>
        </w:tc>
        <w:tc>
          <w:tcPr>
            <w:tcW w:type="dxa" w:w="10080"/>
            <w:vAlign w:val="top"/>
            <w:shd w:fill="F2F6FA"/>
          </w:tcPr>
          <w:p>
            <w:pPr>
              <w:spacing w:after="0" w:before="0"/>
            </w:pPr>
            <w:r/>
            <w:r>
              <w:rPr>
                <w:rFonts w:ascii="Aptos" w:hAnsi="Aptos"/>
                <w:b w:val="0"/>
                <w:color w:val="000000"/>
                <w:sz w:val="14"/>
              </w:rPr>
              <w:t>Client-to-counsel factual background for legal advice is privileged as a communication. Historical operational facts and source records are discoverable independently. Recommended action: Retain communication; produce responsive source documents/attachments after separate review.</w:t>
            </w:r>
          </w:p>
        </w:tc>
      </w:tr>
      <w:tr>
        <w:trPr>
          <w:cantSplit/>
        </w:trPr>
        <w:tc>
          <w:tcPr>
            <w:tcW w:type="dxa" w:w="648"/>
            <w:vAlign w:val="top"/>
          </w:tcPr>
          <w:p>
            <w:pPr>
              <w:spacing w:after="0" w:before="0"/>
            </w:pPr>
            <w:r/>
            <w:r>
              <w:rPr>
                <w:rFonts w:ascii="Aptos" w:hAnsi="Aptos"/>
                <w:b w:val="0"/>
                <w:color w:val="000000"/>
                <w:sz w:val="14"/>
              </w:rPr>
              <w:t>28</w:t>
            </w:r>
          </w:p>
        </w:tc>
        <w:tc>
          <w:tcPr>
            <w:tcW w:type="dxa" w:w="2131"/>
            <w:vAlign w:val="top"/>
          </w:tcPr>
          <w:p>
            <w:pPr>
              <w:spacing w:after="0" w:before="0"/>
            </w:pPr>
            <w:r/>
            <w:r>
              <w:rPr>
                <w:rFonts w:ascii="Aptos" w:hAnsi="Aptos"/>
                <w:b w:val="0"/>
                <w:color w:val="000000"/>
                <w:sz w:val="14"/>
              </w:rPr>
              <w:t>TF-PRIV-000219–000225</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Counsel legal research prepared for litigation strategy. Recommended action: Retain.</w:t>
            </w:r>
          </w:p>
        </w:tc>
      </w:tr>
      <w:tr>
        <w:trPr>
          <w:cantSplit/>
        </w:trPr>
        <w:tc>
          <w:tcPr>
            <w:tcW w:type="dxa" w:w="648"/>
            <w:vAlign w:val="top"/>
            <w:shd w:fill="F2F6FA"/>
          </w:tcPr>
          <w:p>
            <w:pPr>
              <w:spacing w:after="0" w:before="0"/>
            </w:pPr>
            <w:r/>
            <w:r>
              <w:rPr>
                <w:rFonts w:ascii="Aptos" w:hAnsi="Aptos"/>
                <w:b w:val="0"/>
                <w:color w:val="000000"/>
                <w:sz w:val="14"/>
              </w:rPr>
              <w:t>29</w:t>
            </w:r>
          </w:p>
        </w:tc>
        <w:tc>
          <w:tcPr>
            <w:tcW w:type="dxa" w:w="2131"/>
            <w:vAlign w:val="top"/>
            <w:shd w:fill="F2F6FA"/>
          </w:tcPr>
          <w:p>
            <w:pPr>
              <w:spacing w:after="0" w:before="0"/>
            </w:pPr>
            <w:r/>
            <w:r>
              <w:rPr>
                <w:rFonts w:ascii="Aptos" w:hAnsi="Aptos"/>
                <w:b w:val="0"/>
                <w:color w:val="000000"/>
                <w:sz w:val="14"/>
              </w:rPr>
              <w:t>TF-PRIV-000226–000235</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Outside counsel allocation/contribution analysis and mental impressions for litigation. Recommended action: Retain; confirm no third-party distribution.</w:t>
            </w:r>
          </w:p>
        </w:tc>
      </w:tr>
      <w:tr>
        <w:trPr>
          <w:cantSplit/>
        </w:trPr>
        <w:tc>
          <w:tcPr>
            <w:tcW w:type="dxa" w:w="648"/>
            <w:vAlign w:val="top"/>
          </w:tcPr>
          <w:p>
            <w:pPr>
              <w:spacing w:after="0" w:before="0"/>
            </w:pPr>
            <w:r/>
            <w:r>
              <w:rPr>
                <w:rFonts w:ascii="Aptos" w:hAnsi="Aptos"/>
                <w:b w:val="0"/>
                <w:color w:val="000000"/>
                <w:sz w:val="14"/>
              </w:rPr>
              <w:t>30</w:t>
            </w:r>
          </w:p>
        </w:tc>
        <w:tc>
          <w:tcPr>
            <w:tcW w:type="dxa" w:w="2131"/>
            <w:vAlign w:val="top"/>
          </w:tcPr>
          <w:p>
            <w:pPr>
              <w:spacing w:after="0" w:before="0"/>
            </w:pPr>
            <w:r/>
            <w:r>
              <w:rPr>
                <w:rFonts w:ascii="Aptos" w:hAnsi="Aptos"/>
                <w:b w:val="0"/>
                <w:color w:val="000000"/>
                <w:sz w:val="14"/>
              </w:rPr>
              <w:t>TF-PRIV-000236–000243</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GC legal update and recommendations for anticipated enforcement/litigation. Recommended action: Retain legal advice; separate administrative status facts if nonstrategic.</w:t>
            </w:r>
          </w:p>
        </w:tc>
      </w:tr>
      <w:tr>
        <w:trPr>
          <w:cantSplit/>
        </w:trPr>
        <w:tc>
          <w:tcPr>
            <w:tcW w:type="dxa" w:w="648"/>
            <w:vAlign w:val="top"/>
            <w:shd w:fill="F2F6FA"/>
          </w:tcPr>
          <w:p>
            <w:pPr>
              <w:spacing w:after="0" w:before="0"/>
            </w:pPr>
            <w:r/>
            <w:r>
              <w:rPr>
                <w:rFonts w:ascii="Aptos" w:hAnsi="Aptos"/>
                <w:b w:val="0"/>
                <w:color w:val="000000"/>
                <w:sz w:val="14"/>
              </w:rPr>
              <w:t>31</w:t>
            </w:r>
          </w:p>
        </w:tc>
        <w:tc>
          <w:tcPr>
            <w:tcW w:type="dxa" w:w="2131"/>
            <w:vAlign w:val="top"/>
            <w:shd w:fill="F2F6FA"/>
          </w:tcPr>
          <w:p>
            <w:pPr>
              <w:spacing w:after="0" w:before="0"/>
            </w:pPr>
            <w:r/>
            <w:r>
              <w:rPr>
                <w:rFonts w:ascii="Aptos" w:hAnsi="Aptos"/>
                <w:b w:val="0"/>
                <w:color w:val="000000"/>
                <w:sz w:val="14"/>
              </w:rPr>
              <w:t>TF-PRIV-000244–000250</w:t>
            </w:r>
          </w:p>
        </w:tc>
        <w:tc>
          <w:tcPr>
            <w:tcW w:type="dxa" w:w="2448"/>
            <w:vAlign w:val="top"/>
            <w:shd w:fill="F2F6FA"/>
          </w:tcPr>
          <w:p>
            <w:pPr>
              <w:spacing w:after="0" w:before="0"/>
            </w:pPr>
            <w:r/>
            <w:r>
              <w:rPr>
                <w:rFonts w:ascii="Aptos" w:hAnsi="Aptos"/>
                <w:b w:val="0"/>
                <w:color w:val="000000"/>
                <w:sz w:val="14"/>
              </w:rPr>
              <w:t>Not defensible — nonlawyer / government relations</w:t>
            </w:r>
          </w:p>
        </w:tc>
        <w:tc>
          <w:tcPr>
            <w:tcW w:type="dxa" w:w="10080"/>
            <w:vAlign w:val="top"/>
            <w:shd w:fill="F2F6FA"/>
          </w:tcPr>
          <w:p>
            <w:pPr>
              <w:spacing w:after="0" w:before="0"/>
            </w:pPr>
            <w:r/>
            <w:r>
              <w:rPr>
                <w:rFonts w:ascii="Aptos" w:hAnsi="Aptos"/>
                <w:b w:val="0"/>
                <w:color w:val="000000"/>
                <w:sz w:val="14"/>
              </w:rPr>
              <w:t>Molina is not licensed, not in legal department, and has never provided legal advice. Sample is messaging, meeting prep, and business/regulatory liaison work. Recommended action: Produce; no ACP from a “counsel” label.</w:t>
            </w:r>
          </w:p>
        </w:tc>
      </w:tr>
      <w:tr>
        <w:trPr>
          <w:cantSplit/>
        </w:trPr>
        <w:tc>
          <w:tcPr>
            <w:tcW w:type="dxa" w:w="648"/>
            <w:vAlign w:val="top"/>
          </w:tcPr>
          <w:p>
            <w:pPr>
              <w:spacing w:after="0" w:before="0"/>
            </w:pPr>
            <w:r/>
            <w:r>
              <w:rPr>
                <w:rFonts w:ascii="Aptos" w:hAnsi="Aptos"/>
                <w:b w:val="0"/>
                <w:color w:val="000000"/>
                <w:sz w:val="14"/>
              </w:rPr>
              <w:t>32</w:t>
            </w:r>
          </w:p>
        </w:tc>
        <w:tc>
          <w:tcPr>
            <w:tcW w:type="dxa" w:w="2131"/>
            <w:vAlign w:val="top"/>
          </w:tcPr>
          <w:p>
            <w:pPr>
              <w:spacing w:after="0" w:before="0"/>
            </w:pPr>
            <w:r/>
            <w:r>
              <w:rPr>
                <w:rFonts w:ascii="Aptos" w:hAnsi="Aptos"/>
                <w:b w:val="0"/>
                <w:color w:val="000000"/>
                <w:sz w:val="14"/>
              </w:rPr>
              <w:t>TF-PRIV-000251–000258</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Outside counsel legal assessment and recommended defense strategy. Recommended action: Retain; produce underlying agency records.</w:t>
            </w:r>
          </w:p>
        </w:tc>
      </w:tr>
      <w:tr>
        <w:trPr>
          <w:cantSplit/>
        </w:trPr>
        <w:tc>
          <w:tcPr>
            <w:tcW w:type="dxa" w:w="648"/>
            <w:vAlign w:val="top"/>
            <w:shd w:fill="F2F6FA"/>
          </w:tcPr>
          <w:p>
            <w:pPr>
              <w:spacing w:after="0" w:before="0"/>
            </w:pPr>
            <w:r/>
            <w:r>
              <w:rPr>
                <w:rFonts w:ascii="Aptos" w:hAnsi="Aptos"/>
                <w:b w:val="0"/>
                <w:color w:val="000000"/>
                <w:sz w:val="14"/>
              </w:rPr>
              <w:t>33</w:t>
            </w:r>
          </w:p>
        </w:tc>
        <w:tc>
          <w:tcPr>
            <w:tcW w:type="dxa" w:w="2131"/>
            <w:vAlign w:val="top"/>
            <w:shd w:fill="F2F6FA"/>
          </w:tcPr>
          <w:p>
            <w:pPr>
              <w:spacing w:after="0" w:before="0"/>
            </w:pPr>
            <w:r/>
            <w:r>
              <w:rPr>
                <w:rFonts w:ascii="Aptos" w:hAnsi="Aptos"/>
                <w:b w:val="0"/>
                <w:color w:val="000000"/>
                <w:sz w:val="14"/>
              </w:rPr>
              <w:t>TF-PRIV-000259–000270</w:t>
            </w:r>
          </w:p>
        </w:tc>
        <w:tc>
          <w:tcPr>
            <w:tcW w:type="dxa" w:w="2448"/>
            <w:vAlign w:val="top"/>
            <w:shd w:fill="F2F6FA"/>
          </w:tcPr>
          <w:p>
            <w:pPr>
              <w:spacing w:after="0" w:before="0"/>
            </w:pPr>
            <w:r/>
            <w:r>
              <w:rPr>
                <w:rFonts w:ascii="Aptos" w:hAnsi="Aptos"/>
                <w:b w:val="0"/>
                <w:color w:val="000000"/>
                <w:sz w:val="14"/>
              </w:rPr>
              <w:t>Not defensible — ordinary-course consultant report</w:t>
            </w:r>
          </w:p>
        </w:tc>
        <w:tc>
          <w:tcPr>
            <w:tcW w:type="dxa" w:w="10080"/>
            <w:vAlign w:val="top"/>
            <w:shd w:fill="F2F6FA"/>
          </w:tcPr>
          <w:p>
            <w:pPr>
              <w:spacing w:after="0" w:before="0"/>
            </w:pPr>
            <w:r/>
            <w:r>
              <w:rPr>
                <w:rFonts w:ascii="Aptos" w:hAnsi="Aptos"/>
                <w:b w:val="0"/>
                <w:color w:val="000000"/>
                <w:sz w:val="14"/>
              </w:rPr>
              <w:t>Report expressly arises from Graystone’s routine $1.4m MSA, repeats annual audit methodology, and says it is not legal advice. Pre-litigation routine audit; no counsel direction. Recommended action: Produce report and underlying data; do not claim WP based on confidentiality label.</w:t>
            </w:r>
          </w:p>
        </w:tc>
      </w:tr>
      <w:tr>
        <w:trPr>
          <w:cantSplit/>
        </w:trPr>
        <w:tc>
          <w:tcPr>
            <w:tcW w:type="dxa" w:w="648"/>
            <w:vAlign w:val="top"/>
          </w:tcPr>
          <w:p>
            <w:pPr>
              <w:spacing w:after="0" w:before="0"/>
            </w:pPr>
            <w:r/>
            <w:r>
              <w:rPr>
                <w:rFonts w:ascii="Aptos" w:hAnsi="Aptos"/>
                <w:b w:val="0"/>
                <w:color w:val="000000"/>
                <w:sz w:val="14"/>
              </w:rPr>
              <w:t>34</w:t>
            </w:r>
          </w:p>
        </w:tc>
        <w:tc>
          <w:tcPr>
            <w:tcW w:type="dxa" w:w="2131"/>
            <w:vAlign w:val="top"/>
          </w:tcPr>
          <w:p>
            <w:pPr>
              <w:spacing w:after="0" w:before="0"/>
            </w:pPr>
            <w:r/>
            <w:r>
              <w:rPr>
                <w:rFonts w:ascii="Aptos" w:hAnsi="Aptos"/>
                <w:b w:val="0"/>
                <w:color w:val="000000"/>
                <w:sz w:val="14"/>
              </w:rPr>
              <w:t>TF-PRIV-000271–000278</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Counsel research memo for litigation. Recommended action: Retain.</w:t>
            </w:r>
          </w:p>
        </w:tc>
      </w:tr>
      <w:tr>
        <w:trPr>
          <w:cantSplit/>
        </w:trPr>
        <w:tc>
          <w:tcPr>
            <w:tcW w:type="dxa" w:w="648"/>
            <w:vAlign w:val="top"/>
            <w:shd w:fill="F2F6FA"/>
          </w:tcPr>
          <w:p>
            <w:pPr>
              <w:spacing w:after="0" w:before="0"/>
            </w:pPr>
            <w:r/>
            <w:r>
              <w:rPr>
                <w:rFonts w:ascii="Aptos" w:hAnsi="Aptos"/>
                <w:b w:val="0"/>
                <w:color w:val="000000"/>
                <w:sz w:val="14"/>
              </w:rPr>
              <w:t>35</w:t>
            </w:r>
          </w:p>
        </w:tc>
        <w:tc>
          <w:tcPr>
            <w:tcW w:type="dxa" w:w="2131"/>
            <w:vAlign w:val="top"/>
            <w:shd w:fill="F2F6FA"/>
          </w:tcPr>
          <w:p>
            <w:pPr>
              <w:spacing w:after="0" w:before="0"/>
            </w:pPr>
            <w:r/>
            <w:r>
              <w:rPr>
                <w:rFonts w:ascii="Aptos" w:hAnsi="Aptos"/>
                <w:b w:val="0"/>
                <w:color w:val="000000"/>
                <w:sz w:val="14"/>
              </w:rPr>
              <w:t>TF-PRIV-000279–000285</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GC-to-EHS advice on CERCLA/state-law obligations. Recommended action: Retain advice; produce underlying response facts.</w:t>
            </w:r>
          </w:p>
        </w:tc>
      </w:tr>
      <w:tr>
        <w:trPr>
          <w:cantSplit/>
        </w:trPr>
        <w:tc>
          <w:tcPr>
            <w:tcW w:type="dxa" w:w="648"/>
            <w:vAlign w:val="top"/>
          </w:tcPr>
          <w:p>
            <w:pPr>
              <w:spacing w:after="0" w:before="0"/>
            </w:pPr>
            <w:r/>
            <w:r>
              <w:rPr>
                <w:rFonts w:ascii="Aptos" w:hAnsi="Aptos"/>
                <w:b w:val="0"/>
                <w:color w:val="000000"/>
                <w:sz w:val="14"/>
              </w:rPr>
              <w:t>36</w:t>
            </w:r>
          </w:p>
        </w:tc>
        <w:tc>
          <w:tcPr>
            <w:tcW w:type="dxa" w:w="2131"/>
            <w:vAlign w:val="top"/>
          </w:tcPr>
          <w:p>
            <w:pPr>
              <w:spacing w:after="0" w:before="0"/>
            </w:pPr>
            <w:r/>
            <w:r>
              <w:rPr>
                <w:rFonts w:ascii="Aptos" w:hAnsi="Aptos"/>
                <w:b w:val="0"/>
                <w:color w:val="000000"/>
                <w:sz w:val="14"/>
              </w:rPr>
              <w:t>TF-PRIV-000286–000292</w:t>
            </w:r>
          </w:p>
        </w:tc>
        <w:tc>
          <w:tcPr>
            <w:tcW w:type="dxa" w:w="2448"/>
            <w:vAlign w:val="top"/>
          </w:tcPr>
          <w:p>
            <w:pPr>
              <w:spacing w:after="0" w:before="0"/>
            </w:pPr>
            <w:r/>
            <w:r>
              <w:rPr>
                <w:rFonts w:ascii="Aptos" w:hAnsi="Aptos"/>
                <w:b w:val="0"/>
                <w:color w:val="000000"/>
                <w:sz w:val="14"/>
              </w:rPr>
              <w:t>Defensible ACP/WP</w:t>
            </w:r>
          </w:p>
        </w:tc>
        <w:tc>
          <w:tcPr>
            <w:tcW w:type="dxa" w:w="10080"/>
            <w:vAlign w:val="top"/>
          </w:tcPr>
          <w:p>
            <w:pPr>
              <w:spacing w:after="0" w:before="0"/>
            </w:pPr>
            <w:r/>
            <w:r>
              <w:rPr>
                <w:rFonts w:ascii="Aptos" w:hAnsi="Aptos"/>
                <w:b w:val="0"/>
                <w:color w:val="000000"/>
                <w:sz w:val="14"/>
              </w:rPr>
              <w:t>Outside counsel’s analysis of imminent complaint and responsive strategy. Recommended action: Retain; segregate complaint/public information if quoted.</w:t>
            </w:r>
          </w:p>
        </w:tc>
      </w:tr>
      <w:tr>
        <w:trPr>
          <w:cantSplit/>
        </w:trPr>
        <w:tc>
          <w:tcPr>
            <w:tcW w:type="dxa" w:w="648"/>
            <w:vAlign w:val="top"/>
            <w:shd w:fill="F2F6FA"/>
          </w:tcPr>
          <w:p>
            <w:pPr>
              <w:spacing w:after="0" w:before="0"/>
            </w:pPr>
            <w:r/>
            <w:r>
              <w:rPr>
                <w:rFonts w:ascii="Aptos" w:hAnsi="Aptos"/>
                <w:b w:val="0"/>
                <w:color w:val="000000"/>
                <w:sz w:val="14"/>
              </w:rPr>
              <w:t>37</w:t>
            </w:r>
          </w:p>
        </w:tc>
        <w:tc>
          <w:tcPr>
            <w:tcW w:type="dxa" w:w="2131"/>
            <w:vAlign w:val="top"/>
            <w:shd w:fill="F2F6FA"/>
          </w:tcPr>
          <w:p>
            <w:pPr>
              <w:spacing w:after="0" w:before="0"/>
            </w:pPr>
            <w:r/>
            <w:r>
              <w:rPr>
                <w:rFonts w:ascii="Aptos" w:hAnsi="Aptos"/>
                <w:b w:val="0"/>
                <w:color w:val="000000"/>
                <w:sz w:val="14"/>
              </w:rPr>
              <w:t>TF-PRIV-000293–000301</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Deputy GC’s specific contract/CERCLA legal analysis and advice to Operations; sample expressly states legal purpose. Recommended action: Retain advice; produce contracts, manifests, and underlying operational facts.</w:t>
            </w:r>
          </w:p>
        </w:tc>
      </w:tr>
      <w:tr>
        <w:trPr>
          <w:cantSplit/>
        </w:trPr>
        <w:tc>
          <w:tcPr>
            <w:tcW w:type="dxa" w:w="648"/>
            <w:vAlign w:val="top"/>
          </w:tcPr>
          <w:p>
            <w:pPr>
              <w:spacing w:after="0" w:before="0"/>
            </w:pPr>
            <w:r/>
            <w:r>
              <w:rPr>
                <w:rFonts w:ascii="Aptos" w:hAnsi="Aptos"/>
                <w:b w:val="0"/>
                <w:color w:val="000000"/>
                <w:sz w:val="14"/>
              </w:rPr>
              <w:t>38</w:t>
            </w:r>
          </w:p>
        </w:tc>
        <w:tc>
          <w:tcPr>
            <w:tcW w:type="dxa" w:w="2131"/>
            <w:vAlign w:val="top"/>
          </w:tcPr>
          <w:p>
            <w:pPr>
              <w:spacing w:after="0" w:before="0"/>
            </w:pPr>
            <w:r/>
            <w:r>
              <w:rPr>
                <w:rFonts w:ascii="Aptos" w:hAnsi="Aptos"/>
                <w:b w:val="0"/>
                <w:color w:val="000000"/>
                <w:sz w:val="14"/>
              </w:rPr>
              <w:t>TF-PRIV-000302–000310</w:t>
            </w:r>
          </w:p>
        </w:tc>
        <w:tc>
          <w:tcPr>
            <w:tcW w:type="dxa" w:w="2448"/>
            <w:vAlign w:val="top"/>
          </w:tcPr>
          <w:p>
            <w:pPr>
              <w:spacing w:after="0" w:before="0"/>
            </w:pPr>
            <w:r/>
            <w:r>
              <w:rPr>
                <w:rFonts w:ascii="Aptos" w:hAnsi="Aptos"/>
                <w:b w:val="0"/>
                <w:color w:val="000000"/>
                <w:sz w:val="14"/>
              </w:rPr>
              <w:t>Defensible, but inspect attachment</w:t>
            </w:r>
          </w:p>
        </w:tc>
        <w:tc>
          <w:tcPr>
            <w:tcW w:type="dxa" w:w="10080"/>
            <w:vAlign w:val="top"/>
          </w:tcPr>
          <w:p>
            <w:pPr>
              <w:spacing w:after="0" w:before="0"/>
            </w:pPr>
            <w:r/>
            <w:r>
              <w:rPr>
                <w:rFonts w:ascii="Aptos" w:hAnsi="Aptos"/>
                <w:b w:val="0"/>
                <w:color w:val="000000"/>
                <w:sz w:val="14"/>
              </w:rPr>
              <w:t>Legal advice about preservation/hold in filed action is protected; a circulated hold notice may contain operational instructions and nonprivileged facts. Recommended action: Retain counsel communication; separately assess hold notice/attachment and custodial facts.</w:t>
            </w:r>
          </w:p>
        </w:tc>
      </w:tr>
      <w:tr>
        <w:trPr>
          <w:cantSplit/>
        </w:trPr>
        <w:tc>
          <w:tcPr>
            <w:tcW w:type="dxa" w:w="648"/>
            <w:vAlign w:val="top"/>
            <w:shd w:fill="F2F6FA"/>
          </w:tcPr>
          <w:p>
            <w:pPr>
              <w:spacing w:after="0" w:before="0"/>
            </w:pPr>
            <w:r/>
            <w:r>
              <w:rPr>
                <w:rFonts w:ascii="Aptos" w:hAnsi="Aptos"/>
                <w:b w:val="0"/>
                <w:color w:val="000000"/>
                <w:sz w:val="14"/>
              </w:rPr>
              <w:t>39</w:t>
            </w:r>
          </w:p>
        </w:tc>
        <w:tc>
          <w:tcPr>
            <w:tcW w:type="dxa" w:w="2131"/>
            <w:vAlign w:val="top"/>
            <w:shd w:fill="F2F6FA"/>
          </w:tcPr>
          <w:p>
            <w:pPr>
              <w:spacing w:after="0" w:before="0"/>
            </w:pPr>
            <w:r/>
            <w:r>
              <w:rPr>
                <w:rFonts w:ascii="Aptos" w:hAnsi="Aptos"/>
                <w:b w:val="0"/>
                <w:color w:val="000000"/>
                <w:sz w:val="14"/>
              </w:rPr>
              <w:t>TF-PRIV-000311–000318</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Outside counsel’s claims/defenses and mental impressions after filing. Recommended action: Retain.</w:t>
            </w:r>
          </w:p>
        </w:tc>
      </w:tr>
      <w:tr>
        <w:trPr>
          <w:cantSplit/>
        </w:trPr>
        <w:tc>
          <w:tcPr>
            <w:tcW w:type="dxa" w:w="648"/>
            <w:vAlign w:val="top"/>
          </w:tcPr>
          <w:p>
            <w:pPr>
              <w:spacing w:after="0" w:before="0"/>
            </w:pPr>
            <w:r/>
            <w:r>
              <w:rPr>
                <w:rFonts w:ascii="Aptos" w:hAnsi="Aptos"/>
                <w:b w:val="0"/>
                <w:color w:val="000000"/>
                <w:sz w:val="14"/>
              </w:rPr>
              <w:t>40</w:t>
            </w:r>
          </w:p>
        </w:tc>
        <w:tc>
          <w:tcPr>
            <w:tcW w:type="dxa" w:w="2131"/>
            <w:vAlign w:val="top"/>
          </w:tcPr>
          <w:p>
            <w:pPr>
              <w:spacing w:after="0" w:before="0"/>
            </w:pPr>
            <w:r/>
            <w:r>
              <w:rPr>
                <w:rFonts w:ascii="Aptos" w:hAnsi="Aptos"/>
                <w:b w:val="0"/>
                <w:color w:val="000000"/>
                <w:sz w:val="14"/>
              </w:rPr>
              <w:t>TF-PRIV-000319–000325</w:t>
            </w:r>
          </w:p>
        </w:tc>
        <w:tc>
          <w:tcPr>
            <w:tcW w:type="dxa" w:w="2448"/>
            <w:vAlign w:val="top"/>
          </w:tcPr>
          <w:p>
            <w:pPr>
              <w:spacing w:after="0" w:before="0"/>
            </w:pPr>
            <w:r/>
            <w:r>
              <w:rPr>
                <w:rFonts w:ascii="Aptos" w:hAnsi="Aptos"/>
                <w:b w:val="0"/>
                <w:color w:val="000000"/>
                <w:sz w:val="14"/>
              </w:rPr>
              <w:t>Narrow/conditional</w:t>
            </w:r>
          </w:p>
        </w:tc>
        <w:tc>
          <w:tcPr>
            <w:tcW w:type="dxa" w:w="10080"/>
            <w:vAlign w:val="top"/>
          </w:tcPr>
          <w:p>
            <w:pPr>
              <w:spacing w:after="0" w:before="0"/>
            </w:pPr>
            <w:r/>
            <w:r>
              <w:rPr>
                <w:rFonts w:ascii="Aptos" w:hAnsi="Aptos"/>
                <w:b w:val="0"/>
                <w:color w:val="000000"/>
                <w:sz w:val="14"/>
              </w:rPr>
              <w:t>Client-to-counsel collection coordination may be legal-service communication and reveal selection strategy, but logistics and underlying document identities are not automatically ACP. Recommended action: Protect only legal advice/selection or litigation strategy; produce ordinary collection facts if separable.</w:t>
            </w:r>
          </w:p>
        </w:tc>
      </w:tr>
      <w:tr>
        <w:trPr>
          <w:cantSplit/>
        </w:trPr>
        <w:tc>
          <w:tcPr>
            <w:tcW w:type="dxa" w:w="648"/>
            <w:vAlign w:val="top"/>
            <w:shd w:fill="F2F6FA"/>
          </w:tcPr>
          <w:p>
            <w:pPr>
              <w:spacing w:after="0" w:before="0"/>
            </w:pPr>
            <w:r/>
            <w:r>
              <w:rPr>
                <w:rFonts w:ascii="Aptos" w:hAnsi="Aptos"/>
                <w:b w:val="0"/>
                <w:color w:val="000000"/>
                <w:sz w:val="14"/>
              </w:rPr>
              <w:t>41</w:t>
            </w:r>
          </w:p>
        </w:tc>
        <w:tc>
          <w:tcPr>
            <w:tcW w:type="dxa" w:w="2131"/>
            <w:vAlign w:val="top"/>
            <w:shd w:fill="F2F6FA"/>
          </w:tcPr>
          <w:p>
            <w:pPr>
              <w:spacing w:after="0" w:before="0"/>
            </w:pPr>
            <w:r/>
            <w:r>
              <w:rPr>
                <w:rFonts w:ascii="Aptos" w:hAnsi="Aptos"/>
                <w:b w:val="0"/>
                <w:color w:val="000000"/>
                <w:sz w:val="14"/>
              </w:rPr>
              <w:t>TF-PRIV-000326–000332</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Counsel research and legal strategy. Recommended action: Retain.</w:t>
            </w:r>
          </w:p>
        </w:tc>
      </w:tr>
      <w:tr>
        <w:trPr>
          <w:cantSplit/>
        </w:trPr>
        <w:tc>
          <w:tcPr>
            <w:tcW w:type="dxa" w:w="648"/>
            <w:vAlign w:val="top"/>
          </w:tcPr>
          <w:p>
            <w:pPr>
              <w:spacing w:after="0" w:before="0"/>
            </w:pPr>
            <w:r/>
            <w:r>
              <w:rPr>
                <w:rFonts w:ascii="Aptos" w:hAnsi="Aptos"/>
                <w:b w:val="0"/>
                <w:color w:val="000000"/>
                <w:sz w:val="14"/>
              </w:rPr>
              <w:t>42</w:t>
            </w:r>
          </w:p>
        </w:tc>
        <w:tc>
          <w:tcPr>
            <w:tcW w:type="dxa" w:w="2131"/>
            <w:vAlign w:val="top"/>
          </w:tcPr>
          <w:p>
            <w:pPr>
              <w:spacing w:after="0" w:before="0"/>
            </w:pPr>
            <w:r/>
            <w:r>
              <w:rPr>
                <w:rFonts w:ascii="Aptos" w:hAnsi="Aptos"/>
                <w:b w:val="0"/>
                <w:color w:val="000000"/>
                <w:sz w:val="14"/>
              </w:rPr>
              <w:t>TF-PRIV-000333–000340</w:t>
            </w:r>
          </w:p>
        </w:tc>
        <w:tc>
          <w:tcPr>
            <w:tcW w:type="dxa" w:w="2448"/>
            <w:vAlign w:val="top"/>
          </w:tcPr>
          <w:p>
            <w:pPr>
              <w:spacing w:after="0" w:before="0"/>
            </w:pPr>
            <w:r/>
            <w:r>
              <w:rPr>
                <w:rFonts w:ascii="Aptos" w:hAnsi="Aptos"/>
                <w:b w:val="0"/>
                <w:color w:val="000000"/>
                <w:sz w:val="14"/>
              </w:rPr>
              <w:t>Defensible, subject to final-pleading distinction</w:t>
            </w:r>
          </w:p>
        </w:tc>
        <w:tc>
          <w:tcPr>
            <w:tcW w:type="dxa" w:w="10080"/>
            <w:vAlign w:val="top"/>
          </w:tcPr>
          <w:p>
            <w:pPr>
              <w:spacing w:after="0" w:before="0"/>
            </w:pPr>
            <w:r/>
            <w:r>
              <w:rPr>
                <w:rFonts w:ascii="Aptos" w:hAnsi="Aptos"/>
                <w:b w:val="0"/>
                <w:color w:val="000000"/>
                <w:sz w:val="14"/>
              </w:rPr>
              <w:t>Draft answer and counsel’s comments are protected; filed answer is public and not privileged. Recommended action: Retain draft and review email; produce filed version if responsive/public.</w:t>
            </w:r>
          </w:p>
        </w:tc>
      </w:tr>
      <w:tr>
        <w:trPr>
          <w:cantSplit/>
        </w:trPr>
        <w:tc>
          <w:tcPr>
            <w:tcW w:type="dxa" w:w="648"/>
            <w:vAlign w:val="top"/>
            <w:shd w:fill="F2F6FA"/>
          </w:tcPr>
          <w:p>
            <w:pPr>
              <w:spacing w:after="0" w:before="0"/>
            </w:pPr>
            <w:r/>
            <w:r>
              <w:rPr>
                <w:rFonts w:ascii="Aptos" w:hAnsi="Aptos"/>
                <w:b w:val="0"/>
                <w:color w:val="000000"/>
                <w:sz w:val="14"/>
              </w:rPr>
              <w:t>43</w:t>
            </w:r>
          </w:p>
        </w:tc>
        <w:tc>
          <w:tcPr>
            <w:tcW w:type="dxa" w:w="2131"/>
            <w:vAlign w:val="top"/>
            <w:shd w:fill="F2F6FA"/>
          </w:tcPr>
          <w:p>
            <w:pPr>
              <w:spacing w:after="0" w:before="0"/>
            </w:pPr>
            <w:r/>
            <w:r>
              <w:rPr>
                <w:rFonts w:ascii="Aptos" w:hAnsi="Aptos"/>
                <w:b w:val="0"/>
                <w:color w:val="000000"/>
                <w:sz w:val="14"/>
              </w:rPr>
              <w:t>TF-PRIV-000341–000350</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GC communications to outside counsel about litigation pleading and legal analysis. Recommended action: Retain; verify Arjun’s need to know and separate business edits.</w:t>
            </w:r>
          </w:p>
        </w:tc>
      </w:tr>
      <w:tr>
        <w:trPr>
          <w:cantSplit/>
        </w:trPr>
        <w:tc>
          <w:tcPr>
            <w:tcW w:type="dxa" w:w="648"/>
            <w:vAlign w:val="top"/>
          </w:tcPr>
          <w:p>
            <w:pPr>
              <w:spacing w:after="0" w:before="0"/>
            </w:pPr>
            <w:r/>
            <w:r>
              <w:rPr>
                <w:rFonts w:ascii="Aptos" w:hAnsi="Aptos"/>
                <w:b w:val="0"/>
                <w:color w:val="000000"/>
                <w:sz w:val="14"/>
              </w:rPr>
              <w:t>44</w:t>
            </w:r>
          </w:p>
        </w:tc>
        <w:tc>
          <w:tcPr>
            <w:tcW w:type="dxa" w:w="2131"/>
            <w:vAlign w:val="top"/>
          </w:tcPr>
          <w:p>
            <w:pPr>
              <w:spacing w:after="0" w:before="0"/>
            </w:pPr>
            <w:r/>
            <w:r>
              <w:rPr>
                <w:rFonts w:ascii="Aptos" w:hAnsi="Aptos"/>
                <w:b w:val="0"/>
                <w:color w:val="000000"/>
                <w:sz w:val="14"/>
              </w:rPr>
              <w:t>TF-PRIV-000351–000358</w:t>
            </w:r>
          </w:p>
        </w:tc>
        <w:tc>
          <w:tcPr>
            <w:tcW w:type="dxa" w:w="2448"/>
            <w:vAlign w:val="top"/>
          </w:tcPr>
          <w:p>
            <w:pPr>
              <w:spacing w:after="0" w:before="0"/>
            </w:pPr>
            <w:r/>
            <w:r>
              <w:rPr>
                <w:rFonts w:ascii="Aptos" w:hAnsi="Aptos"/>
                <w:b w:val="0"/>
                <w:color w:val="000000"/>
                <w:sz w:val="14"/>
              </w:rPr>
              <w:t>Narrow/mostly business</w:t>
            </w:r>
          </w:p>
        </w:tc>
        <w:tc>
          <w:tcPr>
            <w:tcW w:type="dxa" w:w="10080"/>
            <w:vAlign w:val="top"/>
          </w:tcPr>
          <w:p>
            <w:pPr>
              <w:spacing w:after="0" w:before="0"/>
            </w:pPr>
            <w:r/>
            <w:r>
              <w:rPr>
                <w:rFonts w:ascii="Aptos" w:hAnsi="Aptos"/>
                <w:b w:val="0"/>
                <w:color w:val="000000"/>
                <w:sz w:val="14"/>
              </w:rPr>
              <w:t>Sample is a multi-page production, vendor pricing, staffing, capex, and operations report. Only final question seeks legal review of waste-handling procedure; no legal answer included. Recommended action: Do not withhold whole chain. Produce business body; consider narrowly redacting only the request for counsel if privilege review supports it.</w:t>
            </w:r>
          </w:p>
        </w:tc>
      </w:tr>
      <w:tr>
        <w:trPr>
          <w:cantSplit/>
        </w:trPr>
        <w:tc>
          <w:tcPr>
            <w:tcW w:type="dxa" w:w="648"/>
            <w:vAlign w:val="top"/>
            <w:shd w:fill="F2F6FA"/>
          </w:tcPr>
          <w:p>
            <w:pPr>
              <w:spacing w:after="0" w:before="0"/>
            </w:pPr>
            <w:r/>
            <w:r>
              <w:rPr>
                <w:rFonts w:ascii="Aptos" w:hAnsi="Aptos"/>
                <w:b w:val="0"/>
                <w:color w:val="000000"/>
                <w:sz w:val="14"/>
              </w:rPr>
              <w:t>45</w:t>
            </w:r>
          </w:p>
        </w:tc>
        <w:tc>
          <w:tcPr>
            <w:tcW w:type="dxa" w:w="2131"/>
            <w:vAlign w:val="top"/>
            <w:shd w:fill="F2F6FA"/>
          </w:tcPr>
          <w:p>
            <w:pPr>
              <w:spacing w:after="0" w:before="0"/>
            </w:pPr>
            <w:r/>
            <w:r>
              <w:rPr>
                <w:rFonts w:ascii="Aptos" w:hAnsi="Aptos"/>
                <w:b w:val="0"/>
                <w:color w:val="000000"/>
                <w:sz w:val="14"/>
              </w:rPr>
              <w:t>TF-PRIV-000359–000365</w:t>
            </w:r>
          </w:p>
        </w:tc>
        <w:tc>
          <w:tcPr>
            <w:tcW w:type="dxa" w:w="2448"/>
            <w:vAlign w:val="top"/>
            <w:shd w:fill="F2F6FA"/>
          </w:tcPr>
          <w:p>
            <w:pPr>
              <w:spacing w:after="0" w:before="0"/>
            </w:pPr>
            <w:r/>
            <w:r>
              <w:rPr>
                <w:rFonts w:ascii="Aptos" w:hAnsi="Aptos"/>
                <w:b w:val="0"/>
                <w:color w:val="000000"/>
                <w:sz w:val="14"/>
              </w:rPr>
              <w:t>Defensible ACP/WP</w:t>
            </w:r>
          </w:p>
        </w:tc>
        <w:tc>
          <w:tcPr>
            <w:tcW w:type="dxa" w:w="10080"/>
            <w:vAlign w:val="top"/>
            <w:shd w:fill="F2F6FA"/>
          </w:tcPr>
          <w:p>
            <w:pPr>
              <w:spacing w:after="0" w:before="0"/>
            </w:pPr>
            <w:r/>
            <w:r>
              <w:rPr>
                <w:rFonts w:ascii="Aptos" w:hAnsi="Aptos"/>
                <w:b w:val="0"/>
                <w:color w:val="000000"/>
                <w:sz w:val="14"/>
              </w:rPr>
              <w:t>Counsel strategy and discovery planning in pending case. Recommended action: Retain.</w:t>
            </w:r>
          </w:p>
        </w:tc>
      </w:tr>
      <w:tr>
        <w:trPr>
          <w:cantSplit/>
        </w:trPr>
        <w:tc>
          <w:tcPr>
            <w:tcW w:type="dxa" w:w="648"/>
            <w:vAlign w:val="top"/>
          </w:tcPr>
          <w:p>
            <w:pPr>
              <w:spacing w:after="0" w:before="0"/>
            </w:pPr>
            <w:r/>
            <w:r>
              <w:rPr>
                <w:rFonts w:ascii="Aptos" w:hAnsi="Aptos"/>
                <w:b w:val="0"/>
                <w:color w:val="000000"/>
                <w:sz w:val="14"/>
              </w:rPr>
              <w:t>46</w:t>
            </w:r>
          </w:p>
        </w:tc>
        <w:tc>
          <w:tcPr>
            <w:tcW w:type="dxa" w:w="2131"/>
            <w:vAlign w:val="top"/>
          </w:tcPr>
          <w:p>
            <w:pPr>
              <w:spacing w:after="0" w:before="0"/>
            </w:pPr>
            <w:r/>
            <w:r>
              <w:rPr>
                <w:rFonts w:ascii="Aptos" w:hAnsi="Aptos"/>
                <w:b w:val="0"/>
                <w:color w:val="000000"/>
                <w:sz w:val="14"/>
              </w:rPr>
              <w:t>TF-PRIV-000366–000372</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Counsel legal research and strategy. Recommended action: Retain.</w:t>
            </w:r>
          </w:p>
        </w:tc>
      </w:tr>
      <w:tr>
        <w:trPr>
          <w:cantSplit/>
        </w:trPr>
        <w:tc>
          <w:tcPr>
            <w:tcW w:type="dxa" w:w="648"/>
            <w:vAlign w:val="top"/>
            <w:shd w:fill="F2F6FA"/>
          </w:tcPr>
          <w:p>
            <w:pPr>
              <w:spacing w:after="0" w:before="0"/>
            </w:pPr>
            <w:r/>
            <w:r>
              <w:rPr>
                <w:rFonts w:ascii="Aptos" w:hAnsi="Aptos"/>
                <w:b w:val="0"/>
                <w:color w:val="000000"/>
                <w:sz w:val="14"/>
              </w:rPr>
              <w:t>47</w:t>
            </w:r>
          </w:p>
        </w:tc>
        <w:tc>
          <w:tcPr>
            <w:tcW w:type="dxa" w:w="2131"/>
            <w:vAlign w:val="top"/>
            <w:shd w:fill="F2F6FA"/>
          </w:tcPr>
          <w:p>
            <w:pPr>
              <w:spacing w:after="0" w:before="0"/>
            </w:pPr>
            <w:r/>
            <w:r>
              <w:rPr>
                <w:rFonts w:ascii="Aptos" w:hAnsi="Aptos"/>
                <w:b w:val="0"/>
                <w:color w:val="000000"/>
                <w:sz w:val="14"/>
              </w:rPr>
              <w:t>TF-PRIV-000373–000380</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GC-to-EHS legal advice on response to regulator/investigation. Recommended action: Retain legal analysis; produce sampling data and agency request.</w:t>
            </w:r>
          </w:p>
        </w:tc>
      </w:tr>
      <w:tr>
        <w:trPr>
          <w:cantSplit/>
        </w:trPr>
        <w:tc>
          <w:tcPr>
            <w:tcW w:type="dxa" w:w="648"/>
            <w:vAlign w:val="top"/>
          </w:tcPr>
          <w:p>
            <w:pPr>
              <w:spacing w:after="0" w:before="0"/>
            </w:pPr>
            <w:r/>
            <w:r>
              <w:rPr>
                <w:rFonts w:ascii="Aptos" w:hAnsi="Aptos"/>
                <w:b w:val="0"/>
                <w:color w:val="000000"/>
                <w:sz w:val="14"/>
              </w:rPr>
              <w:t>48</w:t>
            </w:r>
          </w:p>
        </w:tc>
        <w:tc>
          <w:tcPr>
            <w:tcW w:type="dxa" w:w="2131"/>
            <w:vAlign w:val="top"/>
          </w:tcPr>
          <w:p>
            <w:pPr>
              <w:spacing w:after="0" w:before="0"/>
            </w:pPr>
            <w:r/>
            <w:r>
              <w:rPr>
                <w:rFonts w:ascii="Aptos" w:hAnsi="Aptos"/>
                <w:b w:val="0"/>
                <w:color w:val="000000"/>
                <w:sz w:val="14"/>
              </w:rPr>
              <w:t>TF-PRIV-000381–000388</w:t>
            </w:r>
          </w:p>
        </w:tc>
        <w:tc>
          <w:tcPr>
            <w:tcW w:type="dxa" w:w="2448"/>
            <w:vAlign w:val="top"/>
          </w:tcPr>
          <w:p>
            <w:pPr>
              <w:spacing w:after="0" w:before="0"/>
            </w:pPr>
            <w:r/>
            <w:r>
              <w:rPr>
                <w:rFonts w:ascii="Aptos" w:hAnsi="Aptos"/>
                <w:b w:val="0"/>
                <w:color w:val="000000"/>
                <w:sz w:val="14"/>
              </w:rPr>
              <w:t>Narrow/conditional</w:t>
            </w:r>
          </w:p>
        </w:tc>
        <w:tc>
          <w:tcPr>
            <w:tcW w:type="dxa" w:w="10080"/>
            <w:vAlign w:val="top"/>
          </w:tcPr>
          <w:p>
            <w:pPr>
              <w:spacing w:after="0" w:before="0"/>
            </w:pPr>
            <w:r/>
            <w:r>
              <w:rPr>
                <w:rFonts w:ascii="Aptos" w:hAnsi="Aptos"/>
                <w:b w:val="0"/>
                <w:color w:val="000000"/>
                <w:sz w:val="14"/>
              </w:rPr>
              <w:t>Litigation budget and strategy timeline may reveal counsel’s work/product and strategy; raw costs/rates and corporate financial facts may be nonprivileged. Recommended action: Retain strategic analysis; segregate invoices, rate schedules, and independently existing financial data.</w:t>
            </w:r>
          </w:p>
        </w:tc>
      </w:tr>
      <w:tr>
        <w:trPr>
          <w:cantSplit/>
        </w:trPr>
        <w:tc>
          <w:tcPr>
            <w:tcW w:type="dxa" w:w="648"/>
            <w:vAlign w:val="top"/>
            <w:shd w:fill="F2F6FA"/>
          </w:tcPr>
          <w:p>
            <w:pPr>
              <w:spacing w:after="0" w:before="0"/>
            </w:pPr>
            <w:r/>
            <w:r>
              <w:rPr>
                <w:rFonts w:ascii="Aptos" w:hAnsi="Aptos"/>
                <w:b w:val="0"/>
                <w:color w:val="000000"/>
                <w:sz w:val="14"/>
              </w:rPr>
              <w:t>49</w:t>
            </w:r>
          </w:p>
        </w:tc>
        <w:tc>
          <w:tcPr>
            <w:tcW w:type="dxa" w:w="2131"/>
            <w:vAlign w:val="top"/>
            <w:shd w:fill="F2F6FA"/>
          </w:tcPr>
          <w:p>
            <w:pPr>
              <w:spacing w:after="0" w:before="0"/>
            </w:pPr>
            <w:r/>
            <w:r>
              <w:rPr>
                <w:rFonts w:ascii="Aptos" w:hAnsi="Aptos"/>
                <w:b w:val="0"/>
                <w:color w:val="000000"/>
                <w:sz w:val="14"/>
              </w:rPr>
              <w:t>TF-PRIV-000389–000395</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Deputy GC legal advice to EHS regarding employee participation in pending litigation. Recommended action: Retain; underlying employee facts remain discoverable.</w:t>
            </w:r>
          </w:p>
        </w:tc>
      </w:tr>
      <w:tr>
        <w:trPr>
          <w:cantSplit/>
        </w:trPr>
        <w:tc>
          <w:tcPr>
            <w:tcW w:type="dxa" w:w="648"/>
            <w:vAlign w:val="top"/>
          </w:tcPr>
          <w:p>
            <w:pPr>
              <w:spacing w:after="0" w:before="0"/>
            </w:pPr>
            <w:r/>
            <w:r>
              <w:rPr>
                <w:rFonts w:ascii="Aptos" w:hAnsi="Aptos"/>
                <w:b w:val="0"/>
                <w:color w:val="000000"/>
                <w:sz w:val="14"/>
              </w:rPr>
              <w:t>50</w:t>
            </w:r>
          </w:p>
        </w:tc>
        <w:tc>
          <w:tcPr>
            <w:tcW w:type="dxa" w:w="2131"/>
            <w:vAlign w:val="top"/>
          </w:tcPr>
          <w:p>
            <w:pPr>
              <w:spacing w:after="0" w:before="0"/>
            </w:pPr>
            <w:r/>
            <w:r>
              <w:rPr>
                <w:rFonts w:ascii="Aptos" w:hAnsi="Aptos"/>
                <w:b w:val="0"/>
                <w:color w:val="000000"/>
                <w:sz w:val="14"/>
              </w:rPr>
              <w:t>TF-PRIV-000396–000402</w:t>
            </w:r>
          </w:p>
        </w:tc>
        <w:tc>
          <w:tcPr>
            <w:tcW w:type="dxa" w:w="2448"/>
            <w:vAlign w:val="top"/>
          </w:tcPr>
          <w:p>
            <w:pPr>
              <w:spacing w:after="0" w:before="0"/>
            </w:pPr>
            <w:r/>
            <w:r>
              <w:rPr>
                <w:rFonts w:ascii="Aptos" w:hAnsi="Aptos"/>
                <w:b w:val="0"/>
                <w:color w:val="000000"/>
                <w:sz w:val="14"/>
              </w:rPr>
              <w:t>Defensible, inspect hold attachment</w:t>
            </w:r>
          </w:p>
        </w:tc>
        <w:tc>
          <w:tcPr>
            <w:tcW w:type="dxa" w:w="10080"/>
            <w:vAlign w:val="top"/>
          </w:tcPr>
          <w:p>
            <w:pPr>
              <w:spacing w:after="0" w:before="0"/>
            </w:pPr>
            <w:r/>
            <w:r>
              <w:rPr>
                <w:rFonts w:ascii="Aptos" w:hAnsi="Aptos"/>
                <w:b w:val="0"/>
                <w:color w:val="000000"/>
                <w:sz w:val="14"/>
              </w:rPr>
              <w:t>Legal advice and preservation strategy protected; operational hold notice may need narrower treatment. Recommended action: Retain legal communications; review any distributed notice/attachment separately.</w:t>
            </w:r>
          </w:p>
        </w:tc>
      </w:tr>
      <w:tr>
        <w:trPr>
          <w:cantSplit/>
        </w:trPr>
        <w:tc>
          <w:tcPr>
            <w:tcW w:type="dxa" w:w="648"/>
            <w:vAlign w:val="top"/>
            <w:shd w:fill="F2F6FA"/>
          </w:tcPr>
          <w:p>
            <w:pPr>
              <w:spacing w:after="0" w:before="0"/>
            </w:pPr>
            <w:r/>
            <w:r>
              <w:rPr>
                <w:rFonts w:ascii="Aptos" w:hAnsi="Aptos"/>
                <w:b w:val="0"/>
                <w:color w:val="000000"/>
                <w:sz w:val="14"/>
              </w:rPr>
              <w:t>51</w:t>
            </w:r>
          </w:p>
        </w:tc>
        <w:tc>
          <w:tcPr>
            <w:tcW w:type="dxa" w:w="2131"/>
            <w:vAlign w:val="top"/>
            <w:shd w:fill="F2F6FA"/>
          </w:tcPr>
          <w:p>
            <w:pPr>
              <w:spacing w:after="0" w:before="0"/>
            </w:pPr>
            <w:r/>
            <w:r>
              <w:rPr>
                <w:rFonts w:ascii="Aptos" w:hAnsi="Aptos"/>
                <w:b w:val="0"/>
                <w:color w:val="000000"/>
                <w:sz w:val="14"/>
              </w:rPr>
              <w:t>TF-PRIV-000403–000410</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Counsel research memo. Recommended action: Retain.</w:t>
            </w:r>
          </w:p>
        </w:tc>
      </w:tr>
      <w:tr>
        <w:trPr>
          <w:cantSplit/>
        </w:trPr>
        <w:tc>
          <w:tcPr>
            <w:tcW w:type="dxa" w:w="648"/>
            <w:vAlign w:val="top"/>
          </w:tcPr>
          <w:p>
            <w:pPr>
              <w:spacing w:after="0" w:before="0"/>
            </w:pPr>
            <w:r/>
            <w:r>
              <w:rPr>
                <w:rFonts w:ascii="Aptos" w:hAnsi="Aptos"/>
                <w:b w:val="0"/>
                <w:color w:val="000000"/>
                <w:sz w:val="14"/>
              </w:rPr>
              <w:t>52</w:t>
            </w:r>
          </w:p>
        </w:tc>
        <w:tc>
          <w:tcPr>
            <w:tcW w:type="dxa" w:w="2131"/>
            <w:vAlign w:val="top"/>
          </w:tcPr>
          <w:p>
            <w:pPr>
              <w:spacing w:after="0" w:before="0"/>
            </w:pPr>
            <w:r/>
            <w:r>
              <w:rPr>
                <w:rFonts w:ascii="Aptos" w:hAnsi="Aptos"/>
                <w:b w:val="0"/>
                <w:color w:val="000000"/>
                <w:sz w:val="14"/>
              </w:rPr>
              <w:t>TF-PRIV-000411–000418</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Outside counsel’s response strategy in pending litigation. Recommended action: Retain.</w:t>
            </w:r>
          </w:p>
        </w:tc>
      </w:tr>
      <w:tr>
        <w:trPr>
          <w:cantSplit/>
        </w:trPr>
        <w:tc>
          <w:tcPr>
            <w:tcW w:type="dxa" w:w="648"/>
            <w:vAlign w:val="top"/>
            <w:shd w:fill="F2F6FA"/>
          </w:tcPr>
          <w:p>
            <w:pPr>
              <w:spacing w:after="0" w:before="0"/>
            </w:pPr>
            <w:r/>
            <w:r>
              <w:rPr>
                <w:rFonts w:ascii="Aptos" w:hAnsi="Aptos"/>
                <w:b w:val="0"/>
                <w:color w:val="000000"/>
                <w:sz w:val="14"/>
              </w:rPr>
              <w:t>53</w:t>
            </w:r>
          </w:p>
        </w:tc>
        <w:tc>
          <w:tcPr>
            <w:tcW w:type="dxa" w:w="2131"/>
            <w:vAlign w:val="top"/>
            <w:shd w:fill="F2F6FA"/>
          </w:tcPr>
          <w:p>
            <w:pPr>
              <w:spacing w:after="0" w:before="0"/>
            </w:pPr>
            <w:r/>
            <w:r>
              <w:rPr>
                <w:rFonts w:ascii="Aptos" w:hAnsi="Aptos"/>
                <w:b w:val="0"/>
                <w:color w:val="000000"/>
                <w:sz w:val="14"/>
              </w:rPr>
              <w:t>TF-PRIV-000419–000425</w:t>
            </w:r>
          </w:p>
        </w:tc>
        <w:tc>
          <w:tcPr>
            <w:tcW w:type="dxa" w:w="2448"/>
            <w:vAlign w:val="top"/>
            <w:shd w:fill="F2F6FA"/>
          </w:tcPr>
          <w:p>
            <w:pPr>
              <w:spacing w:after="0" w:before="0"/>
            </w:pPr>
            <w:r/>
            <w:r>
              <w:rPr>
                <w:rFonts w:ascii="Aptos" w:hAnsi="Aptos"/>
                <w:b w:val="0"/>
                <w:color w:val="000000"/>
                <w:sz w:val="14"/>
              </w:rPr>
              <w:t>Defensible, subject to need-to-know</w:t>
            </w:r>
          </w:p>
        </w:tc>
        <w:tc>
          <w:tcPr>
            <w:tcW w:type="dxa" w:w="10080"/>
            <w:vAlign w:val="top"/>
            <w:shd w:fill="F2F6FA"/>
          </w:tcPr>
          <w:p>
            <w:pPr>
              <w:spacing w:after="0" w:before="0"/>
            </w:pPr>
            <w:r/>
            <w:r>
              <w:rPr>
                <w:rFonts w:ascii="Aptos" w:hAnsi="Aptos"/>
                <w:b w:val="0"/>
                <w:color w:val="000000"/>
                <w:sz w:val="14"/>
              </w:rPr>
              <w:t>Deputy GC legal instructions to operations custodians for discovery collection; sample/log indicates legal purpose. Recommended action: Retain advice/strategy; underlying responsive records and facts are not privileged.</w:t>
            </w:r>
          </w:p>
        </w:tc>
      </w:tr>
      <w:tr>
        <w:trPr>
          <w:cantSplit/>
        </w:trPr>
        <w:tc>
          <w:tcPr>
            <w:tcW w:type="dxa" w:w="648"/>
            <w:vAlign w:val="top"/>
          </w:tcPr>
          <w:p>
            <w:pPr>
              <w:spacing w:after="0" w:before="0"/>
            </w:pPr>
            <w:r/>
            <w:r>
              <w:rPr>
                <w:rFonts w:ascii="Aptos" w:hAnsi="Aptos"/>
                <w:b w:val="0"/>
                <w:color w:val="000000"/>
                <w:sz w:val="14"/>
              </w:rPr>
              <w:t>54</w:t>
            </w:r>
          </w:p>
        </w:tc>
        <w:tc>
          <w:tcPr>
            <w:tcW w:type="dxa" w:w="2131"/>
            <w:vAlign w:val="top"/>
          </w:tcPr>
          <w:p>
            <w:pPr>
              <w:spacing w:after="0" w:before="0"/>
            </w:pPr>
            <w:r/>
            <w:r>
              <w:rPr>
                <w:rFonts w:ascii="Aptos" w:hAnsi="Aptos"/>
                <w:b w:val="0"/>
                <w:color w:val="000000"/>
                <w:sz w:val="14"/>
              </w:rPr>
              <w:t>TF-PRIV-000426–000433</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GC-to-CEO privileged legal update and recommendations. Recommended action: Retain advice; separate nonstrategic status facts.</w:t>
            </w:r>
          </w:p>
        </w:tc>
      </w:tr>
      <w:tr>
        <w:trPr>
          <w:cantSplit/>
        </w:trPr>
        <w:tc>
          <w:tcPr>
            <w:tcW w:type="dxa" w:w="648"/>
            <w:vAlign w:val="top"/>
            <w:shd w:fill="F2F6FA"/>
          </w:tcPr>
          <w:p>
            <w:pPr>
              <w:spacing w:after="0" w:before="0"/>
            </w:pPr>
            <w:r/>
            <w:r>
              <w:rPr>
                <w:rFonts w:ascii="Aptos" w:hAnsi="Aptos"/>
                <w:b w:val="0"/>
                <w:color w:val="000000"/>
                <w:sz w:val="14"/>
              </w:rPr>
              <w:t>55</w:t>
            </w:r>
          </w:p>
        </w:tc>
        <w:tc>
          <w:tcPr>
            <w:tcW w:type="dxa" w:w="2131"/>
            <w:vAlign w:val="top"/>
            <w:shd w:fill="F2F6FA"/>
          </w:tcPr>
          <w:p>
            <w:pPr>
              <w:spacing w:after="0" w:before="0"/>
            </w:pPr>
            <w:r/>
            <w:r>
              <w:rPr>
                <w:rFonts w:ascii="Aptos" w:hAnsi="Aptos"/>
                <w:b w:val="0"/>
                <w:color w:val="000000"/>
                <w:sz w:val="14"/>
              </w:rPr>
              <w:t>TF-PRIV-000434–000440</w:t>
            </w:r>
          </w:p>
        </w:tc>
        <w:tc>
          <w:tcPr>
            <w:tcW w:type="dxa" w:w="2448"/>
            <w:vAlign w:val="top"/>
            <w:shd w:fill="F2F6FA"/>
          </w:tcPr>
          <w:p>
            <w:pPr>
              <w:spacing w:after="0" w:before="0"/>
            </w:pPr>
            <w:r/>
            <w:r>
              <w:rPr>
                <w:rFonts w:ascii="Aptos" w:hAnsi="Aptos"/>
                <w:b w:val="0"/>
                <w:color w:val="000000"/>
                <w:sz w:val="14"/>
              </w:rPr>
              <w:t>Not defensible — lobbying/business</w:t>
            </w:r>
          </w:p>
        </w:tc>
        <w:tc>
          <w:tcPr>
            <w:tcW w:type="dxa" w:w="10080"/>
            <w:vAlign w:val="top"/>
            <w:shd w:fill="F2F6FA"/>
          </w:tcPr>
          <w:p>
            <w:pPr>
              <w:spacing w:after="0" w:before="0"/>
            </w:pPr>
            <w:r/>
            <w:r>
              <w:rPr>
                <w:rFonts w:ascii="Aptos" w:hAnsi="Aptos"/>
                <w:b w:val="0"/>
                <w:color w:val="000000"/>
                <w:sz w:val="14"/>
              </w:rPr>
              <w:t>Molina is nonlawyer government-relations executive; sample is legislative lobbying plan and budget approval. Recommended action: Produce.</w:t>
            </w:r>
          </w:p>
        </w:tc>
      </w:tr>
      <w:tr>
        <w:trPr>
          <w:cantSplit/>
        </w:trPr>
        <w:tc>
          <w:tcPr>
            <w:tcW w:type="dxa" w:w="648"/>
            <w:vAlign w:val="top"/>
          </w:tcPr>
          <w:p>
            <w:pPr>
              <w:spacing w:after="0" w:before="0"/>
            </w:pPr>
            <w:r/>
            <w:r>
              <w:rPr>
                <w:rFonts w:ascii="Aptos" w:hAnsi="Aptos"/>
                <w:b w:val="0"/>
                <w:color w:val="000000"/>
                <w:sz w:val="14"/>
              </w:rPr>
              <w:t>56</w:t>
            </w:r>
          </w:p>
        </w:tc>
        <w:tc>
          <w:tcPr>
            <w:tcW w:type="dxa" w:w="2131"/>
            <w:vAlign w:val="top"/>
          </w:tcPr>
          <w:p>
            <w:pPr>
              <w:spacing w:after="0" w:before="0"/>
            </w:pPr>
            <w:r/>
            <w:r>
              <w:rPr>
                <w:rFonts w:ascii="Aptos" w:hAnsi="Aptos"/>
                <w:b w:val="0"/>
                <w:color w:val="000000"/>
                <w:sz w:val="14"/>
              </w:rPr>
              <w:t>TF-PRIV-000441–000448</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Outside counsel analysis of potential dispositive motion and claims. Recommended action: Retain.</w:t>
            </w:r>
          </w:p>
        </w:tc>
      </w:tr>
      <w:tr>
        <w:trPr>
          <w:cantSplit/>
        </w:trPr>
        <w:tc>
          <w:tcPr>
            <w:tcW w:type="dxa" w:w="648"/>
            <w:vAlign w:val="top"/>
            <w:shd w:fill="F2F6FA"/>
          </w:tcPr>
          <w:p>
            <w:pPr>
              <w:spacing w:after="0" w:before="0"/>
            </w:pPr>
            <w:r/>
            <w:r>
              <w:rPr>
                <w:rFonts w:ascii="Aptos" w:hAnsi="Aptos"/>
                <w:b w:val="0"/>
                <w:color w:val="000000"/>
                <w:sz w:val="14"/>
              </w:rPr>
              <w:t>57</w:t>
            </w:r>
          </w:p>
        </w:tc>
        <w:tc>
          <w:tcPr>
            <w:tcW w:type="dxa" w:w="2131"/>
            <w:vAlign w:val="top"/>
            <w:shd w:fill="F2F6FA"/>
          </w:tcPr>
          <w:p>
            <w:pPr>
              <w:spacing w:after="0" w:before="0"/>
            </w:pPr>
            <w:r/>
            <w:r>
              <w:rPr>
                <w:rFonts w:ascii="Aptos" w:hAnsi="Aptos"/>
                <w:b w:val="0"/>
                <w:color w:val="000000"/>
                <w:sz w:val="14"/>
              </w:rPr>
              <w:t>TF-PRIV-000449–000458</w:t>
            </w:r>
          </w:p>
        </w:tc>
        <w:tc>
          <w:tcPr>
            <w:tcW w:type="dxa" w:w="2448"/>
            <w:vAlign w:val="top"/>
            <w:shd w:fill="F2F6FA"/>
          </w:tcPr>
          <w:p>
            <w:pPr>
              <w:spacing w:after="0" w:before="0"/>
            </w:pPr>
            <w:r/>
            <w:r>
              <w:rPr>
                <w:rFonts w:ascii="Aptos" w:hAnsi="Aptos"/>
                <w:b w:val="0"/>
                <w:color w:val="000000"/>
                <w:sz w:val="14"/>
              </w:rPr>
              <w:t>Defensible, subject to filed version</w:t>
            </w:r>
          </w:p>
        </w:tc>
        <w:tc>
          <w:tcPr>
            <w:tcW w:type="dxa" w:w="10080"/>
            <w:vAlign w:val="top"/>
            <w:shd w:fill="F2F6FA"/>
          </w:tcPr>
          <w:p>
            <w:pPr>
              <w:spacing w:after="0" w:before="0"/>
            </w:pPr>
            <w:r/>
            <w:r>
              <w:rPr>
                <w:rFonts w:ascii="Aptos" w:hAnsi="Aptos"/>
                <w:b w:val="0"/>
                <w:color w:val="000000"/>
                <w:sz w:val="14"/>
              </w:rPr>
              <w:t>Unfiled draft pleading reveals counsel’s legal strategy; final filed version is public. Recommended action: Retain draft; produce filed/public version if responsive.</w:t>
            </w:r>
          </w:p>
        </w:tc>
      </w:tr>
      <w:tr>
        <w:trPr>
          <w:cantSplit/>
        </w:trPr>
        <w:tc>
          <w:tcPr>
            <w:tcW w:type="dxa" w:w="648"/>
            <w:vAlign w:val="top"/>
          </w:tcPr>
          <w:p>
            <w:pPr>
              <w:spacing w:after="0" w:before="0"/>
            </w:pPr>
            <w:r/>
            <w:r>
              <w:rPr>
                <w:rFonts w:ascii="Aptos" w:hAnsi="Aptos"/>
                <w:b w:val="0"/>
                <w:color w:val="000000"/>
                <w:sz w:val="14"/>
              </w:rPr>
              <w:t>58</w:t>
            </w:r>
          </w:p>
        </w:tc>
        <w:tc>
          <w:tcPr>
            <w:tcW w:type="dxa" w:w="2131"/>
            <w:vAlign w:val="top"/>
          </w:tcPr>
          <w:p>
            <w:pPr>
              <w:spacing w:after="0" w:before="0"/>
            </w:pPr>
            <w:r/>
            <w:r>
              <w:rPr>
                <w:rFonts w:ascii="Aptos" w:hAnsi="Aptos"/>
                <w:b w:val="0"/>
                <w:color w:val="000000"/>
                <w:sz w:val="14"/>
              </w:rPr>
              <w:t>TF-PRIV-000459–000468</w:t>
            </w:r>
          </w:p>
        </w:tc>
        <w:tc>
          <w:tcPr>
            <w:tcW w:type="dxa" w:w="2448"/>
            <w:vAlign w:val="top"/>
          </w:tcPr>
          <w:p>
            <w:pPr>
              <w:spacing w:after="0" w:before="0"/>
            </w:pPr>
            <w:r/>
            <w:r>
              <w:rPr>
                <w:rFonts w:ascii="Aptos" w:hAnsi="Aptos"/>
                <w:b w:val="0"/>
                <w:color w:val="000000"/>
                <w:sz w:val="14"/>
              </w:rPr>
              <w:t>Not defensible — routine consultant inspection</w:t>
            </w:r>
          </w:p>
        </w:tc>
        <w:tc>
          <w:tcPr>
            <w:tcW w:type="dxa" w:w="10080"/>
            <w:vAlign w:val="top"/>
          </w:tcPr>
          <w:p>
            <w:pPr>
              <w:spacing w:after="0" w:before="0"/>
            </w:pPr>
            <w:r/>
            <w:r>
              <w:rPr>
                <w:rFonts w:ascii="Aptos" w:hAnsi="Aptos"/>
                <w:b w:val="0"/>
                <w:color w:val="000000"/>
                <w:sz w:val="14"/>
              </w:rPr>
              <w:t>Sample is a checklist under routine Graystone MSA; predates complaint/hold and reports routine compliance inspections, not counsel-directed litigation work. Recommended action: Produce checklist, readings, and supporting data.</w:t>
            </w:r>
          </w:p>
        </w:tc>
      </w:tr>
      <w:tr>
        <w:trPr>
          <w:cantSplit/>
        </w:trPr>
        <w:tc>
          <w:tcPr>
            <w:tcW w:type="dxa" w:w="648"/>
            <w:vAlign w:val="top"/>
            <w:shd w:fill="F2F6FA"/>
          </w:tcPr>
          <w:p>
            <w:pPr>
              <w:spacing w:after="0" w:before="0"/>
            </w:pPr>
            <w:r/>
            <w:r>
              <w:rPr>
                <w:rFonts w:ascii="Aptos" w:hAnsi="Aptos"/>
                <w:b w:val="0"/>
                <w:color w:val="000000"/>
                <w:sz w:val="14"/>
              </w:rPr>
              <w:t>59</w:t>
            </w:r>
          </w:p>
        </w:tc>
        <w:tc>
          <w:tcPr>
            <w:tcW w:type="dxa" w:w="2131"/>
            <w:vAlign w:val="top"/>
            <w:shd w:fill="F2F6FA"/>
          </w:tcPr>
          <w:p>
            <w:pPr>
              <w:spacing w:after="0" w:before="0"/>
            </w:pPr>
            <w:r/>
            <w:r>
              <w:rPr>
                <w:rFonts w:ascii="Aptos" w:hAnsi="Aptos"/>
                <w:b w:val="0"/>
                <w:color w:val="000000"/>
                <w:sz w:val="14"/>
              </w:rPr>
              <w:t>TF-PRIV-000469–000475</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Counsel communication addressing legal privilege dispute and litigation response. Recommended action: Retain legal advice; do not withhold underlying nonprivileged evidence.</w:t>
            </w:r>
          </w:p>
        </w:tc>
      </w:tr>
      <w:tr>
        <w:trPr>
          <w:cantSplit/>
        </w:trPr>
        <w:tc>
          <w:tcPr>
            <w:tcW w:type="dxa" w:w="648"/>
            <w:vAlign w:val="top"/>
          </w:tcPr>
          <w:p>
            <w:pPr>
              <w:spacing w:after="0" w:before="0"/>
            </w:pPr>
            <w:r/>
            <w:r>
              <w:rPr>
                <w:rFonts w:ascii="Aptos" w:hAnsi="Aptos"/>
                <w:b w:val="0"/>
                <w:color w:val="000000"/>
                <w:sz w:val="14"/>
              </w:rPr>
              <w:t>60</w:t>
            </w:r>
          </w:p>
        </w:tc>
        <w:tc>
          <w:tcPr>
            <w:tcW w:type="dxa" w:w="2131"/>
            <w:vAlign w:val="top"/>
          </w:tcPr>
          <w:p>
            <w:pPr>
              <w:spacing w:after="0" w:before="0"/>
            </w:pPr>
            <w:r/>
            <w:r>
              <w:rPr>
                <w:rFonts w:ascii="Aptos" w:hAnsi="Aptos"/>
                <w:b w:val="0"/>
                <w:color w:val="000000"/>
                <w:sz w:val="14"/>
              </w:rPr>
              <w:t>TF-PRIV-000476–000482</w:t>
            </w:r>
          </w:p>
        </w:tc>
        <w:tc>
          <w:tcPr>
            <w:tcW w:type="dxa" w:w="2448"/>
            <w:vAlign w:val="top"/>
          </w:tcPr>
          <w:p>
            <w:pPr>
              <w:spacing w:after="0" w:before="0"/>
            </w:pPr>
            <w:r/>
            <w:r>
              <w:rPr>
                <w:rFonts w:ascii="Aptos" w:hAnsi="Aptos"/>
                <w:b w:val="0"/>
                <w:color w:val="000000"/>
                <w:sz w:val="14"/>
              </w:rPr>
              <w:t>Defensible, facts segregable</w:t>
            </w:r>
          </w:p>
        </w:tc>
        <w:tc>
          <w:tcPr>
            <w:tcW w:type="dxa" w:w="10080"/>
            <w:vAlign w:val="top"/>
          </w:tcPr>
          <w:p>
            <w:pPr>
              <w:spacing w:after="0" w:before="0"/>
            </w:pPr>
            <w:r/>
            <w:r>
              <w:rPr>
                <w:rFonts w:ascii="Aptos" w:hAnsi="Aptos"/>
                <w:b w:val="0"/>
                <w:color w:val="000000"/>
                <w:sz w:val="14"/>
              </w:rPr>
              <w:t>GC’s legal analysis and privilege considerations about agency response are protected. Recommended action: Retain analysis; produce request, data, and nonprivileged response facts.</w:t>
            </w:r>
          </w:p>
        </w:tc>
      </w:tr>
      <w:tr>
        <w:trPr>
          <w:cantSplit/>
        </w:trPr>
        <w:tc>
          <w:tcPr>
            <w:tcW w:type="dxa" w:w="648"/>
            <w:vAlign w:val="top"/>
            <w:shd w:fill="F2F6FA"/>
          </w:tcPr>
          <w:p>
            <w:pPr>
              <w:spacing w:after="0" w:before="0"/>
            </w:pPr>
            <w:r/>
            <w:r>
              <w:rPr>
                <w:rFonts w:ascii="Aptos" w:hAnsi="Aptos"/>
                <w:b w:val="0"/>
                <w:color w:val="000000"/>
                <w:sz w:val="14"/>
              </w:rPr>
              <w:t>61</w:t>
            </w:r>
          </w:p>
        </w:tc>
        <w:tc>
          <w:tcPr>
            <w:tcW w:type="dxa" w:w="2131"/>
            <w:vAlign w:val="top"/>
            <w:shd w:fill="F2F6FA"/>
          </w:tcPr>
          <w:p>
            <w:pPr>
              <w:spacing w:after="0" w:before="0"/>
            </w:pPr>
            <w:r/>
            <w:r>
              <w:rPr>
                <w:rFonts w:ascii="Aptos" w:hAnsi="Aptos"/>
                <w:b w:val="0"/>
                <w:color w:val="000000"/>
                <w:sz w:val="14"/>
              </w:rPr>
              <w:t>TF-PRIV-000483–000490</w:t>
            </w:r>
          </w:p>
        </w:tc>
        <w:tc>
          <w:tcPr>
            <w:tcW w:type="dxa" w:w="2448"/>
            <w:vAlign w:val="top"/>
            <w:shd w:fill="F2F6FA"/>
          </w:tcPr>
          <w:p>
            <w:pPr>
              <w:spacing w:after="0" w:before="0"/>
            </w:pPr>
            <w:r/>
            <w:r>
              <w:rPr>
                <w:rFonts w:ascii="Aptos" w:hAnsi="Aptos"/>
                <w:b w:val="0"/>
                <w:color w:val="000000"/>
                <w:sz w:val="14"/>
              </w:rPr>
              <w:t>Narrow/conditional</w:t>
            </w:r>
          </w:p>
        </w:tc>
        <w:tc>
          <w:tcPr>
            <w:tcW w:type="dxa" w:w="10080"/>
            <w:vAlign w:val="top"/>
            <w:shd w:fill="F2F6FA"/>
          </w:tcPr>
          <w:p>
            <w:pPr>
              <w:spacing w:after="0" w:before="0"/>
            </w:pPr>
            <w:r/>
            <w:r>
              <w:rPr>
                <w:rFonts w:ascii="Aptos" w:hAnsi="Aptos"/>
                <w:b w:val="0"/>
                <w:color w:val="000000"/>
                <w:sz w:val="14"/>
              </w:rPr>
              <w:t>GC-to-CFO legal advice may be privileged, but insurance/coverage and financial planning can be business matters; CLM engagement excludes coverage disputes (not dispositive of in-house ACP). Recommended action: Review dominant purpose and any claim-handling/business content; segregate financial facts.</w:t>
            </w:r>
          </w:p>
        </w:tc>
      </w:tr>
      <w:tr>
        <w:trPr>
          <w:cantSplit/>
        </w:trPr>
        <w:tc>
          <w:tcPr>
            <w:tcW w:type="dxa" w:w="648"/>
            <w:vAlign w:val="top"/>
          </w:tcPr>
          <w:p>
            <w:pPr>
              <w:spacing w:after="0" w:before="0"/>
            </w:pPr>
            <w:r/>
            <w:r>
              <w:rPr>
                <w:rFonts w:ascii="Aptos" w:hAnsi="Aptos"/>
                <w:b w:val="0"/>
                <w:color w:val="000000"/>
                <w:sz w:val="14"/>
              </w:rPr>
              <w:t>62</w:t>
            </w:r>
          </w:p>
        </w:tc>
        <w:tc>
          <w:tcPr>
            <w:tcW w:type="dxa" w:w="2131"/>
            <w:vAlign w:val="top"/>
          </w:tcPr>
          <w:p>
            <w:pPr>
              <w:spacing w:after="0" w:before="0"/>
            </w:pPr>
            <w:r/>
            <w:r>
              <w:rPr>
                <w:rFonts w:ascii="Aptos" w:hAnsi="Aptos"/>
                <w:b w:val="0"/>
                <w:color w:val="000000"/>
                <w:sz w:val="14"/>
              </w:rPr>
              <w:t>TF-PRIV-000491–000498</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Outside counsel legal assessment and strategy in pending litigation. Recommended action: Retain.</w:t>
            </w:r>
          </w:p>
        </w:tc>
      </w:tr>
      <w:tr>
        <w:trPr>
          <w:cantSplit/>
        </w:trPr>
        <w:tc>
          <w:tcPr>
            <w:tcW w:type="dxa" w:w="648"/>
            <w:vAlign w:val="top"/>
            <w:shd w:fill="F2F6FA"/>
          </w:tcPr>
          <w:p>
            <w:pPr>
              <w:spacing w:after="0" w:before="0"/>
            </w:pPr>
            <w:r/>
            <w:r>
              <w:rPr>
                <w:rFonts w:ascii="Aptos" w:hAnsi="Aptos"/>
                <w:b w:val="0"/>
                <w:color w:val="000000"/>
                <w:sz w:val="14"/>
              </w:rPr>
              <w:t>63</w:t>
            </w:r>
          </w:p>
        </w:tc>
        <w:tc>
          <w:tcPr>
            <w:tcW w:type="dxa" w:w="2131"/>
            <w:vAlign w:val="top"/>
            <w:shd w:fill="F2F6FA"/>
          </w:tcPr>
          <w:p>
            <w:pPr>
              <w:spacing w:after="0" w:before="0"/>
            </w:pPr>
            <w:r/>
            <w:r>
              <w:rPr>
                <w:rFonts w:ascii="Aptos" w:hAnsi="Aptos"/>
                <w:b w:val="0"/>
                <w:color w:val="000000"/>
                <w:sz w:val="14"/>
              </w:rPr>
              <w:t>TF-PRIV-000499–000505</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Counsel legal research. Recommended action: Retain.</w:t>
            </w:r>
          </w:p>
        </w:tc>
      </w:tr>
      <w:tr>
        <w:trPr>
          <w:cantSplit/>
        </w:trPr>
        <w:tc>
          <w:tcPr>
            <w:tcW w:type="dxa" w:w="648"/>
            <w:vAlign w:val="top"/>
          </w:tcPr>
          <w:p>
            <w:pPr>
              <w:spacing w:after="0" w:before="0"/>
            </w:pPr>
            <w:r/>
            <w:r>
              <w:rPr>
                <w:rFonts w:ascii="Aptos" w:hAnsi="Aptos"/>
                <w:b w:val="0"/>
                <w:color w:val="000000"/>
                <w:sz w:val="14"/>
              </w:rPr>
              <w:t>64</w:t>
            </w:r>
          </w:p>
        </w:tc>
        <w:tc>
          <w:tcPr>
            <w:tcW w:type="dxa" w:w="2131"/>
            <w:vAlign w:val="top"/>
          </w:tcPr>
          <w:p>
            <w:pPr>
              <w:spacing w:after="0" w:before="0"/>
            </w:pPr>
            <w:r/>
            <w:r>
              <w:rPr>
                <w:rFonts w:ascii="Aptos" w:hAnsi="Aptos"/>
                <w:b w:val="0"/>
                <w:color w:val="000000"/>
                <w:sz w:val="14"/>
              </w:rPr>
              <w:t>TF-PRIV-000506–000512</w:t>
            </w:r>
          </w:p>
        </w:tc>
        <w:tc>
          <w:tcPr>
            <w:tcW w:type="dxa" w:w="2448"/>
            <w:vAlign w:val="top"/>
          </w:tcPr>
          <w:p>
            <w:pPr>
              <w:spacing w:after="0" w:before="0"/>
            </w:pPr>
            <w:r/>
            <w:r>
              <w:rPr>
                <w:rFonts w:ascii="Aptos" w:hAnsi="Aptos"/>
                <w:b w:val="0"/>
                <w:color w:val="000000"/>
                <w:sz w:val="14"/>
              </w:rPr>
              <w:t>Defensible, data excluded</w:t>
            </w:r>
          </w:p>
        </w:tc>
        <w:tc>
          <w:tcPr>
            <w:tcW w:type="dxa" w:w="10080"/>
            <w:vAlign w:val="top"/>
          </w:tcPr>
          <w:p>
            <w:pPr>
              <w:spacing w:after="0" w:before="0"/>
            </w:pPr>
            <w:r/>
            <w:r>
              <w:rPr>
                <w:rFonts w:ascii="Aptos" w:hAnsi="Aptos"/>
                <w:b w:val="0"/>
                <w:color w:val="000000"/>
                <w:sz w:val="14"/>
              </w:rPr>
              <w:t>GC legal advice on ongoing regulatory duties during litigation; monitoring facts are not privileged. Recommended action: Retain legal advice; produce monitoring data, reports, and agency filings.</w:t>
            </w:r>
          </w:p>
        </w:tc>
      </w:tr>
      <w:tr>
        <w:trPr>
          <w:cantSplit/>
        </w:trPr>
        <w:tc>
          <w:tcPr>
            <w:tcW w:type="dxa" w:w="648"/>
            <w:vAlign w:val="top"/>
            <w:shd w:fill="F2F6FA"/>
          </w:tcPr>
          <w:p>
            <w:pPr>
              <w:spacing w:after="0" w:before="0"/>
            </w:pPr>
            <w:r/>
            <w:r>
              <w:rPr>
                <w:rFonts w:ascii="Aptos" w:hAnsi="Aptos"/>
                <w:b w:val="0"/>
                <w:color w:val="000000"/>
                <w:sz w:val="14"/>
              </w:rPr>
              <w:t>65</w:t>
            </w:r>
          </w:p>
        </w:tc>
        <w:tc>
          <w:tcPr>
            <w:tcW w:type="dxa" w:w="2131"/>
            <w:vAlign w:val="top"/>
            <w:shd w:fill="F2F6FA"/>
          </w:tcPr>
          <w:p>
            <w:pPr>
              <w:spacing w:after="0" w:before="0"/>
            </w:pPr>
            <w:r/>
            <w:r>
              <w:rPr>
                <w:rFonts w:ascii="Aptos" w:hAnsi="Aptos"/>
                <w:b w:val="0"/>
                <w:color w:val="000000"/>
                <w:sz w:val="14"/>
              </w:rPr>
              <w:t>TF-PRIV-000513–000520</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Outside counsel legal strategy on discovery dispute. Recommended action: Retain.</w:t>
            </w:r>
          </w:p>
        </w:tc>
      </w:tr>
      <w:tr>
        <w:trPr>
          <w:cantSplit/>
        </w:trPr>
        <w:tc>
          <w:tcPr>
            <w:tcW w:type="dxa" w:w="648"/>
            <w:vAlign w:val="top"/>
          </w:tcPr>
          <w:p>
            <w:pPr>
              <w:spacing w:after="0" w:before="0"/>
            </w:pPr>
            <w:r/>
            <w:r>
              <w:rPr>
                <w:rFonts w:ascii="Aptos" w:hAnsi="Aptos"/>
                <w:b w:val="0"/>
                <w:color w:val="000000"/>
                <w:sz w:val="14"/>
              </w:rPr>
              <w:t>66</w:t>
            </w:r>
          </w:p>
        </w:tc>
        <w:tc>
          <w:tcPr>
            <w:tcW w:type="dxa" w:w="2131"/>
            <w:vAlign w:val="top"/>
          </w:tcPr>
          <w:p>
            <w:pPr>
              <w:spacing w:after="0" w:before="0"/>
            </w:pPr>
            <w:r/>
            <w:r>
              <w:rPr>
                <w:rFonts w:ascii="Aptos" w:hAnsi="Aptos"/>
                <w:b w:val="0"/>
                <w:color w:val="000000"/>
                <w:sz w:val="14"/>
              </w:rPr>
              <w:t>TF-PRIV-000521–000528</w:t>
            </w:r>
          </w:p>
        </w:tc>
        <w:tc>
          <w:tcPr>
            <w:tcW w:type="dxa" w:w="2448"/>
            <w:vAlign w:val="top"/>
          </w:tcPr>
          <w:p>
            <w:pPr>
              <w:spacing w:after="0" w:before="0"/>
            </w:pPr>
            <w:r/>
            <w:r>
              <w:rPr>
                <w:rFonts w:ascii="Aptos" w:hAnsi="Aptos"/>
                <w:b w:val="0"/>
                <w:color w:val="000000"/>
                <w:sz w:val="14"/>
              </w:rPr>
              <w:t>Defensible, subject to filed version</w:t>
            </w:r>
          </w:p>
        </w:tc>
        <w:tc>
          <w:tcPr>
            <w:tcW w:type="dxa" w:w="10080"/>
            <w:vAlign w:val="top"/>
          </w:tcPr>
          <w:p>
            <w:pPr>
              <w:spacing w:after="0" w:before="0"/>
            </w:pPr>
            <w:r/>
            <w:r>
              <w:rPr>
                <w:rFonts w:ascii="Aptos" w:hAnsi="Aptos"/>
                <w:b w:val="0"/>
                <w:color w:val="000000"/>
                <w:sz w:val="14"/>
              </w:rPr>
              <w:t>Unfiled draft brief reflects litigation strategy; attorneys in same firm are within counsel team. Recommended action: Retain draft; filed brief is public.</w:t>
            </w:r>
          </w:p>
        </w:tc>
      </w:tr>
      <w:tr>
        <w:trPr>
          <w:cantSplit/>
        </w:trPr>
        <w:tc>
          <w:tcPr>
            <w:tcW w:type="dxa" w:w="648"/>
            <w:vAlign w:val="top"/>
            <w:shd w:fill="F2F6FA"/>
          </w:tcPr>
          <w:p>
            <w:pPr>
              <w:spacing w:after="0" w:before="0"/>
            </w:pPr>
            <w:r/>
            <w:r>
              <w:rPr>
                <w:rFonts w:ascii="Aptos" w:hAnsi="Aptos"/>
                <w:b w:val="0"/>
                <w:color w:val="000000"/>
                <w:sz w:val="14"/>
              </w:rPr>
              <w:t>67</w:t>
            </w:r>
          </w:p>
        </w:tc>
        <w:tc>
          <w:tcPr>
            <w:tcW w:type="dxa" w:w="2131"/>
            <w:vAlign w:val="top"/>
            <w:shd w:fill="F2F6FA"/>
          </w:tcPr>
          <w:p>
            <w:pPr>
              <w:spacing w:after="0" w:before="0"/>
            </w:pPr>
            <w:r/>
            <w:r>
              <w:rPr>
                <w:rFonts w:ascii="Aptos" w:hAnsi="Aptos"/>
                <w:b w:val="0"/>
                <w:color w:val="000000"/>
                <w:sz w:val="14"/>
              </w:rPr>
              <w:t>TF-PRIV-000529–000535</w:t>
            </w:r>
          </w:p>
        </w:tc>
        <w:tc>
          <w:tcPr>
            <w:tcW w:type="dxa" w:w="2448"/>
            <w:vAlign w:val="top"/>
            <w:shd w:fill="F2F6FA"/>
          </w:tcPr>
          <w:p>
            <w:pPr>
              <w:spacing w:after="0" w:before="0"/>
            </w:pPr>
            <w:r/>
            <w:r>
              <w:rPr>
                <w:rFonts w:ascii="Aptos" w:hAnsi="Aptos"/>
                <w:b w:val="0"/>
                <w:color w:val="000000"/>
                <w:sz w:val="14"/>
              </w:rPr>
              <w:t>Not defensible — finance/business</w:t>
            </w:r>
          </w:p>
        </w:tc>
        <w:tc>
          <w:tcPr>
            <w:tcW w:type="dxa" w:w="10080"/>
            <w:vAlign w:val="top"/>
            <w:shd w:fill="F2F6FA"/>
          </w:tcPr>
          <w:p>
            <w:pPr>
              <w:spacing w:after="0" w:before="0"/>
            </w:pPr>
            <w:r/>
            <w:r>
              <w:rPr>
                <w:rFonts w:ascii="Aptos" w:hAnsi="Aptos"/>
                <w:b w:val="0"/>
                <w:color w:val="000000"/>
                <w:sz w:val="14"/>
              </w:rPr>
              <w:t>Sample is divisional reserve allocation and cost-planning; no lawyer recipient or legal advice. Recommended action: Produce; financial allocation is not privileged merely because it concerns remediation.</w:t>
            </w:r>
          </w:p>
        </w:tc>
      </w:tr>
      <w:tr>
        <w:trPr>
          <w:cantSplit/>
        </w:trPr>
        <w:tc>
          <w:tcPr>
            <w:tcW w:type="dxa" w:w="648"/>
            <w:vAlign w:val="top"/>
          </w:tcPr>
          <w:p>
            <w:pPr>
              <w:spacing w:after="0" w:before="0"/>
            </w:pPr>
            <w:r/>
            <w:r>
              <w:rPr>
                <w:rFonts w:ascii="Aptos" w:hAnsi="Aptos"/>
                <w:b w:val="0"/>
                <w:color w:val="000000"/>
                <w:sz w:val="14"/>
              </w:rPr>
              <w:t>68</w:t>
            </w:r>
          </w:p>
        </w:tc>
        <w:tc>
          <w:tcPr>
            <w:tcW w:type="dxa" w:w="2131"/>
            <w:vAlign w:val="top"/>
          </w:tcPr>
          <w:p>
            <w:pPr>
              <w:spacing w:after="0" w:before="0"/>
            </w:pPr>
            <w:r/>
            <w:r>
              <w:rPr>
                <w:rFonts w:ascii="Aptos" w:hAnsi="Aptos"/>
                <w:b w:val="0"/>
                <w:color w:val="000000"/>
                <w:sz w:val="14"/>
              </w:rPr>
              <w:t>TF-PRIV-000536–000542</w:t>
            </w:r>
          </w:p>
        </w:tc>
        <w:tc>
          <w:tcPr>
            <w:tcW w:type="dxa" w:w="2448"/>
            <w:vAlign w:val="top"/>
          </w:tcPr>
          <w:p>
            <w:pPr>
              <w:spacing w:after="0" w:before="0"/>
            </w:pPr>
            <w:r/>
            <w:r>
              <w:rPr>
                <w:rFonts w:ascii="Aptos" w:hAnsi="Aptos"/>
                <w:b w:val="0"/>
                <w:color w:val="000000"/>
                <w:sz w:val="14"/>
              </w:rPr>
              <w:t>Defensible, narrow</w:t>
            </w:r>
          </w:p>
        </w:tc>
        <w:tc>
          <w:tcPr>
            <w:tcW w:type="dxa" w:w="10080"/>
            <w:vAlign w:val="top"/>
          </w:tcPr>
          <w:p>
            <w:pPr>
              <w:spacing w:after="0" w:before="0"/>
            </w:pPr>
            <w:r/>
            <w:r>
              <w:rPr>
                <w:rFonts w:ascii="Aptos" w:hAnsi="Aptos"/>
                <w:b w:val="0"/>
                <w:color w:val="000000"/>
                <w:sz w:val="14"/>
              </w:rPr>
              <w:t>GC-to-counsel legal instructions for privilege review/production; review protocol may reveal litigation work product. Recommended action: Retain; segregate ordinary administrative details.</w:t>
            </w:r>
          </w:p>
        </w:tc>
      </w:tr>
      <w:tr>
        <w:trPr>
          <w:cantSplit/>
        </w:trPr>
        <w:tc>
          <w:tcPr>
            <w:tcW w:type="dxa" w:w="648"/>
            <w:vAlign w:val="top"/>
            <w:shd w:fill="F2F6FA"/>
          </w:tcPr>
          <w:p>
            <w:pPr>
              <w:spacing w:after="0" w:before="0"/>
            </w:pPr>
            <w:r/>
            <w:r>
              <w:rPr>
                <w:rFonts w:ascii="Aptos" w:hAnsi="Aptos"/>
                <w:b w:val="0"/>
                <w:color w:val="000000"/>
                <w:sz w:val="14"/>
              </w:rPr>
              <w:t>69</w:t>
            </w:r>
          </w:p>
        </w:tc>
        <w:tc>
          <w:tcPr>
            <w:tcW w:type="dxa" w:w="2131"/>
            <w:vAlign w:val="top"/>
            <w:shd w:fill="F2F6FA"/>
          </w:tcPr>
          <w:p>
            <w:pPr>
              <w:spacing w:after="0" w:before="0"/>
            </w:pPr>
            <w:r/>
            <w:r>
              <w:rPr>
                <w:rFonts w:ascii="Aptos" w:hAnsi="Aptos"/>
                <w:b w:val="0"/>
                <w:color w:val="000000"/>
                <w:sz w:val="14"/>
              </w:rPr>
              <w:t>TF-PRIV-000543–000550</w:t>
            </w:r>
          </w:p>
        </w:tc>
        <w:tc>
          <w:tcPr>
            <w:tcW w:type="dxa" w:w="2448"/>
            <w:vAlign w:val="top"/>
            <w:shd w:fill="F2F6FA"/>
          </w:tcPr>
          <w:p>
            <w:pPr>
              <w:spacing w:after="0" w:before="0"/>
            </w:pPr>
            <w:r/>
            <w:r>
              <w:rPr>
                <w:rFonts w:ascii="Aptos" w:hAnsi="Aptos"/>
                <w:b w:val="0"/>
                <w:color w:val="000000"/>
                <w:sz w:val="14"/>
              </w:rPr>
              <w:t>Defensible ACP/WP</w:t>
            </w:r>
          </w:p>
        </w:tc>
        <w:tc>
          <w:tcPr>
            <w:tcW w:type="dxa" w:w="10080"/>
            <w:vAlign w:val="top"/>
            <w:shd w:fill="F2F6FA"/>
          </w:tcPr>
          <w:p>
            <w:pPr>
              <w:spacing w:after="0" w:before="0"/>
            </w:pPr>
            <w:r/>
            <w:r>
              <w:rPr>
                <w:rFonts w:ascii="Aptos" w:hAnsi="Aptos"/>
                <w:b w:val="0"/>
                <w:color w:val="000000"/>
                <w:sz w:val="14"/>
              </w:rPr>
              <w:t>Outside counsel’s witness/deposition strategy and mental impressions. Recommended action: Retain.</w:t>
            </w:r>
          </w:p>
        </w:tc>
      </w:tr>
      <w:tr>
        <w:trPr>
          <w:cantSplit/>
        </w:trPr>
        <w:tc>
          <w:tcPr>
            <w:tcW w:type="dxa" w:w="648"/>
            <w:vAlign w:val="top"/>
          </w:tcPr>
          <w:p>
            <w:pPr>
              <w:spacing w:after="0" w:before="0"/>
            </w:pPr>
            <w:r/>
            <w:r>
              <w:rPr>
                <w:rFonts w:ascii="Aptos" w:hAnsi="Aptos"/>
                <w:b w:val="0"/>
                <w:color w:val="000000"/>
                <w:sz w:val="14"/>
              </w:rPr>
              <w:t>70</w:t>
            </w:r>
          </w:p>
        </w:tc>
        <w:tc>
          <w:tcPr>
            <w:tcW w:type="dxa" w:w="2131"/>
            <w:vAlign w:val="top"/>
          </w:tcPr>
          <w:p>
            <w:pPr>
              <w:spacing w:after="0" w:before="0"/>
            </w:pPr>
            <w:r/>
            <w:r>
              <w:rPr>
                <w:rFonts w:ascii="Aptos" w:hAnsi="Aptos"/>
                <w:b w:val="0"/>
                <w:color w:val="000000"/>
                <w:sz w:val="14"/>
              </w:rPr>
              <w:t>TF-PRIV-000551–000558</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Counsel research memorandum. Recommended action: Retain.</w:t>
            </w:r>
          </w:p>
        </w:tc>
      </w:tr>
      <w:tr>
        <w:trPr>
          <w:cantSplit/>
        </w:trPr>
        <w:tc>
          <w:tcPr>
            <w:tcW w:type="dxa" w:w="648"/>
            <w:vAlign w:val="top"/>
            <w:shd w:fill="F2F6FA"/>
          </w:tcPr>
          <w:p>
            <w:pPr>
              <w:spacing w:after="0" w:before="0"/>
            </w:pPr>
            <w:r/>
            <w:r>
              <w:rPr>
                <w:rFonts w:ascii="Aptos" w:hAnsi="Aptos"/>
                <w:b w:val="0"/>
                <w:color w:val="000000"/>
                <w:sz w:val="14"/>
              </w:rPr>
              <w:t>71</w:t>
            </w:r>
          </w:p>
        </w:tc>
        <w:tc>
          <w:tcPr>
            <w:tcW w:type="dxa" w:w="2131"/>
            <w:vAlign w:val="top"/>
            <w:shd w:fill="F2F6FA"/>
          </w:tcPr>
          <w:p>
            <w:pPr>
              <w:spacing w:after="0" w:before="0"/>
            </w:pPr>
            <w:r/>
            <w:r>
              <w:rPr>
                <w:rFonts w:ascii="Aptos" w:hAnsi="Aptos"/>
                <w:b w:val="0"/>
                <w:color w:val="000000"/>
                <w:sz w:val="14"/>
              </w:rPr>
              <w:t>TF-PRIV-000559–000565</w:t>
            </w:r>
          </w:p>
        </w:tc>
        <w:tc>
          <w:tcPr>
            <w:tcW w:type="dxa" w:w="2448"/>
            <w:vAlign w:val="top"/>
            <w:shd w:fill="F2F6FA"/>
          </w:tcPr>
          <w:p>
            <w:pPr>
              <w:spacing w:after="0" w:before="0"/>
            </w:pPr>
            <w:r/>
            <w:r>
              <w:rPr>
                <w:rFonts w:ascii="Aptos" w:hAnsi="Aptos"/>
                <w:b w:val="0"/>
                <w:color w:val="000000"/>
                <w:sz w:val="14"/>
              </w:rPr>
              <w:t>Defensible ACP/WP</w:t>
            </w:r>
          </w:p>
        </w:tc>
        <w:tc>
          <w:tcPr>
            <w:tcW w:type="dxa" w:w="10080"/>
            <w:vAlign w:val="top"/>
            <w:shd w:fill="F2F6FA"/>
          </w:tcPr>
          <w:p>
            <w:pPr>
              <w:spacing w:after="0" w:before="0"/>
            </w:pPr>
            <w:r/>
            <w:r>
              <w:rPr>
                <w:rFonts w:ascii="Aptos" w:hAnsi="Aptos"/>
                <w:b w:val="0"/>
                <w:color w:val="000000"/>
                <w:sz w:val="14"/>
              </w:rPr>
              <w:t>Deputy GC legal analysis of interview protocol in pending litigation. Recommended action: Retain legal advice; factual witness statements themselves not privileged.</w:t>
            </w:r>
          </w:p>
        </w:tc>
      </w:tr>
      <w:tr>
        <w:trPr>
          <w:cantSplit/>
        </w:trPr>
        <w:tc>
          <w:tcPr>
            <w:tcW w:type="dxa" w:w="648"/>
            <w:vAlign w:val="top"/>
          </w:tcPr>
          <w:p>
            <w:pPr>
              <w:spacing w:after="0" w:before="0"/>
            </w:pPr>
            <w:r/>
            <w:r>
              <w:rPr>
                <w:rFonts w:ascii="Aptos" w:hAnsi="Aptos"/>
                <w:b w:val="0"/>
                <w:color w:val="000000"/>
                <w:sz w:val="14"/>
              </w:rPr>
              <w:t>72</w:t>
            </w:r>
          </w:p>
        </w:tc>
        <w:tc>
          <w:tcPr>
            <w:tcW w:type="dxa" w:w="2131"/>
            <w:vAlign w:val="top"/>
          </w:tcPr>
          <w:p>
            <w:pPr>
              <w:spacing w:after="0" w:before="0"/>
            </w:pPr>
            <w:r/>
            <w:r>
              <w:rPr>
                <w:rFonts w:ascii="Aptos" w:hAnsi="Aptos"/>
                <w:b w:val="0"/>
                <w:color w:val="000000"/>
                <w:sz w:val="14"/>
              </w:rPr>
              <w:t>TF-PRIV-000566–000575</w:t>
            </w:r>
          </w:p>
        </w:tc>
        <w:tc>
          <w:tcPr>
            <w:tcW w:type="dxa" w:w="2448"/>
            <w:vAlign w:val="top"/>
          </w:tcPr>
          <w:p>
            <w:pPr>
              <w:spacing w:after="0" w:before="0"/>
            </w:pPr>
            <w:r/>
            <w:r>
              <w:rPr>
                <w:rFonts w:ascii="Aptos" w:hAnsi="Aptos"/>
                <w:b w:val="0"/>
                <w:color w:val="000000"/>
                <w:sz w:val="14"/>
              </w:rPr>
              <w:t>Defensible advice; high-risk factual segregation</w:t>
            </w:r>
          </w:p>
        </w:tc>
        <w:tc>
          <w:tcPr>
            <w:tcW w:type="dxa" w:w="10080"/>
            <w:vAlign w:val="top"/>
          </w:tcPr>
          <w:p>
            <w:pPr>
              <w:spacing w:after="0" w:before="0"/>
            </w:pPr>
            <w:r/>
            <w:r>
              <w:rPr>
                <w:rFonts w:ascii="Aptos" w:hAnsi="Aptos"/>
                <w:b w:val="0"/>
                <w:color w:val="000000"/>
                <w:sz w:val="14"/>
              </w:rPr>
              <w:t>Sample shows an EHS request for legal advice and GC analysis of reporting obligations/enforcement risk. Raw exceedance data, attached sampling results, and underlying facts are not privileged. Does not alone establish crime-fraud exception. Recommended action: Retain counsel advice narrowly; produce underlying monitoring data/attachments; preserve and escalate for senior review.</w:t>
            </w:r>
          </w:p>
        </w:tc>
      </w:tr>
      <w:tr>
        <w:trPr>
          <w:cantSplit/>
        </w:trPr>
        <w:tc>
          <w:tcPr>
            <w:tcW w:type="dxa" w:w="648"/>
            <w:vAlign w:val="top"/>
            <w:shd w:fill="F2F6FA"/>
          </w:tcPr>
          <w:p>
            <w:pPr>
              <w:spacing w:after="0" w:before="0"/>
            </w:pPr>
            <w:r/>
            <w:r>
              <w:rPr>
                <w:rFonts w:ascii="Aptos" w:hAnsi="Aptos"/>
                <w:b w:val="0"/>
                <w:color w:val="000000"/>
                <w:sz w:val="14"/>
              </w:rPr>
              <w:t>73</w:t>
            </w:r>
          </w:p>
        </w:tc>
        <w:tc>
          <w:tcPr>
            <w:tcW w:type="dxa" w:w="2131"/>
            <w:vAlign w:val="top"/>
            <w:shd w:fill="F2F6FA"/>
          </w:tcPr>
          <w:p>
            <w:pPr>
              <w:spacing w:after="0" w:before="0"/>
            </w:pPr>
            <w:r/>
            <w:r>
              <w:rPr>
                <w:rFonts w:ascii="Aptos" w:hAnsi="Aptos"/>
                <w:b w:val="0"/>
                <w:color w:val="000000"/>
                <w:sz w:val="14"/>
              </w:rPr>
              <w:t>TF-PRIV-000576–000582</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Outside counsel legal strategy on proposed scheduling order. Recommended action: Retain.</w:t>
            </w:r>
          </w:p>
        </w:tc>
      </w:tr>
      <w:tr>
        <w:trPr>
          <w:cantSplit/>
        </w:trPr>
        <w:tc>
          <w:tcPr>
            <w:tcW w:type="dxa" w:w="648"/>
            <w:vAlign w:val="top"/>
          </w:tcPr>
          <w:p>
            <w:pPr>
              <w:spacing w:after="0" w:before="0"/>
            </w:pPr>
            <w:r/>
            <w:r>
              <w:rPr>
                <w:rFonts w:ascii="Aptos" w:hAnsi="Aptos"/>
                <w:b w:val="0"/>
                <w:color w:val="000000"/>
                <w:sz w:val="14"/>
              </w:rPr>
              <w:t>74</w:t>
            </w:r>
          </w:p>
        </w:tc>
        <w:tc>
          <w:tcPr>
            <w:tcW w:type="dxa" w:w="2131"/>
            <w:vAlign w:val="top"/>
          </w:tcPr>
          <w:p>
            <w:pPr>
              <w:spacing w:after="0" w:before="0"/>
            </w:pPr>
            <w:r/>
            <w:r>
              <w:rPr>
                <w:rFonts w:ascii="Aptos" w:hAnsi="Aptos"/>
                <w:b w:val="0"/>
                <w:color w:val="000000"/>
                <w:sz w:val="14"/>
              </w:rPr>
              <w:t>TF-PRIV-000583–000590</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Counsel research memo. Recommended action: Retain.</w:t>
            </w:r>
          </w:p>
        </w:tc>
      </w:tr>
      <w:tr>
        <w:trPr>
          <w:cantSplit/>
        </w:trPr>
        <w:tc>
          <w:tcPr>
            <w:tcW w:type="dxa" w:w="648"/>
            <w:vAlign w:val="top"/>
            <w:shd w:fill="F2F6FA"/>
          </w:tcPr>
          <w:p>
            <w:pPr>
              <w:spacing w:after="0" w:before="0"/>
            </w:pPr>
            <w:r/>
            <w:r>
              <w:rPr>
                <w:rFonts w:ascii="Aptos" w:hAnsi="Aptos"/>
                <w:b w:val="0"/>
                <w:color w:val="000000"/>
                <w:sz w:val="14"/>
              </w:rPr>
              <w:t>75</w:t>
            </w:r>
          </w:p>
        </w:tc>
        <w:tc>
          <w:tcPr>
            <w:tcW w:type="dxa" w:w="2131"/>
            <w:vAlign w:val="top"/>
            <w:shd w:fill="F2F6FA"/>
          </w:tcPr>
          <w:p>
            <w:pPr>
              <w:spacing w:after="0" w:before="0"/>
            </w:pPr>
            <w:r/>
            <w:r>
              <w:rPr>
                <w:rFonts w:ascii="Aptos" w:hAnsi="Aptos"/>
                <w:b w:val="0"/>
                <w:color w:val="000000"/>
                <w:sz w:val="14"/>
              </w:rPr>
              <w:t>TF-PRIV-000591–000598</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GC-to-CEO legal update and strategy. Recommended action: Retain legal analysis; separate routine factual status.</w:t>
            </w:r>
          </w:p>
        </w:tc>
      </w:tr>
      <w:tr>
        <w:trPr>
          <w:cantSplit/>
        </w:trPr>
        <w:tc>
          <w:tcPr>
            <w:tcW w:type="dxa" w:w="648"/>
            <w:vAlign w:val="top"/>
          </w:tcPr>
          <w:p>
            <w:pPr>
              <w:spacing w:after="0" w:before="0"/>
            </w:pPr>
            <w:r/>
            <w:r>
              <w:rPr>
                <w:rFonts w:ascii="Aptos" w:hAnsi="Aptos"/>
                <w:b w:val="0"/>
                <w:color w:val="000000"/>
                <w:sz w:val="14"/>
              </w:rPr>
              <w:t>76</w:t>
            </w:r>
          </w:p>
        </w:tc>
        <w:tc>
          <w:tcPr>
            <w:tcW w:type="dxa" w:w="2131"/>
            <w:vAlign w:val="top"/>
          </w:tcPr>
          <w:p>
            <w:pPr>
              <w:spacing w:after="0" w:before="0"/>
            </w:pPr>
            <w:r/>
            <w:r>
              <w:rPr>
                <w:rFonts w:ascii="Aptos" w:hAnsi="Aptos"/>
                <w:b w:val="0"/>
                <w:color w:val="000000"/>
                <w:sz w:val="14"/>
              </w:rPr>
              <w:t>TF-PRIV-000599–000606</w:t>
            </w:r>
          </w:p>
        </w:tc>
        <w:tc>
          <w:tcPr>
            <w:tcW w:type="dxa" w:w="2448"/>
            <w:vAlign w:val="top"/>
          </w:tcPr>
          <w:p>
            <w:pPr>
              <w:spacing w:after="0" w:before="0"/>
            </w:pPr>
            <w:r/>
            <w:r>
              <w:rPr>
                <w:rFonts w:ascii="Aptos" w:hAnsi="Aptos"/>
                <w:b w:val="0"/>
                <w:color w:val="000000"/>
                <w:sz w:val="14"/>
              </w:rPr>
              <w:t>Narrow/defensible as work product</w:t>
            </w:r>
          </w:p>
        </w:tc>
        <w:tc>
          <w:tcPr>
            <w:tcW w:type="dxa" w:w="10080"/>
            <w:vAlign w:val="top"/>
          </w:tcPr>
          <w:p>
            <w:pPr>
              <w:spacing w:after="0" w:before="0"/>
            </w:pPr>
            <w:r/>
            <w:r>
              <w:rPr>
                <w:rFonts w:ascii="Aptos" w:hAnsi="Aptos"/>
                <w:b w:val="0"/>
                <w:color w:val="000000"/>
                <w:sz w:val="14"/>
              </w:rPr>
              <w:t>Paralegal is counsel’s agent; litigation timeline, collection priorities and strategy can be WP. Pure scheduling/logistics are not necessarily ACP. Sample content is post-2020 litigation review planning (date differs from log). Recommended action: Assert WP narrowly; verify actual date, recipient role, and separate routine logistics.</w:t>
            </w:r>
          </w:p>
        </w:tc>
      </w:tr>
      <w:tr>
        <w:trPr>
          <w:cantSplit/>
        </w:trPr>
        <w:tc>
          <w:tcPr>
            <w:tcW w:type="dxa" w:w="648"/>
            <w:vAlign w:val="top"/>
            <w:shd w:fill="F2F6FA"/>
          </w:tcPr>
          <w:p>
            <w:pPr>
              <w:spacing w:after="0" w:before="0"/>
            </w:pPr>
            <w:r/>
            <w:r>
              <w:rPr>
                <w:rFonts w:ascii="Aptos" w:hAnsi="Aptos"/>
                <w:b w:val="0"/>
                <w:color w:val="000000"/>
                <w:sz w:val="14"/>
              </w:rPr>
              <w:t>77</w:t>
            </w:r>
          </w:p>
        </w:tc>
        <w:tc>
          <w:tcPr>
            <w:tcW w:type="dxa" w:w="2131"/>
            <w:vAlign w:val="top"/>
            <w:shd w:fill="F2F6FA"/>
          </w:tcPr>
          <w:p>
            <w:pPr>
              <w:spacing w:after="0" w:before="0"/>
            </w:pPr>
            <w:r/>
            <w:r>
              <w:rPr>
                <w:rFonts w:ascii="Aptos" w:hAnsi="Aptos"/>
                <w:b w:val="0"/>
                <w:color w:val="000000"/>
                <w:sz w:val="14"/>
              </w:rPr>
              <w:t>TF-PRIV-000607–000615</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Outside counsel analysis of dispositive motion feasibility and mental impressions. Recommended action: Retain.</w:t>
            </w:r>
          </w:p>
        </w:tc>
      </w:tr>
      <w:tr>
        <w:trPr>
          <w:cantSplit/>
        </w:trPr>
        <w:tc>
          <w:tcPr>
            <w:tcW w:type="dxa" w:w="648"/>
            <w:vAlign w:val="top"/>
          </w:tcPr>
          <w:p>
            <w:pPr>
              <w:spacing w:after="0" w:before="0"/>
            </w:pPr>
            <w:r/>
            <w:r>
              <w:rPr>
                <w:rFonts w:ascii="Aptos" w:hAnsi="Aptos"/>
                <w:b w:val="0"/>
                <w:color w:val="000000"/>
                <w:sz w:val="14"/>
              </w:rPr>
              <w:t>78</w:t>
            </w:r>
          </w:p>
        </w:tc>
        <w:tc>
          <w:tcPr>
            <w:tcW w:type="dxa" w:w="2131"/>
            <w:vAlign w:val="top"/>
          </w:tcPr>
          <w:p>
            <w:pPr>
              <w:spacing w:after="0" w:before="0"/>
            </w:pPr>
            <w:r/>
            <w:r>
              <w:rPr>
                <w:rFonts w:ascii="Aptos" w:hAnsi="Aptos"/>
                <w:b w:val="0"/>
                <w:color w:val="000000"/>
                <w:sz w:val="14"/>
              </w:rPr>
              <w:t>TF-PRIV-000616–000625</w:t>
            </w:r>
          </w:p>
        </w:tc>
        <w:tc>
          <w:tcPr>
            <w:tcW w:type="dxa" w:w="2448"/>
            <w:vAlign w:val="top"/>
          </w:tcPr>
          <w:p>
            <w:pPr>
              <w:spacing w:after="0" w:before="0"/>
            </w:pPr>
            <w:r/>
            <w:r>
              <w:rPr>
                <w:rFonts w:ascii="Aptos" w:hAnsi="Aptos"/>
                <w:b w:val="0"/>
                <w:color w:val="000000"/>
                <w:sz w:val="14"/>
              </w:rPr>
              <w:t>Underlying advice privileged; forwarded copy likely waived</w:t>
            </w:r>
          </w:p>
        </w:tc>
        <w:tc>
          <w:tcPr>
            <w:tcW w:type="dxa" w:w="10080"/>
            <w:vAlign w:val="top"/>
          </w:tcPr>
          <w:p>
            <w:pPr>
              <w:spacing w:after="0" w:before="0"/>
            </w:pPr>
            <w:r/>
            <w:r>
              <w:rPr>
                <w:rFonts w:ascii="Aptos" w:hAnsi="Aptos"/>
                <w:b w:val="0"/>
                <w:color w:val="000000"/>
                <w:sz w:val="14"/>
              </w:rPr>
              <w:t>Sample contains privileged counsel exchange, but Pruitt forwarded it to Dr. Reese/Graystone on June 14 under a routine MSA and asked that legal views be incorporated into technical modeling. Graystone was not counsel/party to a common-interest agreement; the counsel email itself warned against sharing. Recommended action: Do not assert privilege for the copy shared with Graystone absent proof Graystone was necessary legal agent/confidential. Consider limited WP only and assess subject-matter waiver; no clawback absent inadvertence.</w:t>
            </w:r>
          </w:p>
        </w:tc>
      </w:tr>
      <w:tr>
        <w:trPr>
          <w:cantSplit/>
        </w:trPr>
        <w:tc>
          <w:tcPr>
            <w:tcW w:type="dxa" w:w="648"/>
            <w:vAlign w:val="top"/>
            <w:shd w:fill="F2F6FA"/>
          </w:tcPr>
          <w:p>
            <w:pPr>
              <w:spacing w:after="0" w:before="0"/>
            </w:pPr>
            <w:r/>
            <w:r>
              <w:rPr>
                <w:rFonts w:ascii="Aptos" w:hAnsi="Aptos"/>
                <w:b w:val="0"/>
                <w:color w:val="000000"/>
                <w:sz w:val="14"/>
              </w:rPr>
              <w:t>79</w:t>
            </w:r>
          </w:p>
        </w:tc>
        <w:tc>
          <w:tcPr>
            <w:tcW w:type="dxa" w:w="2131"/>
            <w:vAlign w:val="top"/>
            <w:shd w:fill="F2F6FA"/>
          </w:tcPr>
          <w:p>
            <w:pPr>
              <w:spacing w:after="0" w:before="0"/>
            </w:pPr>
            <w:r/>
            <w:r>
              <w:rPr>
                <w:rFonts w:ascii="Aptos" w:hAnsi="Aptos"/>
                <w:b w:val="0"/>
                <w:color w:val="000000"/>
                <w:sz w:val="14"/>
              </w:rPr>
              <w:t>TF-PRIV-000626–000632</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Counsel research memo. Recommended action: Retain.</w:t>
            </w:r>
          </w:p>
        </w:tc>
      </w:tr>
      <w:tr>
        <w:trPr>
          <w:cantSplit/>
        </w:trPr>
        <w:tc>
          <w:tcPr>
            <w:tcW w:type="dxa" w:w="648"/>
            <w:vAlign w:val="top"/>
          </w:tcPr>
          <w:p>
            <w:pPr>
              <w:spacing w:after="0" w:before="0"/>
            </w:pPr>
            <w:r/>
            <w:r>
              <w:rPr>
                <w:rFonts w:ascii="Aptos" w:hAnsi="Aptos"/>
                <w:b w:val="0"/>
                <w:color w:val="000000"/>
                <w:sz w:val="14"/>
              </w:rPr>
              <w:t>80</w:t>
            </w:r>
          </w:p>
        </w:tc>
        <w:tc>
          <w:tcPr>
            <w:tcW w:type="dxa" w:w="2131"/>
            <w:vAlign w:val="top"/>
          </w:tcPr>
          <w:p>
            <w:pPr>
              <w:spacing w:after="0" w:before="0"/>
            </w:pPr>
            <w:r/>
            <w:r>
              <w:rPr>
                <w:rFonts w:ascii="Aptos" w:hAnsi="Aptos"/>
                <w:b w:val="0"/>
                <w:color w:val="000000"/>
                <w:sz w:val="14"/>
              </w:rPr>
              <w:t>TF-PRIV-000633–000640</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GC legal advice on regulatory installation obligations. Recommended action: Retain legal analysis; produce underlying monitoring and engineering records.</w:t>
            </w:r>
          </w:p>
        </w:tc>
      </w:tr>
      <w:tr>
        <w:trPr>
          <w:cantSplit/>
        </w:trPr>
        <w:tc>
          <w:tcPr>
            <w:tcW w:type="dxa" w:w="648"/>
            <w:vAlign w:val="top"/>
            <w:shd w:fill="F2F6FA"/>
          </w:tcPr>
          <w:p>
            <w:pPr>
              <w:spacing w:after="0" w:before="0"/>
            </w:pPr>
            <w:r/>
            <w:r>
              <w:rPr>
                <w:rFonts w:ascii="Aptos" w:hAnsi="Aptos"/>
                <w:b w:val="0"/>
                <w:color w:val="000000"/>
                <w:sz w:val="14"/>
              </w:rPr>
              <w:t>81</w:t>
            </w:r>
          </w:p>
        </w:tc>
        <w:tc>
          <w:tcPr>
            <w:tcW w:type="dxa" w:w="2131"/>
            <w:vAlign w:val="top"/>
            <w:shd w:fill="F2F6FA"/>
          </w:tcPr>
          <w:p>
            <w:pPr>
              <w:spacing w:after="0" w:before="0"/>
            </w:pPr>
            <w:r/>
            <w:r>
              <w:rPr>
                <w:rFonts w:ascii="Aptos" w:hAnsi="Aptos"/>
                <w:b w:val="0"/>
                <w:color w:val="000000"/>
                <w:sz w:val="14"/>
              </w:rPr>
              <w:t>TF-PRIV-000641–000648</w:t>
            </w:r>
          </w:p>
        </w:tc>
        <w:tc>
          <w:tcPr>
            <w:tcW w:type="dxa" w:w="2448"/>
            <w:vAlign w:val="top"/>
            <w:shd w:fill="F2F6FA"/>
          </w:tcPr>
          <w:p>
            <w:pPr>
              <w:spacing w:after="0" w:before="0"/>
            </w:pPr>
            <w:r/>
            <w:r>
              <w:rPr>
                <w:rFonts w:ascii="Aptos" w:hAnsi="Aptos"/>
                <w:b w:val="0"/>
                <w:color w:val="000000"/>
                <w:sz w:val="14"/>
              </w:rPr>
              <w:t>Defensible, subject to draft distinction</w:t>
            </w:r>
          </w:p>
        </w:tc>
        <w:tc>
          <w:tcPr>
            <w:tcW w:type="dxa" w:w="10080"/>
            <w:vAlign w:val="top"/>
            <w:shd w:fill="F2F6FA"/>
          </w:tcPr>
          <w:p>
            <w:pPr>
              <w:spacing w:after="0" w:before="0"/>
            </w:pPr>
            <w:r/>
            <w:r>
              <w:rPr>
                <w:rFonts w:ascii="Aptos" w:hAnsi="Aptos"/>
                <w:b w:val="0"/>
                <w:color w:val="000000"/>
                <w:sz w:val="14"/>
              </w:rPr>
              <w:t>Counsel’s draft response/legal guidance is protected; facts and final served interrogatory response are discoverable. Recommended action: Retain draft and advice; produce final served response.</w:t>
            </w:r>
          </w:p>
        </w:tc>
      </w:tr>
      <w:tr>
        <w:trPr>
          <w:cantSplit/>
        </w:trPr>
        <w:tc>
          <w:tcPr>
            <w:tcW w:type="dxa" w:w="648"/>
            <w:vAlign w:val="top"/>
          </w:tcPr>
          <w:p>
            <w:pPr>
              <w:spacing w:after="0" w:before="0"/>
            </w:pPr>
            <w:r/>
            <w:r>
              <w:rPr>
                <w:rFonts w:ascii="Aptos" w:hAnsi="Aptos"/>
                <w:b w:val="0"/>
                <w:color w:val="000000"/>
                <w:sz w:val="14"/>
              </w:rPr>
              <w:t>82</w:t>
            </w:r>
          </w:p>
        </w:tc>
        <w:tc>
          <w:tcPr>
            <w:tcW w:type="dxa" w:w="2131"/>
            <w:vAlign w:val="top"/>
          </w:tcPr>
          <w:p>
            <w:pPr>
              <w:spacing w:after="0" w:before="0"/>
            </w:pPr>
            <w:r/>
            <w:r>
              <w:rPr>
                <w:rFonts w:ascii="Aptos" w:hAnsi="Aptos"/>
                <w:b w:val="0"/>
                <w:color w:val="000000"/>
                <w:sz w:val="14"/>
              </w:rPr>
              <w:t>TF-PRIV-000649–000655</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Deputy GC legal hold/retention advice to Operations during pending case. Recommended action: Retain advice; underlying records and retention facts are discoverable.</w:t>
            </w:r>
          </w:p>
        </w:tc>
      </w:tr>
      <w:tr>
        <w:trPr>
          <w:cantSplit/>
        </w:trPr>
        <w:tc>
          <w:tcPr>
            <w:tcW w:type="dxa" w:w="648"/>
            <w:vAlign w:val="top"/>
            <w:shd w:fill="F2F6FA"/>
          </w:tcPr>
          <w:p>
            <w:pPr>
              <w:spacing w:after="0" w:before="0"/>
            </w:pPr>
            <w:r/>
            <w:r>
              <w:rPr>
                <w:rFonts w:ascii="Aptos" w:hAnsi="Aptos"/>
                <w:b w:val="0"/>
                <w:color w:val="000000"/>
                <w:sz w:val="14"/>
              </w:rPr>
              <w:t>83</w:t>
            </w:r>
          </w:p>
        </w:tc>
        <w:tc>
          <w:tcPr>
            <w:tcW w:type="dxa" w:w="2131"/>
            <w:vAlign w:val="top"/>
            <w:shd w:fill="F2F6FA"/>
          </w:tcPr>
          <w:p>
            <w:pPr>
              <w:spacing w:after="0" w:before="0"/>
            </w:pPr>
            <w:r/>
            <w:r>
              <w:rPr>
                <w:rFonts w:ascii="Aptos" w:hAnsi="Aptos"/>
                <w:b w:val="0"/>
                <w:color w:val="000000"/>
                <w:sz w:val="14"/>
              </w:rPr>
              <w:t>TF-PRIV-000656–000665</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Outside counsel strategy and privilege review priorities. Recommended action: Retain; produce nonstrategic schedule/administrative facts if separable.</w:t>
            </w:r>
          </w:p>
        </w:tc>
      </w:tr>
      <w:tr>
        <w:trPr>
          <w:cantSplit/>
        </w:trPr>
        <w:tc>
          <w:tcPr>
            <w:tcW w:type="dxa" w:w="648"/>
            <w:vAlign w:val="top"/>
          </w:tcPr>
          <w:p>
            <w:pPr>
              <w:spacing w:after="0" w:before="0"/>
            </w:pPr>
            <w:r/>
            <w:r>
              <w:rPr>
                <w:rFonts w:ascii="Aptos" w:hAnsi="Aptos"/>
                <w:b w:val="0"/>
                <w:color w:val="000000"/>
                <w:sz w:val="14"/>
              </w:rPr>
              <w:t>84</w:t>
            </w:r>
          </w:p>
        </w:tc>
        <w:tc>
          <w:tcPr>
            <w:tcW w:type="dxa" w:w="2131"/>
            <w:vAlign w:val="top"/>
          </w:tcPr>
          <w:p>
            <w:pPr>
              <w:spacing w:after="0" w:before="0"/>
            </w:pPr>
            <w:r/>
            <w:r>
              <w:rPr>
                <w:rFonts w:ascii="Aptos" w:hAnsi="Aptos"/>
                <w:b w:val="0"/>
                <w:color w:val="000000"/>
                <w:sz w:val="14"/>
              </w:rPr>
              <w:t>TF-PRIV-000666–000672</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Counsel research memo. Recommended action: Retain.</w:t>
            </w:r>
          </w:p>
        </w:tc>
      </w:tr>
      <w:tr>
        <w:trPr>
          <w:cantSplit/>
        </w:trPr>
        <w:tc>
          <w:tcPr>
            <w:tcW w:type="dxa" w:w="648"/>
            <w:vAlign w:val="top"/>
            <w:shd w:fill="F2F6FA"/>
          </w:tcPr>
          <w:p>
            <w:pPr>
              <w:spacing w:after="0" w:before="0"/>
            </w:pPr>
            <w:r/>
            <w:r>
              <w:rPr>
                <w:rFonts w:ascii="Aptos" w:hAnsi="Aptos"/>
                <w:b w:val="0"/>
                <w:color w:val="000000"/>
                <w:sz w:val="14"/>
              </w:rPr>
              <w:t>85</w:t>
            </w:r>
          </w:p>
        </w:tc>
        <w:tc>
          <w:tcPr>
            <w:tcW w:type="dxa" w:w="2131"/>
            <w:vAlign w:val="top"/>
            <w:shd w:fill="F2F6FA"/>
          </w:tcPr>
          <w:p>
            <w:pPr>
              <w:spacing w:after="0" w:before="0"/>
            </w:pPr>
            <w:r/>
            <w:r>
              <w:rPr>
                <w:rFonts w:ascii="Aptos" w:hAnsi="Aptos"/>
                <w:b w:val="0"/>
                <w:color w:val="000000"/>
                <w:sz w:val="14"/>
              </w:rPr>
              <w:t>TF-PRIV-000673–000682</w:t>
            </w:r>
          </w:p>
        </w:tc>
        <w:tc>
          <w:tcPr>
            <w:tcW w:type="dxa" w:w="2448"/>
            <w:vAlign w:val="top"/>
            <w:shd w:fill="F2F6FA"/>
          </w:tcPr>
          <w:p>
            <w:pPr>
              <w:spacing w:after="0" w:before="0"/>
            </w:pPr>
            <w:r/>
            <w:r>
              <w:rPr>
                <w:rFonts w:ascii="Aptos" w:hAnsi="Aptos"/>
                <w:b w:val="0"/>
                <w:color w:val="000000"/>
                <w:sz w:val="14"/>
              </w:rPr>
              <w:t>High-risk / conditional common interest</w:t>
            </w:r>
          </w:p>
        </w:tc>
        <w:tc>
          <w:tcPr>
            <w:tcW w:type="dxa" w:w="10080"/>
            <w:vAlign w:val="top"/>
            <w:shd w:fill="F2F6FA"/>
          </w:tcPr>
          <w:p>
            <w:pPr>
              <w:spacing w:after="0" w:before="0"/>
            </w:pPr>
            <w:r/>
            <w:r>
              <w:rPr>
                <w:rFonts w:ascii="Aptos" w:hAnsi="Aptos"/>
                <w:b w:val="0"/>
                <w:color w:val="000000"/>
                <w:sz w:val="14"/>
              </w:rPr>
              <w:t>Sample shows Thornfield shared its internal allocation analysis with Garfield’s counsel on Mar. 15, 2021, before the Aug. 3 JDA. The later agreement is not retroactive, but the co-defendants may independently invoke common interest if they prove a contemporaneous shared legal defense purpose and confidentiality; allocation adversity is a risk. Recommended action: Do not rely on the later JDA. Determine whether the contemporaneous exchange was confidential and in furtherance of the shared defense; assess adversity and any independent common-interest basis before asserting.</w:t>
            </w:r>
          </w:p>
        </w:tc>
      </w:tr>
      <w:tr>
        <w:trPr>
          <w:cantSplit/>
        </w:trPr>
        <w:tc>
          <w:tcPr>
            <w:tcW w:type="dxa" w:w="648"/>
            <w:vAlign w:val="top"/>
          </w:tcPr>
          <w:p>
            <w:pPr>
              <w:spacing w:after="0" w:before="0"/>
            </w:pPr>
            <w:r/>
            <w:r>
              <w:rPr>
                <w:rFonts w:ascii="Aptos" w:hAnsi="Aptos"/>
                <w:b w:val="0"/>
                <w:color w:val="000000"/>
                <w:sz w:val="14"/>
              </w:rPr>
              <w:t>86</w:t>
            </w:r>
          </w:p>
        </w:tc>
        <w:tc>
          <w:tcPr>
            <w:tcW w:type="dxa" w:w="2131"/>
            <w:vAlign w:val="top"/>
          </w:tcPr>
          <w:p>
            <w:pPr>
              <w:spacing w:after="0" w:before="0"/>
            </w:pPr>
            <w:r/>
            <w:r>
              <w:rPr>
                <w:rFonts w:ascii="Aptos" w:hAnsi="Aptos"/>
                <w:b w:val="0"/>
                <w:color w:val="000000"/>
                <w:sz w:val="14"/>
              </w:rPr>
              <w:t>TF-PRIV-000683–000690</w:t>
            </w:r>
          </w:p>
        </w:tc>
        <w:tc>
          <w:tcPr>
            <w:tcW w:type="dxa" w:w="2448"/>
            <w:vAlign w:val="top"/>
          </w:tcPr>
          <w:p>
            <w:pPr>
              <w:spacing w:after="0" w:before="0"/>
            </w:pPr>
            <w:r/>
            <w:r>
              <w:rPr>
                <w:rFonts w:ascii="Aptos" w:hAnsi="Aptos"/>
                <w:b w:val="0"/>
                <w:color w:val="000000"/>
                <w:sz w:val="14"/>
              </w:rPr>
              <w:t>Defensible ACP/WP</w:t>
            </w:r>
          </w:p>
        </w:tc>
        <w:tc>
          <w:tcPr>
            <w:tcW w:type="dxa" w:w="10080"/>
            <w:vAlign w:val="top"/>
          </w:tcPr>
          <w:p>
            <w:pPr>
              <w:spacing w:after="0" w:before="0"/>
            </w:pPr>
            <w:r/>
            <w:r>
              <w:rPr>
                <w:rFonts w:ascii="Aptos" w:hAnsi="Aptos"/>
                <w:b w:val="0"/>
                <w:color w:val="000000"/>
                <w:sz w:val="14"/>
              </w:rPr>
              <w:t>GC-to-counsel deposition preparation strategy. Recommended action: Retain; underlying witness facts are discoverable.</w:t>
            </w:r>
          </w:p>
        </w:tc>
      </w:tr>
      <w:tr>
        <w:trPr>
          <w:cantSplit/>
        </w:trPr>
        <w:tc>
          <w:tcPr>
            <w:tcW w:type="dxa" w:w="648"/>
            <w:vAlign w:val="top"/>
            <w:shd w:fill="F2F6FA"/>
          </w:tcPr>
          <w:p>
            <w:pPr>
              <w:spacing w:after="0" w:before="0"/>
            </w:pPr>
            <w:r/>
            <w:r>
              <w:rPr>
                <w:rFonts w:ascii="Aptos" w:hAnsi="Aptos"/>
                <w:b w:val="0"/>
                <w:color w:val="000000"/>
                <w:sz w:val="14"/>
              </w:rPr>
              <w:t>87</w:t>
            </w:r>
          </w:p>
        </w:tc>
        <w:tc>
          <w:tcPr>
            <w:tcW w:type="dxa" w:w="2131"/>
            <w:vAlign w:val="top"/>
            <w:shd w:fill="F2F6FA"/>
          </w:tcPr>
          <w:p>
            <w:pPr>
              <w:spacing w:after="0" w:before="0"/>
            </w:pPr>
            <w:r/>
            <w:r>
              <w:rPr>
                <w:rFonts w:ascii="Aptos" w:hAnsi="Aptos"/>
                <w:b w:val="0"/>
                <w:color w:val="000000"/>
                <w:sz w:val="14"/>
              </w:rPr>
              <w:t>TF-PRIV-000691–000698</w:t>
            </w:r>
          </w:p>
        </w:tc>
        <w:tc>
          <w:tcPr>
            <w:tcW w:type="dxa" w:w="2448"/>
            <w:vAlign w:val="top"/>
            <w:shd w:fill="F2F6FA"/>
          </w:tcPr>
          <w:p>
            <w:pPr>
              <w:spacing w:after="0" w:before="0"/>
            </w:pPr>
            <w:r/>
            <w:r>
              <w:rPr>
                <w:rFonts w:ascii="Aptos" w:hAnsi="Aptos"/>
                <w:b w:val="0"/>
                <w:color w:val="000000"/>
                <w:sz w:val="14"/>
              </w:rPr>
              <w:t>Defensible, subject to expert rules</w:t>
            </w:r>
          </w:p>
        </w:tc>
        <w:tc>
          <w:tcPr>
            <w:tcW w:type="dxa" w:w="10080"/>
            <w:vAlign w:val="top"/>
            <w:shd w:fill="F2F6FA"/>
          </w:tcPr>
          <w:p>
            <w:pPr>
              <w:spacing w:after="0" w:before="0"/>
            </w:pPr>
            <w:r/>
            <w:r>
              <w:rPr>
                <w:rFonts w:ascii="Aptos" w:hAnsi="Aptos"/>
                <w:b w:val="0"/>
                <w:color w:val="000000"/>
                <w:sz w:val="14"/>
              </w:rPr>
              <w:t>Counsel’s candidate evaluation and mental impressions are protected pre-designation. Testifying-expert facts/data and Rule 26 disclosures are not blanket-protected. Recommended action: Retain counsel selection strategy; review any retained expert communications under Rule 26(b)(4).</w:t>
            </w:r>
          </w:p>
        </w:tc>
      </w:tr>
      <w:tr>
        <w:trPr>
          <w:cantSplit/>
        </w:trPr>
        <w:tc>
          <w:tcPr>
            <w:tcW w:type="dxa" w:w="648"/>
            <w:vAlign w:val="top"/>
          </w:tcPr>
          <w:p>
            <w:pPr>
              <w:spacing w:after="0" w:before="0"/>
            </w:pPr>
            <w:r/>
            <w:r>
              <w:rPr>
                <w:rFonts w:ascii="Aptos" w:hAnsi="Aptos"/>
                <w:b w:val="0"/>
                <w:color w:val="000000"/>
                <w:sz w:val="14"/>
              </w:rPr>
              <w:t>88</w:t>
            </w:r>
          </w:p>
        </w:tc>
        <w:tc>
          <w:tcPr>
            <w:tcW w:type="dxa" w:w="2131"/>
            <w:vAlign w:val="top"/>
          </w:tcPr>
          <w:p>
            <w:pPr>
              <w:spacing w:after="0" w:before="0"/>
            </w:pPr>
            <w:r/>
            <w:r>
              <w:rPr>
                <w:rFonts w:ascii="Aptos" w:hAnsi="Aptos"/>
                <w:b w:val="0"/>
                <w:color w:val="000000"/>
                <w:sz w:val="14"/>
              </w:rPr>
              <w:t>TF-PRIV-000699–000705</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Counsel research memo. Recommended action: Retain.</w:t>
            </w:r>
          </w:p>
        </w:tc>
      </w:tr>
      <w:tr>
        <w:trPr>
          <w:cantSplit/>
        </w:trPr>
        <w:tc>
          <w:tcPr>
            <w:tcW w:type="dxa" w:w="648"/>
            <w:vAlign w:val="top"/>
            <w:shd w:fill="F2F6FA"/>
          </w:tcPr>
          <w:p>
            <w:pPr>
              <w:spacing w:after="0" w:before="0"/>
            </w:pPr>
            <w:r/>
            <w:r>
              <w:rPr>
                <w:rFonts w:ascii="Aptos" w:hAnsi="Aptos"/>
                <w:b w:val="0"/>
                <w:color w:val="000000"/>
                <w:sz w:val="14"/>
              </w:rPr>
              <w:t>89</w:t>
            </w:r>
          </w:p>
        </w:tc>
        <w:tc>
          <w:tcPr>
            <w:tcW w:type="dxa" w:w="2131"/>
            <w:vAlign w:val="top"/>
            <w:shd w:fill="F2F6FA"/>
          </w:tcPr>
          <w:p>
            <w:pPr>
              <w:spacing w:after="0" w:before="0"/>
            </w:pPr>
            <w:r/>
            <w:r>
              <w:rPr>
                <w:rFonts w:ascii="Aptos" w:hAnsi="Aptos"/>
                <w:b w:val="0"/>
                <w:color w:val="000000"/>
                <w:sz w:val="14"/>
              </w:rPr>
              <w:t>TF-PRIV-000706–000712</w:t>
            </w:r>
          </w:p>
        </w:tc>
        <w:tc>
          <w:tcPr>
            <w:tcW w:type="dxa" w:w="2448"/>
            <w:vAlign w:val="top"/>
            <w:shd w:fill="F2F6FA"/>
          </w:tcPr>
          <w:p>
            <w:pPr>
              <w:spacing w:after="0" w:before="0"/>
            </w:pPr>
            <w:r/>
            <w:r>
              <w:rPr>
                <w:rFonts w:ascii="Aptos" w:hAnsi="Aptos"/>
                <w:b w:val="0"/>
                <w:color w:val="000000"/>
                <w:sz w:val="14"/>
              </w:rPr>
              <w:t>Not defensible — nonlawyer factual update</w:t>
            </w:r>
          </w:p>
        </w:tc>
        <w:tc>
          <w:tcPr>
            <w:tcW w:type="dxa" w:w="10080"/>
            <w:vAlign w:val="top"/>
            <w:shd w:fill="F2F6FA"/>
          </w:tcPr>
          <w:p>
            <w:pPr>
              <w:spacing w:after="0" w:before="0"/>
            </w:pPr>
            <w:r/>
            <w:r>
              <w:rPr>
                <w:rFonts w:ascii="Aptos" w:hAnsi="Aptos"/>
                <w:b w:val="0"/>
                <w:color w:val="000000"/>
                <w:sz w:val="14"/>
              </w:rPr>
              <w:t>Sample is Molina’s account of an NJDEP stakeholder briefing and implementation advice. She is nonlawyer government-relations personnel; no legal advice or attorney direction shown. Recommended action: Produce; agency guidance itself is nonprivileged.</w:t>
            </w:r>
          </w:p>
        </w:tc>
      </w:tr>
      <w:tr>
        <w:trPr>
          <w:cantSplit/>
        </w:trPr>
        <w:tc>
          <w:tcPr>
            <w:tcW w:type="dxa" w:w="648"/>
            <w:vAlign w:val="top"/>
          </w:tcPr>
          <w:p>
            <w:pPr>
              <w:spacing w:after="0" w:before="0"/>
            </w:pPr>
            <w:r/>
            <w:r>
              <w:rPr>
                <w:rFonts w:ascii="Aptos" w:hAnsi="Aptos"/>
                <w:b w:val="0"/>
                <w:color w:val="000000"/>
                <w:sz w:val="14"/>
              </w:rPr>
              <w:t>90</w:t>
            </w:r>
          </w:p>
        </w:tc>
        <w:tc>
          <w:tcPr>
            <w:tcW w:type="dxa" w:w="2131"/>
            <w:vAlign w:val="top"/>
          </w:tcPr>
          <w:p>
            <w:pPr>
              <w:spacing w:after="0" w:before="0"/>
            </w:pPr>
            <w:r/>
            <w:r>
              <w:rPr>
                <w:rFonts w:ascii="Aptos" w:hAnsi="Aptos"/>
                <w:b w:val="0"/>
                <w:color w:val="000000"/>
                <w:sz w:val="14"/>
              </w:rPr>
              <w:t>TF-PRIV-000713–000720</w:t>
            </w:r>
          </w:p>
        </w:tc>
        <w:tc>
          <w:tcPr>
            <w:tcW w:type="dxa" w:w="2448"/>
            <w:vAlign w:val="top"/>
          </w:tcPr>
          <w:p>
            <w:pPr>
              <w:spacing w:after="0" w:before="0"/>
            </w:pPr>
            <w:r/>
            <w:r>
              <w:rPr>
                <w:rFonts w:ascii="Aptos" w:hAnsi="Aptos"/>
                <w:b w:val="0"/>
                <w:color w:val="000000"/>
                <w:sz w:val="14"/>
              </w:rPr>
              <w:t>Defensible on log; verify legal content</w:t>
            </w:r>
          </w:p>
        </w:tc>
        <w:tc>
          <w:tcPr>
            <w:tcW w:type="dxa" w:w="10080"/>
            <w:vAlign w:val="top"/>
          </w:tcPr>
          <w:p>
            <w:pPr>
              <w:spacing w:after="0" w:before="0"/>
            </w:pPr>
            <w:r/>
            <w:r>
              <w:rPr>
                <w:rFonts w:ascii="Aptos" w:hAnsi="Aptos"/>
                <w:b w:val="0"/>
                <w:color w:val="000000"/>
                <w:sz w:val="14"/>
              </w:rPr>
              <w:t>GC’s quarterly litigation status/strategic outlook to CEO may be legal advice. Recommended action: Retain legal recommendations; separate routine status facts.</w:t>
            </w:r>
          </w:p>
        </w:tc>
      </w:tr>
      <w:tr>
        <w:trPr>
          <w:cantSplit/>
        </w:trPr>
        <w:tc>
          <w:tcPr>
            <w:tcW w:type="dxa" w:w="648"/>
            <w:vAlign w:val="top"/>
            <w:shd w:fill="F2F6FA"/>
          </w:tcPr>
          <w:p>
            <w:pPr>
              <w:spacing w:after="0" w:before="0"/>
            </w:pPr>
            <w:r/>
            <w:r>
              <w:rPr>
                <w:rFonts w:ascii="Aptos" w:hAnsi="Aptos"/>
                <w:b w:val="0"/>
                <w:color w:val="000000"/>
                <w:sz w:val="14"/>
              </w:rPr>
              <w:t>91</w:t>
            </w:r>
          </w:p>
        </w:tc>
        <w:tc>
          <w:tcPr>
            <w:tcW w:type="dxa" w:w="2131"/>
            <w:vAlign w:val="top"/>
            <w:shd w:fill="F2F6FA"/>
          </w:tcPr>
          <w:p>
            <w:pPr>
              <w:spacing w:after="0" w:before="0"/>
            </w:pPr>
            <w:r/>
            <w:r>
              <w:rPr>
                <w:rFonts w:ascii="Aptos" w:hAnsi="Aptos"/>
                <w:b w:val="0"/>
                <w:color w:val="000000"/>
                <w:sz w:val="14"/>
              </w:rPr>
              <w:t>TF-PRIV-000721–000730</w:t>
            </w:r>
          </w:p>
        </w:tc>
        <w:tc>
          <w:tcPr>
            <w:tcW w:type="dxa" w:w="2448"/>
            <w:vAlign w:val="top"/>
            <w:shd w:fill="F2F6FA"/>
          </w:tcPr>
          <w:p>
            <w:pPr>
              <w:spacing w:after="0" w:before="0"/>
            </w:pPr>
            <w:r/>
            <w:r>
              <w:rPr>
                <w:rFonts w:ascii="Aptos" w:hAnsi="Aptos"/>
                <w:b w:val="0"/>
                <w:color w:val="000000"/>
                <w:sz w:val="14"/>
              </w:rPr>
              <w:t>High-risk / conditional common interest</w:t>
            </w:r>
          </w:p>
        </w:tc>
        <w:tc>
          <w:tcPr>
            <w:tcW w:type="dxa" w:w="10080"/>
            <w:vAlign w:val="top"/>
            <w:shd w:fill="F2F6FA"/>
          </w:tcPr>
          <w:p>
            <w:pPr>
              <w:spacing w:after="0" w:before="0"/>
            </w:pPr>
            <w:r/>
            <w:r>
              <w:rPr>
                <w:rFonts w:ascii="Aptos" w:hAnsi="Aptos"/>
                <w:b w:val="0"/>
                <w:color w:val="000000"/>
                <w:sz w:val="14"/>
              </w:rPr>
              <w:t>Sample shows draft strategy shared with Garfield counsel May 2, 2021, before the Aug. 3 JDA; the email says the formal agreement is still to come. The later JDA does not retroactively protect it, but independent common-interest protection may apply if the exchange was confidential and in furtherance of a then-existing joint defense. Allocation interests may diverge. Recommended action: Establish contemporaneous common legal interest, confidentiality, and alignment before asserting. Do not rely solely on the later JDA; reassess if produced to an adversary.</w:t>
            </w:r>
          </w:p>
        </w:tc>
      </w:tr>
      <w:tr>
        <w:trPr>
          <w:cantSplit/>
        </w:trPr>
        <w:tc>
          <w:tcPr>
            <w:tcW w:type="dxa" w:w="648"/>
            <w:vAlign w:val="top"/>
          </w:tcPr>
          <w:p>
            <w:pPr>
              <w:spacing w:after="0" w:before="0"/>
            </w:pPr>
            <w:r/>
            <w:r>
              <w:rPr>
                <w:rFonts w:ascii="Aptos" w:hAnsi="Aptos"/>
                <w:b w:val="0"/>
                <w:color w:val="000000"/>
                <w:sz w:val="14"/>
              </w:rPr>
              <w:t>92</w:t>
            </w:r>
          </w:p>
        </w:tc>
        <w:tc>
          <w:tcPr>
            <w:tcW w:type="dxa" w:w="2131"/>
            <w:vAlign w:val="top"/>
          </w:tcPr>
          <w:p>
            <w:pPr>
              <w:spacing w:after="0" w:before="0"/>
            </w:pPr>
            <w:r/>
            <w:r>
              <w:rPr>
                <w:rFonts w:ascii="Aptos" w:hAnsi="Aptos"/>
                <w:b w:val="0"/>
                <w:color w:val="000000"/>
                <w:sz w:val="14"/>
              </w:rPr>
              <w:t>TF-PRIV-000731–000738</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Counsel research memo. Recommended action: Retain.</w:t>
            </w:r>
          </w:p>
        </w:tc>
      </w:tr>
      <w:tr>
        <w:trPr>
          <w:cantSplit/>
        </w:trPr>
        <w:tc>
          <w:tcPr>
            <w:tcW w:type="dxa" w:w="648"/>
            <w:vAlign w:val="top"/>
            <w:shd w:fill="F2F6FA"/>
          </w:tcPr>
          <w:p>
            <w:pPr>
              <w:spacing w:after="0" w:before="0"/>
            </w:pPr>
            <w:r/>
            <w:r>
              <w:rPr>
                <w:rFonts w:ascii="Aptos" w:hAnsi="Aptos"/>
                <w:b w:val="0"/>
                <w:color w:val="000000"/>
                <w:sz w:val="14"/>
              </w:rPr>
              <w:t>93</w:t>
            </w:r>
          </w:p>
        </w:tc>
        <w:tc>
          <w:tcPr>
            <w:tcW w:type="dxa" w:w="2131"/>
            <w:vAlign w:val="top"/>
            <w:shd w:fill="F2F6FA"/>
          </w:tcPr>
          <w:p>
            <w:pPr>
              <w:spacing w:after="0" w:before="0"/>
            </w:pPr>
            <w:r/>
            <w:r>
              <w:rPr>
                <w:rFonts w:ascii="Aptos" w:hAnsi="Aptos"/>
                <w:b w:val="0"/>
                <w:color w:val="000000"/>
                <w:sz w:val="14"/>
              </w:rPr>
              <w:t>TF-PRIV-000739–000748</w:t>
            </w:r>
          </w:p>
        </w:tc>
        <w:tc>
          <w:tcPr>
            <w:tcW w:type="dxa" w:w="2448"/>
            <w:vAlign w:val="top"/>
            <w:shd w:fill="F2F6FA"/>
          </w:tcPr>
          <w:p>
            <w:pPr>
              <w:spacing w:after="0" w:before="0"/>
            </w:pPr>
            <w:r/>
            <w:r>
              <w:rPr>
                <w:rFonts w:ascii="Aptos" w:hAnsi="Aptos"/>
                <w:b w:val="0"/>
                <w:color w:val="000000"/>
                <w:sz w:val="14"/>
              </w:rPr>
              <w:t>Defensible, subject to reconciliation / expert rules</w:t>
            </w:r>
          </w:p>
        </w:tc>
        <w:tc>
          <w:tcPr>
            <w:tcW w:type="dxa" w:w="10080"/>
            <w:vAlign w:val="top"/>
            <w:shd w:fill="F2F6FA"/>
          </w:tcPr>
          <w:p>
            <w:pPr>
              <w:spacing w:after="0" w:before="0"/>
            </w:pPr>
            <w:r/>
            <w:r>
              <w:rPr>
                <w:rFonts w:ascii="Aptos" w:hAnsi="Aptos"/>
                <w:b w:val="0"/>
                <w:color w:val="000000"/>
                <w:sz w:val="14"/>
              </w:rPr>
              <w:t>Sample is counsel’s evaluation of candidate experts, litigation strategy, and retention structure; paralegal is within counsel team. Sample date appears Apr. 14, 2021, not log date May 15—reconcile. Recommended action: Retain counsel impressions; review any testifying-expert communications/data under Rule 26. Verify Bates/date.</w:t>
            </w:r>
          </w:p>
        </w:tc>
      </w:tr>
      <w:tr>
        <w:trPr>
          <w:cantSplit/>
        </w:trPr>
        <w:tc>
          <w:tcPr>
            <w:tcW w:type="dxa" w:w="648"/>
            <w:vAlign w:val="top"/>
          </w:tcPr>
          <w:p>
            <w:pPr>
              <w:spacing w:after="0" w:before="0"/>
            </w:pPr>
            <w:r/>
            <w:r>
              <w:rPr>
                <w:rFonts w:ascii="Aptos" w:hAnsi="Aptos"/>
                <w:b w:val="0"/>
                <w:color w:val="000000"/>
                <w:sz w:val="14"/>
              </w:rPr>
              <w:t>94</w:t>
            </w:r>
          </w:p>
        </w:tc>
        <w:tc>
          <w:tcPr>
            <w:tcW w:type="dxa" w:w="2131"/>
            <w:vAlign w:val="top"/>
          </w:tcPr>
          <w:p>
            <w:pPr>
              <w:spacing w:after="0" w:before="0"/>
            </w:pPr>
            <w:r/>
            <w:r>
              <w:rPr>
                <w:rFonts w:ascii="Aptos" w:hAnsi="Aptos"/>
                <w:b w:val="0"/>
                <w:color w:val="000000"/>
                <w:sz w:val="14"/>
              </w:rPr>
              <w:t>TF-PRIV-000749–000755</w:t>
            </w:r>
          </w:p>
        </w:tc>
        <w:tc>
          <w:tcPr>
            <w:tcW w:type="dxa" w:w="2448"/>
            <w:vAlign w:val="top"/>
          </w:tcPr>
          <w:p>
            <w:pPr>
              <w:spacing w:after="0" w:before="0"/>
            </w:pPr>
            <w:r/>
            <w:r>
              <w:rPr>
                <w:rFonts w:ascii="Aptos" w:hAnsi="Aptos"/>
                <w:b w:val="0"/>
                <w:color w:val="000000"/>
                <w:sz w:val="14"/>
              </w:rPr>
              <w:t>Defensible</w:t>
            </w:r>
          </w:p>
        </w:tc>
        <w:tc>
          <w:tcPr>
            <w:tcW w:type="dxa" w:w="10080"/>
            <w:vAlign w:val="top"/>
          </w:tcPr>
          <w:p>
            <w:pPr>
              <w:spacing w:after="0" w:before="0"/>
            </w:pPr>
            <w:r/>
            <w:r>
              <w:rPr>
                <w:rFonts w:ascii="Aptos" w:hAnsi="Aptos"/>
                <w:b w:val="0"/>
                <w:color w:val="000000"/>
                <w:sz w:val="14"/>
              </w:rPr>
              <w:t>GC legal advice about response strategy and corrective actions. Recommended action: Retain advice; produce order, facts, and implementation records.</w:t>
            </w:r>
          </w:p>
        </w:tc>
      </w:tr>
      <w:tr>
        <w:trPr>
          <w:cantSplit/>
        </w:trPr>
        <w:tc>
          <w:tcPr>
            <w:tcW w:type="dxa" w:w="648"/>
            <w:vAlign w:val="top"/>
            <w:shd w:fill="F2F6FA"/>
          </w:tcPr>
          <w:p>
            <w:pPr>
              <w:spacing w:after="0" w:before="0"/>
            </w:pPr>
            <w:r/>
            <w:r>
              <w:rPr>
                <w:rFonts w:ascii="Aptos" w:hAnsi="Aptos"/>
                <w:b w:val="0"/>
                <w:color w:val="000000"/>
                <w:sz w:val="14"/>
              </w:rPr>
              <w:t>95</w:t>
            </w:r>
          </w:p>
        </w:tc>
        <w:tc>
          <w:tcPr>
            <w:tcW w:type="dxa" w:w="2131"/>
            <w:vAlign w:val="top"/>
            <w:shd w:fill="F2F6FA"/>
          </w:tcPr>
          <w:p>
            <w:pPr>
              <w:spacing w:after="0" w:before="0"/>
            </w:pPr>
            <w:r/>
            <w:r>
              <w:rPr>
                <w:rFonts w:ascii="Aptos" w:hAnsi="Aptos"/>
                <w:b w:val="0"/>
                <w:color w:val="000000"/>
                <w:sz w:val="14"/>
              </w:rPr>
              <w:t>TF-PRIV-000756–000762</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Counsel research memo. Recommended action: Retain.</w:t>
            </w:r>
          </w:p>
        </w:tc>
      </w:tr>
      <w:tr>
        <w:trPr>
          <w:cantSplit/>
        </w:trPr>
        <w:tc>
          <w:tcPr>
            <w:tcW w:type="dxa" w:w="648"/>
            <w:vAlign w:val="top"/>
          </w:tcPr>
          <w:p>
            <w:pPr>
              <w:spacing w:after="0" w:before="0"/>
            </w:pPr>
            <w:r/>
            <w:r>
              <w:rPr>
                <w:rFonts w:ascii="Aptos" w:hAnsi="Aptos"/>
                <w:b w:val="0"/>
                <w:color w:val="000000"/>
                <w:sz w:val="14"/>
              </w:rPr>
              <w:t>96</w:t>
            </w:r>
          </w:p>
        </w:tc>
        <w:tc>
          <w:tcPr>
            <w:tcW w:type="dxa" w:w="2131"/>
            <w:vAlign w:val="top"/>
          </w:tcPr>
          <w:p>
            <w:pPr>
              <w:spacing w:after="0" w:before="0"/>
            </w:pPr>
            <w:r/>
            <w:r>
              <w:rPr>
                <w:rFonts w:ascii="Aptos" w:hAnsi="Aptos"/>
                <w:b w:val="0"/>
                <w:color w:val="000000"/>
                <w:sz w:val="14"/>
              </w:rPr>
              <w:t>TF-PRIV-000763–000775</w:t>
            </w:r>
          </w:p>
        </w:tc>
        <w:tc>
          <w:tcPr>
            <w:tcW w:type="dxa" w:w="2448"/>
            <w:vAlign w:val="top"/>
          </w:tcPr>
          <w:p>
            <w:pPr>
              <w:spacing w:after="0" w:before="0"/>
            </w:pPr>
            <w:r/>
            <w:r>
              <w:rPr>
                <w:rFonts w:ascii="Aptos" w:hAnsi="Aptos"/>
                <w:b w:val="0"/>
                <w:color w:val="000000"/>
                <w:sz w:val="14"/>
              </w:rPr>
              <w:t>Not defensible — routine sampling report</w:t>
            </w:r>
          </w:p>
        </w:tc>
        <w:tc>
          <w:tcPr>
            <w:tcW w:type="dxa" w:w="10080"/>
            <w:vAlign w:val="top"/>
          </w:tcPr>
          <w:p>
            <w:pPr>
              <w:spacing w:after="0" w:before="0"/>
            </w:pPr>
            <w:r/>
            <w:r>
              <w:rPr>
                <w:rFonts w:ascii="Aptos" w:hAnsi="Aptos"/>
                <w:b w:val="0"/>
                <w:color w:val="000000"/>
                <w:sz w:val="14"/>
              </w:rPr>
              <w:t>Sample report is produced under Graystone’s routine MSA, for regulatory monitoring, and predates litigation/hold. Results and environmental facts are independently discoverable. Recommended action: Produce report and supporting data.</w:t>
            </w:r>
          </w:p>
        </w:tc>
      </w:tr>
      <w:tr>
        <w:trPr>
          <w:cantSplit/>
        </w:trPr>
        <w:tc>
          <w:tcPr>
            <w:tcW w:type="dxa" w:w="648"/>
            <w:vAlign w:val="top"/>
            <w:shd w:fill="F2F6FA"/>
          </w:tcPr>
          <w:p>
            <w:pPr>
              <w:spacing w:after="0" w:before="0"/>
            </w:pPr>
            <w:r/>
            <w:r>
              <w:rPr>
                <w:rFonts w:ascii="Aptos" w:hAnsi="Aptos"/>
                <w:b w:val="0"/>
                <w:color w:val="000000"/>
                <w:sz w:val="14"/>
              </w:rPr>
              <w:t>97</w:t>
            </w:r>
          </w:p>
        </w:tc>
        <w:tc>
          <w:tcPr>
            <w:tcW w:type="dxa" w:w="2131"/>
            <w:vAlign w:val="top"/>
            <w:shd w:fill="F2F6FA"/>
          </w:tcPr>
          <w:p>
            <w:pPr>
              <w:spacing w:after="0" w:before="0"/>
            </w:pPr>
            <w:r/>
            <w:r>
              <w:rPr>
                <w:rFonts w:ascii="Aptos" w:hAnsi="Aptos"/>
                <w:b w:val="0"/>
                <w:color w:val="000000"/>
                <w:sz w:val="14"/>
              </w:rPr>
              <w:t>TF-PRIV-000776–000782</w:t>
            </w:r>
          </w:p>
        </w:tc>
        <w:tc>
          <w:tcPr>
            <w:tcW w:type="dxa" w:w="2448"/>
            <w:vAlign w:val="top"/>
            <w:shd w:fill="F2F6FA"/>
          </w:tcPr>
          <w:p>
            <w:pPr>
              <w:spacing w:after="0" w:before="0"/>
            </w:pPr>
            <w:r/>
            <w:r>
              <w:rPr>
                <w:rFonts w:ascii="Aptos" w:hAnsi="Aptos"/>
                <w:b w:val="0"/>
                <w:color w:val="000000"/>
                <w:sz w:val="14"/>
              </w:rPr>
              <w:t>Defensible</w:t>
            </w:r>
          </w:p>
        </w:tc>
        <w:tc>
          <w:tcPr>
            <w:tcW w:type="dxa" w:w="10080"/>
            <w:vAlign w:val="top"/>
            <w:shd w:fill="F2F6FA"/>
          </w:tcPr>
          <w:p>
            <w:pPr>
              <w:spacing w:after="0" w:before="0"/>
            </w:pPr>
            <w:r/>
            <w:r>
              <w:rPr>
                <w:rFonts w:ascii="Aptos" w:hAnsi="Aptos"/>
                <w:b w:val="0"/>
                <w:color w:val="000000"/>
                <w:sz w:val="14"/>
              </w:rPr>
              <w:t>Outside counsel settlement valuation and strategic mental impressions. Recommended action: Retain; segregate nonprivileged underlying estimates and facts.</w:t>
            </w:r>
          </w:p>
        </w:tc>
      </w:tr>
      <w:tr>
        <w:trPr>
          <w:cantSplit/>
        </w:trPr>
        <w:tc>
          <w:tcPr>
            <w:tcW w:type="dxa" w:w="648"/>
            <w:vAlign w:val="top"/>
          </w:tcPr>
          <w:p>
            <w:pPr>
              <w:spacing w:after="0" w:before="0"/>
            </w:pPr>
            <w:r/>
            <w:r>
              <w:rPr>
                <w:rFonts w:ascii="Aptos" w:hAnsi="Aptos"/>
                <w:b w:val="0"/>
                <w:color w:val="000000"/>
                <w:sz w:val="14"/>
              </w:rPr>
              <w:t>98</w:t>
            </w:r>
          </w:p>
        </w:tc>
        <w:tc>
          <w:tcPr>
            <w:tcW w:type="dxa" w:w="2131"/>
            <w:vAlign w:val="top"/>
          </w:tcPr>
          <w:p>
            <w:pPr>
              <w:spacing w:after="0" w:before="0"/>
            </w:pPr>
            <w:r/>
            <w:r>
              <w:rPr>
                <w:rFonts w:ascii="Aptos" w:hAnsi="Aptos"/>
                <w:b w:val="0"/>
                <w:color w:val="000000"/>
                <w:sz w:val="14"/>
              </w:rPr>
              <w:t>TF-PRIV-000783–000790</w:t>
            </w:r>
          </w:p>
        </w:tc>
        <w:tc>
          <w:tcPr>
            <w:tcW w:type="dxa" w:w="2448"/>
            <w:vAlign w:val="top"/>
          </w:tcPr>
          <w:p>
            <w:pPr>
              <w:spacing w:after="0" w:before="0"/>
            </w:pPr>
            <w:r/>
            <w:r>
              <w:rPr>
                <w:rFonts w:ascii="Aptos" w:hAnsi="Aptos"/>
                <w:b w:val="0"/>
                <w:color w:val="000000"/>
                <w:sz w:val="14"/>
              </w:rPr>
              <w:t>Defensible, subject to scope</w:t>
            </w:r>
          </w:p>
        </w:tc>
        <w:tc>
          <w:tcPr>
            <w:tcW w:type="dxa" w:w="10080"/>
            <w:vAlign w:val="top"/>
          </w:tcPr>
          <w:p>
            <w:pPr>
              <w:spacing w:after="0" w:before="0"/>
            </w:pPr>
            <w:r/>
            <w:r>
              <w:rPr>
                <w:rFonts w:ascii="Aptos" w:hAnsi="Aptos"/>
                <w:b w:val="0"/>
                <w:color w:val="000000"/>
                <w:sz w:val="14"/>
              </w:rPr>
              <w:t>GC-to-counsel discussion of board settlement authority/parameters for litigation is legal strategy. Underlying board decision and business facts may be separately discoverable. Recommended action: Retain legal analysis; assess any board minutes or underlying authority documents separately.</w:t>
            </w:r>
          </w:p>
        </w:tc>
      </w:tr>
    </w:tbl>
    <w:sectPr w:rsidR="00FC693F" w:rsidRPr="0006063C" w:rsidSect="00034616">
      <w:pgSz w:w="15840" w:h="12240" w:orient="landscape"/>
      <w:pgMar w:top="605" w:right="605" w:bottom="605"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Thornfield privilege-log assessment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6464"/>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