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rPr>
          <w:rFonts w:ascii="Aptos Display" w:hAnsi="Aptos Display"/>
          <w:b/>
          <w:color w:val="17365D"/>
          <w:sz w:val="46"/>
        </w:rPr>
        <w:t>DISBURSEMENT COMPLIANCE REPORT</w:t>
      </w:r>
    </w:p>
    <w:p>
      <w:pPr>
        <w:spacing w:after="140"/>
      </w:pPr>
      <w:r>
        <w:rPr>
          <w:rFonts w:ascii="Aptos" w:hAnsi="Aptos"/>
          <w:b/>
          <w:color w:val="0F6B78"/>
          <w:sz w:val="24"/>
        </w:rPr>
        <w:t>HWK May 2025 Invoice  |  HWK-2025-05-4781</w:t>
      </w:r>
    </w:p>
    <w:p>
      <w:r>
        <w:rPr>
          <w:b w:val="0"/>
          <w:i w:val="0"/>
          <w:color w:val="5B6573"/>
          <w:sz w:val="19"/>
        </w:rPr>
        <w:t>Morales v. Pinnacle Health Systems, Inc.  •  Case No. 3:24-cv-01847-RJC  •  Matter No. 4922-001</w:t>
      </w:r>
    </w:p>
    <w:tbl>
      <w:tblPr>
        <w:tblStyle w:val="TableGrid"/>
        <w:tblW w:type="auto" w:w="0"/>
        <w:jc w:val="center"/>
        <w:tblLayout w:type="fixed"/>
        <w:tblLook w:firstColumn="1" w:firstRow="1" w:lastColumn="0" w:lastRow="0" w:noHBand="0" w:noVBand="1" w:val="04A0"/>
      </w:tblPr>
      <w:tblGrid>
        <w:gridCol w:w="5141"/>
        <w:gridCol w:w="5141"/>
      </w:tblGrid>
      <w:tr>
        <w:trPr>
          <w:tblHeader w:val="true"/>
          <w:cantSplit/>
        </w:trPr>
        <w:tc>
          <w:tcPr>
            <w:tcW w:type="dxa" w:w="2160"/>
            <w:vAlign w:val="center"/>
            <w:tcMar>
              <w:top w:w="70" w:type="dxa"/>
              <w:start w:w="80" w:type="dxa"/>
              <w:bottom w:w="70" w:type="dxa"/>
              <w:end w:w="80" w:type="dxa"/>
            </w:tcMar>
            <w:shd w:fill="17365D"/>
          </w:tcPr>
          <w:p>
            <w:pPr>
              <w:spacing w:after="0" w:line="240" w:lineRule="auto"/>
            </w:pPr>
            <w:r/>
            <w:r>
              <w:rPr>
                <w:rFonts w:ascii="Aptos" w:hAnsi="Aptos"/>
                <w:b/>
                <w:color w:val="FFFFFF"/>
                <w:sz w:val="17"/>
              </w:rPr>
              <w:t>REVIEW PARTICULARS</w:t>
            </w:r>
          </w:p>
        </w:tc>
        <w:tc>
          <w:tcPr>
            <w:tcW w:type="dxa" w:w="8064"/>
            <w:vAlign w:val="center"/>
            <w:tcMar>
              <w:top w:w="70" w:type="dxa"/>
              <w:start w:w="80" w:type="dxa"/>
              <w:bottom w:w="70" w:type="dxa"/>
              <w:end w:w="80" w:type="dxa"/>
            </w:tcMar>
            <w:shd w:fill="17365D"/>
          </w:tcPr>
          <w:p>
            <w:pPr>
              <w:spacing w:after="0" w:line="240" w:lineRule="auto"/>
            </w:pPr>
            <w:r/>
            <w:r>
              <w:rPr>
                <w:rFonts w:ascii="Aptos" w:hAnsi="Aptos"/>
                <w:b/>
                <w:color w:val="FFFFFF"/>
                <w:sz w:val="17"/>
              </w:rPr>
              <w:t>DETAIL</w:t>
            </w:r>
          </w:p>
        </w:tc>
      </w:tr>
      <w:tr>
        <w:trPr>
          <w:cantSplit/>
        </w:trPr>
        <w:tc>
          <w:tcPr>
            <w:tcW w:type="dxa" w:w="2160"/>
            <w:vAlign w:val="center"/>
            <w:tcMar>
              <w:top w:w="70" w:type="dxa"/>
              <w:start w:w="80" w:type="dxa"/>
              <w:bottom w:w="70" w:type="dxa"/>
              <w:end w:w="80" w:type="dxa"/>
            </w:tcMar>
          </w:tcPr>
          <w:p>
            <w:pPr>
              <w:spacing w:after="0" w:line="240" w:lineRule="auto"/>
            </w:pPr>
            <w:r/>
            <w:r>
              <w:rPr>
                <w:rFonts w:ascii="Aptos" w:hAnsi="Aptos"/>
                <w:b w:val="0"/>
                <w:color w:val="202833"/>
                <w:sz w:val="17"/>
              </w:rPr>
              <w:t>Client / firm</w:t>
            </w:r>
          </w:p>
        </w:tc>
        <w:tc>
          <w:tcPr>
            <w:tcW w:type="dxa" w:w="8064"/>
            <w:vAlign w:val="center"/>
            <w:tcMar>
              <w:top w:w="70" w:type="dxa"/>
              <w:start w:w="80" w:type="dxa"/>
              <w:bottom w:w="70" w:type="dxa"/>
              <w:end w:w="80" w:type="dxa"/>
            </w:tcMar>
          </w:tcPr>
          <w:p>
            <w:pPr>
              <w:spacing w:after="0" w:line="240" w:lineRule="auto"/>
            </w:pPr>
            <w:r/>
            <w:r>
              <w:rPr>
                <w:rFonts w:ascii="Aptos" w:hAnsi="Aptos"/>
                <w:b w:val="0"/>
                <w:color w:val="202833"/>
                <w:sz w:val="17"/>
              </w:rPr>
              <w:t>Pinnacle Health Systems, Inc. / Hargrove, Winslow &amp; Keane LLP</w:t>
            </w:r>
          </w:p>
        </w:tc>
      </w:tr>
      <w:tr>
        <w:trPr>
          <w:cantSplit/>
        </w:trPr>
        <w:tc>
          <w:tcPr>
            <w:tcW w:type="dxa" w:w="2160"/>
            <w:vAlign w:val="center"/>
            <w:tcMar>
              <w:top w:w="70" w:type="dxa"/>
              <w:start w:w="80" w:type="dxa"/>
              <w:bottom w:w="70" w:type="dxa"/>
              <w:end w:w="80" w:type="dxa"/>
            </w:tcMar>
            <w:shd w:fill="F7F9FB"/>
          </w:tcPr>
          <w:p>
            <w:pPr>
              <w:spacing w:after="0" w:line="240" w:lineRule="auto"/>
            </w:pPr>
            <w:r/>
            <w:r>
              <w:rPr>
                <w:rFonts w:ascii="Aptos" w:hAnsi="Aptos"/>
                <w:b w:val="0"/>
                <w:color w:val="202833"/>
                <w:sz w:val="17"/>
              </w:rPr>
              <w:t>Billing period / invoice date</w:t>
            </w:r>
          </w:p>
        </w:tc>
        <w:tc>
          <w:tcPr>
            <w:tcW w:type="dxa" w:w="8064"/>
            <w:vAlign w:val="center"/>
            <w:tcMar>
              <w:top w:w="70" w:type="dxa"/>
              <w:start w:w="80" w:type="dxa"/>
              <w:bottom w:w="70" w:type="dxa"/>
              <w:end w:w="80" w:type="dxa"/>
            </w:tcMar>
            <w:shd w:fill="F7F9FB"/>
          </w:tcPr>
          <w:p>
            <w:pPr>
              <w:spacing w:after="0" w:line="240" w:lineRule="auto"/>
            </w:pPr>
            <w:r/>
            <w:r>
              <w:rPr>
                <w:rFonts w:ascii="Aptos" w:hAnsi="Aptos"/>
                <w:b w:val="0"/>
                <w:color w:val="202833"/>
                <w:sz w:val="17"/>
              </w:rPr>
              <w:t>May 1–31, 2025 / June 3, 2025</w:t>
            </w:r>
          </w:p>
        </w:tc>
      </w:tr>
      <w:tr>
        <w:trPr>
          <w:cantSplit/>
        </w:trPr>
        <w:tc>
          <w:tcPr>
            <w:tcW w:type="dxa" w:w="2160"/>
            <w:vAlign w:val="center"/>
            <w:tcMar>
              <w:top w:w="70" w:type="dxa"/>
              <w:start w:w="80" w:type="dxa"/>
              <w:bottom w:w="70" w:type="dxa"/>
              <w:end w:w="80" w:type="dxa"/>
            </w:tcMar>
          </w:tcPr>
          <w:p>
            <w:pPr>
              <w:spacing w:after="0" w:line="240" w:lineRule="auto"/>
            </w:pPr>
            <w:r/>
            <w:r>
              <w:rPr>
                <w:rFonts w:ascii="Aptos" w:hAnsi="Aptos"/>
                <w:b w:val="0"/>
                <w:color w:val="202833"/>
                <w:sz w:val="17"/>
              </w:rPr>
              <w:t>Review record</w:t>
            </w:r>
          </w:p>
        </w:tc>
        <w:tc>
          <w:tcPr>
            <w:tcW w:type="dxa" w:w="8064"/>
            <w:vAlign w:val="center"/>
            <w:tcMar>
              <w:top w:w="70" w:type="dxa"/>
              <w:start w:w="80" w:type="dxa"/>
              <w:bottom w:w="70" w:type="dxa"/>
              <w:end w:w="80" w:type="dxa"/>
            </w:tcMar>
          </w:tcPr>
          <w:p>
            <w:pPr>
              <w:spacing w:after="0" w:line="240" w:lineRule="auto"/>
            </w:pPr>
            <w:r/>
            <w:r>
              <w:rPr>
                <w:rFonts w:ascii="Aptos" w:hAnsi="Aptos"/>
                <w:b w:val="0"/>
                <w:color w:val="202833"/>
                <w:sz w:val="17"/>
              </w:rPr>
              <w:t>Invoice workbook; Pinnacle Billing Guidelines v3.1; pre-approval log compiled June 5, 2025; HWK engagement letter dated October 1, 2024</w:t>
            </w:r>
          </w:p>
        </w:tc>
      </w:tr>
      <w:tr>
        <w:trPr>
          <w:cantSplit/>
        </w:trPr>
        <w:tc>
          <w:tcPr>
            <w:tcW w:type="dxa" w:w="2160"/>
            <w:vAlign w:val="center"/>
            <w:tcMar>
              <w:top w:w="70" w:type="dxa"/>
              <w:start w:w="80" w:type="dxa"/>
              <w:bottom w:w="70" w:type="dxa"/>
              <w:end w:w="80" w:type="dxa"/>
            </w:tcMar>
            <w:shd w:fill="F7F9FB"/>
          </w:tcPr>
          <w:p>
            <w:pPr>
              <w:spacing w:after="0" w:line="240" w:lineRule="auto"/>
            </w:pPr>
            <w:r/>
            <w:r>
              <w:rPr>
                <w:rFonts w:ascii="Aptos" w:hAnsi="Aptos"/>
                <w:b w:val="0"/>
                <w:color w:val="202833"/>
                <w:sz w:val="17"/>
              </w:rPr>
              <w:t>Scope</w:t>
            </w:r>
          </w:p>
        </w:tc>
        <w:tc>
          <w:tcPr>
            <w:tcW w:type="dxa" w:w="8064"/>
            <w:vAlign w:val="center"/>
            <w:tcMar>
              <w:top w:w="70" w:type="dxa"/>
              <w:start w:w="80" w:type="dxa"/>
              <w:bottom w:w="70" w:type="dxa"/>
              <w:end w:w="80" w:type="dxa"/>
            </w:tcMar>
            <w:shd w:fill="F7F9FB"/>
          </w:tcPr>
          <w:p>
            <w:pPr>
              <w:spacing w:after="0" w:line="240" w:lineRule="auto"/>
            </w:pPr>
            <w:r/>
            <w:r>
              <w:rPr>
                <w:rFonts w:ascii="Aptos" w:hAnsi="Aptos"/>
                <w:b w:val="0"/>
                <w:color w:val="202833"/>
                <w:sz w:val="17"/>
              </w:rPr>
              <w:t>Disbursements and invoice-level disbursement controls; professional-fee entries were not audited.</w:t>
            </w:r>
          </w:p>
        </w:tc>
      </w:tr>
    </w:tbl>
    <w:p>
      <w:pPr>
        <w:spacing w:after="20" w:before="0"/>
      </w:pPr>
    </w:p>
    <w:p>
      <w:pPr>
        <w:pStyle w:val="Heading1"/>
      </w:pPr>
      <w:r>
        <w:t>Executive determination</w:t>
      </w:r>
    </w:p>
    <w:p>
      <w:r>
        <w:rPr>
          <w:b w:val="0"/>
          <w:i w:val="0"/>
          <w:sz w:val="19"/>
        </w:rPr>
        <w:t>Do not approve the invoice as submitted. The disbursement schedule does not reconcile to the Summary sheet, and multiple charges exceed rate caps, are overhead, exceed written approval limits, or lack required pre-approval. The recommendations below distinguish definite face-of-record reductions from charges that should be held pending documentation or discretionary retroactive approval.</w:t>
      </w:r>
    </w:p>
    <w:tbl>
      <w:tblPr>
        <w:tblStyle w:val="TableGrid"/>
        <w:tblW w:type="auto" w:w="0"/>
        <w:jc w:val="center"/>
        <w:tblLayout w:type="fixed"/>
        <w:tblLook w:firstColumn="1" w:firstRow="1" w:lastColumn="0" w:lastRow="0" w:noHBand="0" w:noVBand="1" w:val="04A0"/>
      </w:tblPr>
      <w:tblGrid>
        <w:gridCol w:w="5141"/>
        <w:gridCol w:w="5141"/>
      </w:tblGrid>
      <w:tr>
        <w:trPr>
          <w:tblHeader w:val="true"/>
          <w:cantSplit/>
        </w:trPr>
        <w:tc>
          <w:tcPr>
            <w:tcW w:type="dxa" w:w="7992"/>
            <w:vAlign w:val="center"/>
            <w:tcMar>
              <w:top w:w="70" w:type="dxa"/>
              <w:start w:w="80" w:type="dxa"/>
              <w:bottom w:w="70" w:type="dxa"/>
              <w:end w:w="80" w:type="dxa"/>
            </w:tcMar>
            <w:shd w:fill="17365D"/>
          </w:tcPr>
          <w:p>
            <w:pPr>
              <w:spacing w:after="0" w:line="240" w:lineRule="auto"/>
            </w:pPr>
            <w:r/>
            <w:r>
              <w:rPr>
                <w:rFonts w:ascii="Aptos" w:hAnsi="Aptos"/>
                <w:b/>
                <w:color w:val="FFFFFF"/>
                <w:sz w:val="17"/>
              </w:rPr>
              <w:t>AMOUNT CHECK</w:t>
            </w:r>
          </w:p>
        </w:tc>
        <w:tc>
          <w:tcPr>
            <w:tcW w:type="dxa" w:w="2232"/>
            <w:vAlign w:val="center"/>
            <w:tcMar>
              <w:top w:w="70" w:type="dxa"/>
              <w:start w:w="80" w:type="dxa"/>
              <w:bottom w:w="70" w:type="dxa"/>
              <w:end w:w="80" w:type="dxa"/>
            </w:tcMar>
            <w:shd w:fill="17365D"/>
          </w:tcPr>
          <w:p>
            <w:pPr>
              <w:spacing w:after="0" w:line="240" w:lineRule="auto"/>
            </w:pPr>
            <w:r/>
            <w:r>
              <w:rPr>
                <w:rFonts w:ascii="Aptos" w:hAnsi="Aptos"/>
                <w:b/>
                <w:color w:val="FFFFFF"/>
                <w:sz w:val="17"/>
              </w:rPr>
              <w:t>AMOUNT</w:t>
            </w:r>
          </w:p>
        </w:tc>
      </w:tr>
      <w:tr>
        <w:trPr>
          <w:cantSplit/>
        </w:trPr>
        <w:tc>
          <w:tcPr>
            <w:tcW w:type="dxa" w:w="7992"/>
            <w:vAlign w:val="center"/>
            <w:tcMar>
              <w:top w:w="70" w:type="dxa"/>
              <w:start w:w="80" w:type="dxa"/>
              <w:bottom w:w="70" w:type="dxa"/>
              <w:end w:w="80" w:type="dxa"/>
            </w:tcMar>
          </w:tcPr>
          <w:p>
            <w:pPr>
              <w:spacing w:after="0" w:line="240" w:lineRule="auto"/>
            </w:pPr>
            <w:r/>
            <w:r>
              <w:rPr>
                <w:rFonts w:ascii="Aptos" w:hAnsi="Aptos"/>
                <w:b w:val="0"/>
                <w:color w:val="202833"/>
                <w:sz w:val="17"/>
              </w:rPr>
              <w:t>Disbursements stated on Summary sheet</w:t>
            </w:r>
          </w:p>
        </w:tc>
        <w:tc>
          <w:tcPr>
            <w:tcW w:type="dxa" w:w="2232"/>
            <w:vAlign w:val="center"/>
            <w:tcMar>
              <w:top w:w="70" w:type="dxa"/>
              <w:start w:w="80" w:type="dxa"/>
              <w:bottom w:w="70" w:type="dxa"/>
              <w:end w:w="80" w:type="dxa"/>
            </w:tcMar>
          </w:tcPr>
          <w:p>
            <w:pPr>
              <w:spacing w:after="0" w:line="240" w:lineRule="auto"/>
            </w:pPr>
            <w:r/>
            <w:r>
              <w:rPr>
                <w:rFonts w:ascii="Aptos" w:hAnsi="Aptos"/>
                <w:b w:val="0"/>
                <w:color w:val="202833"/>
                <w:sz w:val="17"/>
              </w:rPr>
              <w:t>$86,742.19</w:t>
            </w:r>
          </w:p>
        </w:tc>
      </w:tr>
      <w:tr>
        <w:trPr>
          <w:cantSplit/>
        </w:trPr>
        <w:tc>
          <w:tcPr>
            <w:tcW w:type="dxa" w:w="7992"/>
            <w:vAlign w:val="center"/>
            <w:tcMar>
              <w:top w:w="70" w:type="dxa"/>
              <w:start w:w="80" w:type="dxa"/>
              <w:bottom w:w="70" w:type="dxa"/>
              <w:end w:w="80" w:type="dxa"/>
            </w:tcMar>
            <w:shd w:fill="F7F9FB"/>
          </w:tcPr>
          <w:p>
            <w:pPr>
              <w:spacing w:after="0" w:line="240" w:lineRule="auto"/>
            </w:pPr>
            <w:r/>
            <w:r>
              <w:rPr>
                <w:rFonts w:ascii="Aptos" w:hAnsi="Aptos"/>
                <w:b w:val="0"/>
                <w:color w:val="202833"/>
                <w:sz w:val="17"/>
              </w:rPr>
              <w:t>Sum of the 47 listed Disbursement lines</w:t>
            </w:r>
          </w:p>
        </w:tc>
        <w:tc>
          <w:tcPr>
            <w:tcW w:type="dxa" w:w="2232"/>
            <w:vAlign w:val="center"/>
            <w:tcMar>
              <w:top w:w="70" w:type="dxa"/>
              <w:start w:w="80" w:type="dxa"/>
              <w:bottom w:w="70" w:type="dxa"/>
              <w:end w:w="80" w:type="dxa"/>
            </w:tcMar>
            <w:shd w:fill="F7F9FB"/>
          </w:tcPr>
          <w:p>
            <w:pPr>
              <w:spacing w:after="0" w:line="240" w:lineRule="auto"/>
            </w:pPr>
            <w:r/>
            <w:r>
              <w:rPr>
                <w:rFonts w:ascii="Aptos" w:hAnsi="Aptos"/>
                <w:b w:val="0"/>
                <w:color w:val="202833"/>
                <w:sz w:val="17"/>
              </w:rPr>
              <w:t>$145,404.30</w:t>
            </w:r>
          </w:p>
        </w:tc>
      </w:tr>
      <w:tr>
        <w:trPr>
          <w:cantSplit/>
        </w:trPr>
        <w:tc>
          <w:tcPr>
            <w:tcW w:type="dxa" w:w="7992"/>
            <w:vAlign w:val="center"/>
            <w:tcMar>
              <w:top w:w="70" w:type="dxa"/>
              <w:start w:w="80" w:type="dxa"/>
              <w:bottom w:w="70" w:type="dxa"/>
              <w:end w:w="80" w:type="dxa"/>
            </w:tcMar>
          </w:tcPr>
          <w:p>
            <w:pPr>
              <w:spacing w:after="0" w:line="240" w:lineRule="auto"/>
            </w:pPr>
            <w:r/>
            <w:r>
              <w:rPr>
                <w:rFonts w:ascii="Aptos" w:hAnsi="Aptos"/>
                <w:b w:val="0"/>
                <w:color w:val="202833"/>
                <w:sz w:val="17"/>
              </w:rPr>
              <w:t>Unreconciled difference (line total exceeds summary)</w:t>
            </w:r>
          </w:p>
        </w:tc>
        <w:tc>
          <w:tcPr>
            <w:tcW w:type="dxa" w:w="2232"/>
            <w:vAlign w:val="center"/>
            <w:tcMar>
              <w:top w:w="70" w:type="dxa"/>
              <w:start w:w="80" w:type="dxa"/>
              <w:bottom w:w="70" w:type="dxa"/>
              <w:end w:w="80" w:type="dxa"/>
            </w:tcMar>
          </w:tcPr>
          <w:p>
            <w:pPr>
              <w:spacing w:after="0" w:line="240" w:lineRule="auto"/>
            </w:pPr>
            <w:r/>
            <w:r>
              <w:rPr>
                <w:rFonts w:ascii="Aptos" w:hAnsi="Aptos"/>
                <w:b w:val="0"/>
                <w:color w:val="202833"/>
                <w:sz w:val="17"/>
              </w:rPr>
              <w:t>$58,662.11</w:t>
            </w:r>
          </w:p>
        </w:tc>
      </w:tr>
      <w:tr>
        <w:trPr>
          <w:cantSplit/>
        </w:trPr>
        <w:tc>
          <w:tcPr>
            <w:tcW w:type="dxa" w:w="7992"/>
            <w:vAlign w:val="center"/>
            <w:tcMar>
              <w:top w:w="70" w:type="dxa"/>
              <w:start w:w="80" w:type="dxa"/>
              <w:bottom w:w="70" w:type="dxa"/>
              <w:end w:w="80" w:type="dxa"/>
            </w:tcMar>
            <w:shd w:fill="F7F9FB"/>
          </w:tcPr>
          <w:p>
            <w:pPr>
              <w:spacing w:after="0" w:line="240" w:lineRule="auto"/>
            </w:pPr>
            <w:r/>
            <w:r>
              <w:rPr>
                <w:rFonts w:ascii="Aptos" w:hAnsi="Aptos"/>
                <w:b w:val="0"/>
                <w:color w:val="202833"/>
                <w:sz w:val="17"/>
              </w:rPr>
              <w:t>Professional fees stated on Summary sheet</w:t>
            </w:r>
          </w:p>
        </w:tc>
        <w:tc>
          <w:tcPr>
            <w:tcW w:type="dxa" w:w="2232"/>
            <w:vAlign w:val="center"/>
            <w:tcMar>
              <w:top w:w="70" w:type="dxa"/>
              <w:start w:w="80" w:type="dxa"/>
              <w:bottom w:w="70" w:type="dxa"/>
              <w:end w:w="80" w:type="dxa"/>
            </w:tcMar>
            <w:shd w:fill="F7F9FB"/>
          </w:tcPr>
          <w:p>
            <w:pPr>
              <w:spacing w:after="0" w:line="240" w:lineRule="auto"/>
            </w:pPr>
            <w:r/>
            <w:r>
              <w:rPr>
                <w:rFonts w:ascii="Aptos" w:hAnsi="Aptos"/>
                <w:b w:val="0"/>
                <w:color w:val="202833"/>
                <w:sz w:val="17"/>
              </w:rPr>
              <w:t>$187,420.00</w:t>
            </w:r>
          </w:p>
        </w:tc>
      </w:tr>
      <w:tr>
        <w:trPr>
          <w:cantSplit/>
        </w:trPr>
        <w:tc>
          <w:tcPr>
            <w:tcW w:type="dxa" w:w="7992"/>
            <w:vAlign w:val="center"/>
            <w:tcMar>
              <w:top w:w="70" w:type="dxa"/>
              <w:start w:w="80" w:type="dxa"/>
              <w:bottom w:w="70" w:type="dxa"/>
              <w:end w:w="80" w:type="dxa"/>
            </w:tcMar>
          </w:tcPr>
          <w:p>
            <w:pPr>
              <w:spacing w:after="0" w:line="240" w:lineRule="auto"/>
            </w:pPr>
            <w:r/>
            <w:r>
              <w:rPr>
                <w:rFonts w:ascii="Aptos" w:hAnsi="Aptos"/>
                <w:b w:val="0"/>
                <w:color w:val="202833"/>
                <w:sz w:val="17"/>
              </w:rPr>
              <w:t>Total implied by line-item disbursements + stated fees, before review</w:t>
            </w:r>
          </w:p>
        </w:tc>
        <w:tc>
          <w:tcPr>
            <w:tcW w:type="dxa" w:w="2232"/>
            <w:vAlign w:val="center"/>
            <w:tcMar>
              <w:top w:w="70" w:type="dxa"/>
              <w:start w:w="80" w:type="dxa"/>
              <w:bottom w:w="70" w:type="dxa"/>
              <w:end w:w="80" w:type="dxa"/>
            </w:tcMar>
          </w:tcPr>
          <w:p>
            <w:pPr>
              <w:spacing w:after="0" w:line="240" w:lineRule="auto"/>
            </w:pPr>
            <w:r/>
            <w:r>
              <w:rPr>
                <w:rFonts w:ascii="Aptos" w:hAnsi="Aptos"/>
                <w:b w:val="0"/>
                <w:color w:val="202833"/>
                <w:sz w:val="17"/>
              </w:rPr>
              <w:t>$332,824.30</w:t>
            </w:r>
          </w:p>
        </w:tc>
      </w:tr>
      <w:tr>
        <w:trPr>
          <w:cantSplit/>
        </w:trPr>
        <w:tc>
          <w:tcPr>
            <w:tcW w:type="dxa" w:w="7992"/>
            <w:vAlign w:val="center"/>
            <w:tcMar>
              <w:top w:w="70" w:type="dxa"/>
              <w:start w:w="80" w:type="dxa"/>
              <w:bottom w:w="70" w:type="dxa"/>
              <w:end w:w="80" w:type="dxa"/>
            </w:tcMar>
            <w:shd w:fill="F7F9FB"/>
          </w:tcPr>
          <w:p>
            <w:pPr>
              <w:spacing w:after="0" w:line="240" w:lineRule="auto"/>
            </w:pPr>
            <w:r/>
            <w:r>
              <w:rPr>
                <w:rFonts w:ascii="Aptos" w:hAnsi="Aptos"/>
                <w:b w:val="0"/>
                <w:color w:val="202833"/>
                <w:sz w:val="17"/>
              </w:rPr>
              <w:t>Recommended rule-based reductions (see qualification below)</w:t>
            </w:r>
          </w:p>
        </w:tc>
        <w:tc>
          <w:tcPr>
            <w:tcW w:type="dxa" w:w="2232"/>
            <w:vAlign w:val="center"/>
            <w:tcMar>
              <w:top w:w="70" w:type="dxa"/>
              <w:start w:w="80" w:type="dxa"/>
              <w:bottom w:w="70" w:type="dxa"/>
              <w:end w:w="80" w:type="dxa"/>
            </w:tcMar>
            <w:shd w:fill="F7F9FB"/>
          </w:tcPr>
          <w:p>
            <w:pPr>
              <w:spacing w:after="0" w:line="240" w:lineRule="auto"/>
            </w:pPr>
            <w:r/>
            <w:r>
              <w:rPr>
                <w:rFonts w:ascii="Aptos" w:hAnsi="Aptos"/>
                <w:b w:val="0"/>
                <w:color w:val="202833"/>
                <w:sz w:val="17"/>
              </w:rPr>
              <w:t>$17,358.30</w:t>
            </w:r>
          </w:p>
        </w:tc>
      </w:tr>
      <w:tr>
        <w:trPr>
          <w:cantSplit/>
        </w:trPr>
        <w:tc>
          <w:tcPr>
            <w:tcW w:type="dxa" w:w="7992"/>
            <w:vAlign w:val="center"/>
            <w:tcMar>
              <w:top w:w="70" w:type="dxa"/>
              <w:start w:w="80" w:type="dxa"/>
              <w:bottom w:w="70" w:type="dxa"/>
              <w:end w:w="80" w:type="dxa"/>
            </w:tcMar>
          </w:tcPr>
          <w:p>
            <w:pPr>
              <w:spacing w:after="0" w:line="240" w:lineRule="auto"/>
            </w:pPr>
            <w:r/>
            <w:r>
              <w:rPr>
                <w:rFonts w:ascii="Aptos" w:hAnsi="Aptos"/>
                <w:b w:val="0"/>
                <w:color w:val="202833"/>
                <w:sz w:val="17"/>
              </w:rPr>
              <w:t>Line-based disbursements after those reductions; before holds / documentation issues</w:t>
            </w:r>
          </w:p>
        </w:tc>
        <w:tc>
          <w:tcPr>
            <w:tcW w:type="dxa" w:w="2232"/>
            <w:vAlign w:val="center"/>
            <w:tcMar>
              <w:top w:w="70" w:type="dxa"/>
              <w:start w:w="80" w:type="dxa"/>
              <w:bottom w:w="70" w:type="dxa"/>
              <w:end w:w="80" w:type="dxa"/>
            </w:tcMar>
          </w:tcPr>
          <w:p>
            <w:pPr>
              <w:spacing w:after="0" w:line="240" w:lineRule="auto"/>
            </w:pPr>
            <w:r/>
            <w:r>
              <w:rPr>
                <w:rFonts w:ascii="Aptos" w:hAnsi="Aptos"/>
                <w:b w:val="0"/>
                <w:color w:val="202833"/>
                <w:sz w:val="17"/>
              </w:rPr>
              <w:t>$128,046.00</w:t>
            </w:r>
          </w:p>
        </w:tc>
      </w:tr>
      <w:tr>
        <w:trPr>
          <w:cantSplit/>
        </w:trPr>
        <w:tc>
          <w:tcPr>
            <w:tcW w:type="dxa" w:w="7992"/>
            <w:vAlign w:val="center"/>
            <w:tcMar>
              <w:top w:w="70" w:type="dxa"/>
              <w:start w:w="80" w:type="dxa"/>
              <w:bottom w:w="70" w:type="dxa"/>
              <w:end w:w="80" w:type="dxa"/>
            </w:tcMar>
            <w:shd w:fill="F7F9FB"/>
          </w:tcPr>
          <w:p>
            <w:pPr>
              <w:spacing w:after="0" w:line="240" w:lineRule="auto"/>
            </w:pPr>
            <w:r/>
            <w:r>
              <w:rPr>
                <w:rFonts w:ascii="Aptos" w:hAnsi="Aptos"/>
                <w:b w:val="0"/>
                <w:color w:val="202833"/>
                <w:sz w:val="17"/>
              </w:rPr>
              <w:t>Additional unapproved charges to hold; reject if retroactive approval is denied</w:t>
            </w:r>
          </w:p>
        </w:tc>
        <w:tc>
          <w:tcPr>
            <w:tcW w:type="dxa" w:w="2232"/>
            <w:vAlign w:val="center"/>
            <w:tcMar>
              <w:top w:w="70" w:type="dxa"/>
              <w:start w:w="80" w:type="dxa"/>
              <w:bottom w:w="70" w:type="dxa"/>
              <w:end w:w="80" w:type="dxa"/>
            </w:tcMar>
            <w:shd w:fill="F7F9FB"/>
          </w:tcPr>
          <w:p>
            <w:pPr>
              <w:spacing w:after="0" w:line="240" w:lineRule="auto"/>
            </w:pPr>
            <w:r/>
            <w:r>
              <w:rPr>
                <w:rFonts w:ascii="Aptos" w:hAnsi="Aptos"/>
                <w:b w:val="0"/>
                <w:color w:val="202833"/>
                <w:sz w:val="17"/>
              </w:rPr>
              <w:t>$30,190.00</w:t>
            </w:r>
          </w:p>
        </w:tc>
      </w:tr>
    </w:tbl>
    <w:p>
      <w:pPr>
        <w:spacing w:after="20" w:before="0"/>
      </w:pPr>
    </w:p>
    <w:p>
      <w:pPr>
        <w:spacing w:before="20"/>
      </w:pPr>
      <w:r>
        <w:rPr>
          <w:b/>
          <w:color w:val="1F4E79"/>
        </w:rPr>
        <w:t xml:space="preserve">E-discovery qualification: </w:t>
      </w:r>
      <w:r>
        <w:t>The $17,358.30 recommendation treats lines 41 and 44 as one approved monthly e-discovery scope (the approval request included predictive-coding workflows and the approval capped that scope at $12,000). The two lines total $16,400, so the recommended reduction is $4,400. If HWK substantiates that line 44 is a distinct, non-duplicative tool outside that approved scope and otherwise reimbursable at actual cost, revisit $2,200 of that recommendation; the $2,200 excess on line 41 over the approved Relativity cap remains unsupported.</w:t>
      </w:r>
    </w:p>
    <w:p>
      <w:pPr>
        <w:spacing w:before="40"/>
      </w:pPr>
      <w:r>
        <w:rPr>
          <w:b/>
          <w:color w:val="1F4E79"/>
        </w:rPr>
        <w:t xml:space="preserve">Authority threshold: </w:t>
      </w:r>
      <w:r>
        <w:t>The $17,358.30 face-of-record adjustment is below the $25,000 per-invoice reduction threshold. If the additional $30,190 in unapproved charges is ultimately rejected as well, cumulative reductions would be $47,548.30; obtain General Counsel Lorraine Cha’s prior approval before issuing reductions at or above $25,000, as required by the Guidelines and engagement letter.</w:t>
      </w:r>
    </w:p>
    <w:p>
      <w:pPr>
        <w:pStyle w:val="Heading1"/>
      </w:pPr>
      <w:r>
        <w:t>1. Recommended face-of-record reductions</w:t>
      </w:r>
    </w:p>
    <w:p>
      <w:r>
        <w:rPr>
          <w:b w:val="0"/>
          <w:i w:val="0"/>
          <w:sz w:val="18"/>
        </w:rPr>
        <w:t>Amounts below are calculated from the individual line items, not the inconsistent Summary total. “Reduction” is the amount to disallow; line amounts may still require actual-cost documentation.</w:t>
      </w:r>
    </w:p>
    <w:tbl>
      <w:tblPr>
        <w:tblStyle w:val="TableGrid"/>
        <w:tblW w:type="auto" w:w="0"/>
        <w:jc w:val="center"/>
        <w:tblLayout w:type="fixed"/>
        <w:tblLook w:firstColumn="1" w:firstRow="1" w:lastColumn="0" w:lastRow="0" w:noHBand="0" w:noVBand="1" w:val="04A0"/>
      </w:tblPr>
      <w:tblGrid>
        <w:gridCol w:w="2056"/>
        <w:gridCol w:w="2056"/>
        <w:gridCol w:w="2056"/>
        <w:gridCol w:w="2056"/>
        <w:gridCol w:w="2056"/>
      </w:tblGrid>
      <w:tr>
        <w:trPr>
          <w:tblHeader w:val="true"/>
          <w:cantSplit/>
        </w:trPr>
        <w:tc>
          <w:tcPr>
            <w:tcW w:type="dxa" w:w="893"/>
            <w:vAlign w:val="center"/>
            <w:tcMar>
              <w:top w:w="70" w:type="dxa"/>
              <w:start w:w="80" w:type="dxa"/>
              <w:bottom w:w="70" w:type="dxa"/>
              <w:end w:w="80" w:type="dxa"/>
            </w:tcMar>
            <w:shd w:fill="17365D"/>
          </w:tcPr>
          <w:p>
            <w:pPr>
              <w:spacing w:after="0" w:line="240" w:lineRule="auto"/>
            </w:pPr>
            <w:r/>
            <w:r>
              <w:rPr>
                <w:rFonts w:ascii="Aptos" w:hAnsi="Aptos"/>
                <w:b/>
                <w:color w:val="FFFFFF"/>
                <w:sz w:val="15"/>
              </w:rPr>
              <w:t>LINE(S)</w:t>
            </w:r>
          </w:p>
        </w:tc>
        <w:tc>
          <w:tcPr>
            <w:tcW w:type="dxa" w:w="2016"/>
            <w:vAlign w:val="center"/>
            <w:tcMar>
              <w:top w:w="70" w:type="dxa"/>
              <w:start w:w="80" w:type="dxa"/>
              <w:bottom w:w="70" w:type="dxa"/>
              <w:end w:w="80" w:type="dxa"/>
            </w:tcMar>
            <w:shd w:fill="17365D"/>
          </w:tcPr>
          <w:p>
            <w:pPr>
              <w:spacing w:after="0" w:line="240" w:lineRule="auto"/>
            </w:pPr>
            <w:r/>
            <w:r>
              <w:rPr>
                <w:rFonts w:ascii="Aptos" w:hAnsi="Aptos"/>
                <w:b/>
                <w:color w:val="FFFFFF"/>
                <w:sz w:val="15"/>
              </w:rPr>
              <w:t>CHARGE</w:t>
            </w:r>
          </w:p>
        </w:tc>
        <w:tc>
          <w:tcPr>
            <w:tcW w:type="dxa" w:w="1066"/>
            <w:vAlign w:val="center"/>
            <w:tcMar>
              <w:top w:w="70" w:type="dxa"/>
              <w:start w:w="80" w:type="dxa"/>
              <w:bottom w:w="70" w:type="dxa"/>
              <w:end w:w="80" w:type="dxa"/>
            </w:tcMar>
            <w:shd w:fill="17365D"/>
          </w:tcPr>
          <w:p>
            <w:pPr>
              <w:spacing w:after="0" w:line="240" w:lineRule="auto"/>
            </w:pPr>
            <w:r/>
            <w:r>
              <w:rPr>
                <w:rFonts w:ascii="Aptos" w:hAnsi="Aptos"/>
                <w:b/>
                <w:color w:val="FFFFFF"/>
                <w:sz w:val="15"/>
              </w:rPr>
              <w:t>BILLED ($)</w:t>
            </w:r>
          </w:p>
        </w:tc>
        <w:tc>
          <w:tcPr>
            <w:tcW w:type="dxa" w:w="1066"/>
            <w:vAlign w:val="center"/>
            <w:tcMar>
              <w:top w:w="70" w:type="dxa"/>
              <w:start w:w="80" w:type="dxa"/>
              <w:bottom w:w="70" w:type="dxa"/>
              <w:end w:w="80" w:type="dxa"/>
            </w:tcMar>
            <w:shd w:fill="17365D"/>
          </w:tcPr>
          <w:p>
            <w:pPr>
              <w:spacing w:after="0" w:line="240" w:lineRule="auto"/>
            </w:pPr>
            <w:r/>
            <w:r>
              <w:rPr>
                <w:rFonts w:ascii="Aptos" w:hAnsi="Aptos"/>
                <w:b/>
                <w:color w:val="FFFFFF"/>
                <w:sz w:val="15"/>
              </w:rPr>
              <w:t>REDUCE ($)</w:t>
            </w:r>
          </w:p>
        </w:tc>
        <w:tc>
          <w:tcPr>
            <w:tcW w:type="dxa" w:w="5184"/>
            <w:vAlign w:val="center"/>
            <w:tcMar>
              <w:top w:w="70" w:type="dxa"/>
              <w:start w:w="80" w:type="dxa"/>
              <w:bottom w:w="70" w:type="dxa"/>
              <w:end w:w="80" w:type="dxa"/>
            </w:tcMar>
            <w:shd w:fill="17365D"/>
          </w:tcPr>
          <w:p>
            <w:pPr>
              <w:spacing w:after="0" w:line="240" w:lineRule="auto"/>
            </w:pPr>
            <w:r/>
            <w:r>
              <w:rPr>
                <w:rFonts w:ascii="Aptos" w:hAnsi="Aptos"/>
                <w:b/>
                <w:color w:val="FFFFFF"/>
                <w:sz w:val="15"/>
              </w:rPr>
              <w:t>BASIS / CALCULATION</w:t>
            </w:r>
          </w:p>
        </w:tc>
      </w:tr>
      <w:tr>
        <w:trPr>
          <w:cantSplit/>
        </w:trPr>
        <w:tc>
          <w:tcPr>
            <w:tcW w:type="dxa" w:w="893"/>
            <w:vAlign w:val="center"/>
            <w:tcMar>
              <w:top w:w="70" w:type="dxa"/>
              <w:start w:w="80" w:type="dxa"/>
              <w:bottom w:w="70" w:type="dxa"/>
              <w:end w:w="80" w:type="dxa"/>
            </w:tcMar>
          </w:tcPr>
          <w:p>
            <w:pPr>
              <w:spacing w:after="0" w:line="240" w:lineRule="auto"/>
            </w:pPr>
            <w:r/>
            <w:r>
              <w:rPr>
                <w:rFonts w:ascii="Aptos" w:hAnsi="Aptos"/>
                <w:b w:val="0"/>
                <w:color w:val="202833"/>
                <w:sz w:val="15"/>
              </w:rPr>
              <w:t>3–4</w:t>
            </w:r>
          </w:p>
        </w:tc>
        <w:tc>
          <w:tcPr>
            <w:tcW w:type="dxa" w:w="2016"/>
            <w:vAlign w:val="center"/>
            <w:tcMar>
              <w:top w:w="70" w:type="dxa"/>
              <w:start w:w="80" w:type="dxa"/>
              <w:bottom w:w="70" w:type="dxa"/>
              <w:end w:w="80" w:type="dxa"/>
            </w:tcMar>
          </w:tcPr>
          <w:p>
            <w:pPr>
              <w:spacing w:after="0" w:line="240" w:lineRule="auto"/>
            </w:pPr>
            <w:r/>
            <w:r>
              <w:rPr>
                <w:rFonts w:ascii="Aptos" w:hAnsi="Aptos"/>
                <w:b w:val="0"/>
                <w:color w:val="202833"/>
                <w:sz w:val="15"/>
              </w:rPr>
              <w:t>San Francisco hotels</w:t>
            </w:r>
          </w:p>
        </w:tc>
        <w:tc>
          <w:tcPr>
            <w:tcW w:type="dxa" w:w="1066"/>
            <w:vAlign w:val="center"/>
            <w:tcMar>
              <w:top w:w="70" w:type="dxa"/>
              <w:start w:w="80" w:type="dxa"/>
              <w:bottom w:w="70" w:type="dxa"/>
              <w:end w:w="80" w:type="dxa"/>
            </w:tcMar>
          </w:tcPr>
          <w:p>
            <w:pPr>
              <w:spacing w:after="0" w:line="240" w:lineRule="auto"/>
            </w:pPr>
            <w:r/>
            <w:r>
              <w:rPr>
                <w:rFonts w:ascii="Aptos" w:hAnsi="Aptos"/>
                <w:b w:val="0"/>
                <w:color w:val="202833"/>
                <w:sz w:val="15"/>
              </w:rPr>
              <w:t>1,276.00</w:t>
            </w:r>
          </w:p>
        </w:tc>
        <w:tc>
          <w:tcPr>
            <w:tcW w:type="dxa" w:w="1066"/>
            <w:vAlign w:val="center"/>
            <w:tcMar>
              <w:top w:w="70" w:type="dxa"/>
              <w:start w:w="80" w:type="dxa"/>
              <w:bottom w:w="70" w:type="dxa"/>
              <w:end w:w="80" w:type="dxa"/>
            </w:tcMar>
          </w:tcPr>
          <w:p>
            <w:pPr>
              <w:spacing w:after="0" w:line="240" w:lineRule="auto"/>
            </w:pPr>
            <w:r/>
            <w:r>
              <w:rPr>
                <w:rFonts w:ascii="Aptos" w:hAnsi="Aptos"/>
                <w:b w:val="0"/>
                <w:color w:val="202833"/>
                <w:sz w:val="15"/>
              </w:rPr>
              <w:t>176.00</w:t>
            </w:r>
          </w:p>
        </w:tc>
        <w:tc>
          <w:tcPr>
            <w:tcW w:type="dxa" w:w="5184"/>
            <w:vAlign w:val="center"/>
            <w:tcMar>
              <w:top w:w="70" w:type="dxa"/>
              <w:start w:w="80" w:type="dxa"/>
              <w:bottom w:w="70" w:type="dxa"/>
              <w:end w:w="80" w:type="dxa"/>
            </w:tcMar>
          </w:tcPr>
          <w:p>
            <w:pPr>
              <w:spacing w:after="0" w:line="240" w:lineRule="auto"/>
            </w:pPr>
            <w:r/>
            <w:r>
              <w:rPr>
                <w:rFonts w:ascii="Aptos" w:hAnsi="Aptos"/>
                <w:b w:val="0"/>
                <w:color w:val="202833"/>
                <w:sz w:val="15"/>
              </w:rPr>
              <w:t>Tier 1 cap is $275/night inclusive of taxes: 4 room-nights billed at $319; reduce $44 × 4. No exceptional-rate approval located.</w:t>
            </w:r>
          </w:p>
        </w:tc>
      </w:tr>
      <w:tr>
        <w:trPr>
          <w:cantSplit/>
        </w:trPr>
        <w:tc>
          <w:tcPr>
            <w:tcW w:type="dxa" w:w="893"/>
            <w:vAlign w:val="center"/>
            <w:tcMar>
              <w:top w:w="70" w:type="dxa"/>
              <w:start w:w="80" w:type="dxa"/>
              <w:bottom w:w="70" w:type="dxa"/>
              <w:end w:w="80" w:type="dxa"/>
            </w:tcMar>
            <w:shd w:fill="F7F9FB"/>
          </w:tcPr>
          <w:p>
            <w:pPr>
              <w:spacing w:after="0" w:line="240" w:lineRule="auto"/>
            </w:pPr>
            <w:r/>
            <w:r>
              <w:rPr>
                <w:rFonts w:ascii="Aptos" w:hAnsi="Aptos"/>
                <w:b w:val="0"/>
                <w:color w:val="202833"/>
                <w:sz w:val="15"/>
              </w:rPr>
              <w:t>12</w:t>
            </w:r>
          </w:p>
        </w:tc>
        <w:tc>
          <w:tcPr>
            <w:tcW w:type="dxa" w:w="2016"/>
            <w:vAlign w:val="center"/>
            <w:tcMar>
              <w:top w:w="70" w:type="dxa"/>
              <w:start w:w="80" w:type="dxa"/>
              <w:bottom w:w="70" w:type="dxa"/>
              <w:end w:w="80" w:type="dxa"/>
            </w:tcMar>
            <w:shd w:fill="F7F9FB"/>
          </w:tcPr>
          <w:p>
            <w:pPr>
              <w:spacing w:after="0" w:line="240" w:lineRule="auto"/>
            </w:pPr>
            <w:r/>
            <w:r>
              <w:rPr>
                <w:rFonts w:ascii="Aptos" w:hAnsi="Aptos"/>
                <w:b w:val="0"/>
                <w:color w:val="202833"/>
                <w:sz w:val="15"/>
              </w:rPr>
              <w:t>Washington, D.C. hotel</w:t>
            </w:r>
          </w:p>
        </w:tc>
        <w:tc>
          <w:tcPr>
            <w:tcW w:type="dxa" w:w="1066"/>
            <w:vAlign w:val="center"/>
            <w:tcMar>
              <w:top w:w="70" w:type="dxa"/>
              <w:start w:w="80" w:type="dxa"/>
              <w:bottom w:w="70" w:type="dxa"/>
              <w:end w:w="80" w:type="dxa"/>
            </w:tcMar>
            <w:shd w:fill="F7F9FB"/>
          </w:tcPr>
          <w:p>
            <w:pPr>
              <w:spacing w:after="0" w:line="240" w:lineRule="auto"/>
            </w:pPr>
            <w:r/>
            <w:r>
              <w:rPr>
                <w:rFonts w:ascii="Aptos" w:hAnsi="Aptos"/>
                <w:b w:val="0"/>
                <w:color w:val="202833"/>
                <w:sz w:val="15"/>
              </w:rPr>
              <w:t>348.00</w:t>
            </w:r>
          </w:p>
        </w:tc>
        <w:tc>
          <w:tcPr>
            <w:tcW w:type="dxa" w:w="1066"/>
            <w:vAlign w:val="center"/>
            <w:tcMar>
              <w:top w:w="70" w:type="dxa"/>
              <w:start w:w="80" w:type="dxa"/>
              <w:bottom w:w="70" w:type="dxa"/>
              <w:end w:w="80" w:type="dxa"/>
            </w:tcMar>
            <w:shd w:fill="F7F9FB"/>
          </w:tcPr>
          <w:p>
            <w:pPr>
              <w:spacing w:after="0" w:line="240" w:lineRule="auto"/>
            </w:pPr>
            <w:r/>
            <w:r>
              <w:rPr>
                <w:rFonts w:ascii="Aptos" w:hAnsi="Aptos"/>
                <w:b w:val="0"/>
                <w:color w:val="202833"/>
                <w:sz w:val="15"/>
              </w:rPr>
              <w:t>73.00</w:t>
            </w:r>
          </w:p>
        </w:tc>
        <w:tc>
          <w:tcPr>
            <w:tcW w:type="dxa" w:w="5184"/>
            <w:vAlign w:val="center"/>
            <w:tcMar>
              <w:top w:w="70" w:type="dxa"/>
              <w:start w:w="80" w:type="dxa"/>
              <w:bottom w:w="70" w:type="dxa"/>
              <w:end w:w="80" w:type="dxa"/>
            </w:tcMar>
            <w:shd w:fill="F7F9FB"/>
          </w:tcPr>
          <w:p>
            <w:pPr>
              <w:spacing w:after="0" w:line="240" w:lineRule="auto"/>
            </w:pPr>
            <w:r/>
            <w:r>
              <w:rPr>
                <w:rFonts w:ascii="Aptos" w:hAnsi="Aptos"/>
                <w:b w:val="0"/>
                <w:color w:val="202833"/>
                <w:sz w:val="15"/>
              </w:rPr>
              <w:t>Tier 1 cap $275/night; reduce the $348 one-night charge by $73. No exception approval located.</w:t>
            </w:r>
          </w:p>
        </w:tc>
      </w:tr>
      <w:tr>
        <w:trPr>
          <w:cantSplit/>
        </w:trPr>
        <w:tc>
          <w:tcPr>
            <w:tcW w:type="dxa" w:w="893"/>
            <w:vAlign w:val="center"/>
            <w:tcMar>
              <w:top w:w="70" w:type="dxa"/>
              <w:start w:w="80" w:type="dxa"/>
              <w:bottom w:w="70" w:type="dxa"/>
              <w:end w:w="80" w:type="dxa"/>
            </w:tcMar>
          </w:tcPr>
          <w:p>
            <w:pPr>
              <w:spacing w:after="0" w:line="240" w:lineRule="auto"/>
            </w:pPr>
            <w:r/>
            <w:r>
              <w:rPr>
                <w:rFonts w:ascii="Aptos" w:hAnsi="Aptos"/>
                <w:b w:val="0"/>
                <w:color w:val="202833"/>
                <w:sz w:val="15"/>
              </w:rPr>
              <w:t>5–7, 13</w:t>
            </w:r>
          </w:p>
        </w:tc>
        <w:tc>
          <w:tcPr>
            <w:tcW w:type="dxa" w:w="2016"/>
            <w:vAlign w:val="center"/>
            <w:tcMar>
              <w:top w:w="70" w:type="dxa"/>
              <w:start w:w="80" w:type="dxa"/>
              <w:bottom w:w="70" w:type="dxa"/>
              <w:end w:w="80" w:type="dxa"/>
            </w:tcMar>
          </w:tcPr>
          <w:p>
            <w:pPr>
              <w:spacing w:after="0" w:line="240" w:lineRule="auto"/>
            </w:pPr>
            <w:r/>
            <w:r>
              <w:rPr>
                <w:rFonts w:ascii="Aptos" w:hAnsi="Aptos"/>
                <w:b w:val="0"/>
                <w:color w:val="202833"/>
                <w:sz w:val="15"/>
              </w:rPr>
              <w:t>Travel meals</w:t>
            </w:r>
          </w:p>
        </w:tc>
        <w:tc>
          <w:tcPr>
            <w:tcW w:type="dxa" w:w="1066"/>
            <w:vAlign w:val="center"/>
            <w:tcMar>
              <w:top w:w="70" w:type="dxa"/>
              <w:start w:w="80" w:type="dxa"/>
              <w:bottom w:w="70" w:type="dxa"/>
              <w:end w:w="80" w:type="dxa"/>
            </w:tcMar>
          </w:tcPr>
          <w:p>
            <w:pPr>
              <w:spacing w:after="0" w:line="240" w:lineRule="auto"/>
            </w:pPr>
            <w:r/>
            <w:r>
              <w:rPr>
                <w:rFonts w:ascii="Aptos" w:hAnsi="Aptos"/>
                <w:b w:val="0"/>
                <w:color w:val="202833"/>
                <w:sz w:val="15"/>
              </w:rPr>
              <w:t>460.00</w:t>
            </w:r>
          </w:p>
        </w:tc>
        <w:tc>
          <w:tcPr>
            <w:tcW w:type="dxa" w:w="1066"/>
            <w:vAlign w:val="center"/>
            <w:tcMar>
              <w:top w:w="70" w:type="dxa"/>
              <w:start w:w="80" w:type="dxa"/>
              <w:bottom w:w="70" w:type="dxa"/>
              <w:end w:w="80" w:type="dxa"/>
            </w:tcMar>
          </w:tcPr>
          <w:p>
            <w:pPr>
              <w:spacing w:after="0" w:line="240" w:lineRule="auto"/>
            </w:pPr>
            <w:r/>
            <w:r>
              <w:rPr>
                <w:rFonts w:ascii="Aptos" w:hAnsi="Aptos"/>
                <w:b w:val="0"/>
                <w:color w:val="202833"/>
                <w:sz w:val="15"/>
              </w:rPr>
              <w:t>92.00</w:t>
            </w:r>
          </w:p>
        </w:tc>
        <w:tc>
          <w:tcPr>
            <w:tcW w:type="dxa" w:w="5184"/>
            <w:vAlign w:val="center"/>
            <w:tcMar>
              <w:top w:w="70" w:type="dxa"/>
              <w:start w:w="80" w:type="dxa"/>
              <w:bottom w:w="70" w:type="dxa"/>
              <w:end w:w="80" w:type="dxa"/>
            </w:tcMar>
          </w:tcPr>
          <w:p>
            <w:pPr>
              <w:spacing w:after="0" w:line="240" w:lineRule="auto"/>
            </w:pPr>
            <w:r/>
            <w:r>
              <w:rPr>
                <w:rFonts w:ascii="Aptos" w:hAnsi="Aptos"/>
                <w:b w:val="0"/>
                <w:color w:val="202833"/>
                <w:sz w:val="15"/>
              </w:rPr>
              <w:t>$75/person/day: line 5 ($214 for 2) reduce $64; line 6 ($82) reduce $7; line 7 ($68) no reduction; line 13 ($96) reduce $21.</w:t>
            </w:r>
          </w:p>
        </w:tc>
      </w:tr>
      <w:tr>
        <w:trPr>
          <w:cantSplit/>
        </w:trPr>
        <w:tc>
          <w:tcPr>
            <w:tcW w:type="dxa" w:w="893"/>
            <w:vAlign w:val="center"/>
            <w:tcMar>
              <w:top w:w="70" w:type="dxa"/>
              <w:start w:w="80" w:type="dxa"/>
              <w:bottom w:w="70" w:type="dxa"/>
              <w:end w:w="80" w:type="dxa"/>
            </w:tcMar>
            <w:shd w:fill="F7F9FB"/>
          </w:tcPr>
          <w:p>
            <w:pPr>
              <w:spacing w:after="0" w:line="240" w:lineRule="auto"/>
            </w:pPr>
            <w:r/>
            <w:r>
              <w:rPr>
                <w:rFonts w:ascii="Aptos" w:hAnsi="Aptos"/>
                <w:b w:val="0"/>
                <w:color w:val="202833"/>
                <w:sz w:val="15"/>
              </w:rPr>
              <w:t>10</w:t>
            </w:r>
          </w:p>
        </w:tc>
        <w:tc>
          <w:tcPr>
            <w:tcW w:type="dxa" w:w="2016"/>
            <w:vAlign w:val="center"/>
            <w:tcMar>
              <w:top w:w="70" w:type="dxa"/>
              <w:start w:w="80" w:type="dxa"/>
              <w:bottom w:w="70" w:type="dxa"/>
              <w:end w:w="80" w:type="dxa"/>
            </w:tcMar>
            <w:shd w:fill="F7F9FB"/>
          </w:tcPr>
          <w:p>
            <w:pPr>
              <w:spacing w:after="0" w:line="240" w:lineRule="auto"/>
            </w:pPr>
            <w:r/>
            <w:r>
              <w:rPr>
                <w:rFonts w:ascii="Aptos" w:hAnsi="Aptos"/>
                <w:b w:val="0"/>
                <w:color w:val="202833"/>
                <w:sz w:val="15"/>
              </w:rPr>
              <w:t>Charlotte local mileage</w:t>
            </w:r>
          </w:p>
        </w:tc>
        <w:tc>
          <w:tcPr>
            <w:tcW w:type="dxa" w:w="1066"/>
            <w:vAlign w:val="center"/>
            <w:tcMar>
              <w:top w:w="70" w:type="dxa"/>
              <w:start w:w="80" w:type="dxa"/>
              <w:bottom w:w="70" w:type="dxa"/>
              <w:end w:w="80" w:type="dxa"/>
            </w:tcMar>
            <w:shd w:fill="F7F9FB"/>
          </w:tcPr>
          <w:p>
            <w:pPr>
              <w:spacing w:after="0" w:line="240" w:lineRule="auto"/>
            </w:pPr>
            <w:r/>
            <w:r>
              <w:rPr>
                <w:rFonts w:ascii="Aptos" w:hAnsi="Aptos"/>
                <w:b w:val="0"/>
                <w:color w:val="202833"/>
                <w:sz w:val="15"/>
              </w:rPr>
              <w:t>9.80</w:t>
            </w:r>
          </w:p>
        </w:tc>
        <w:tc>
          <w:tcPr>
            <w:tcW w:type="dxa" w:w="1066"/>
            <w:vAlign w:val="center"/>
            <w:tcMar>
              <w:top w:w="70" w:type="dxa"/>
              <w:start w:w="80" w:type="dxa"/>
              <w:bottom w:w="70" w:type="dxa"/>
              <w:end w:w="80" w:type="dxa"/>
            </w:tcMar>
            <w:shd w:fill="F7F9FB"/>
          </w:tcPr>
          <w:p>
            <w:pPr>
              <w:spacing w:after="0" w:line="240" w:lineRule="auto"/>
            </w:pPr>
            <w:r/>
            <w:r>
              <w:rPr>
                <w:rFonts w:ascii="Aptos" w:hAnsi="Aptos"/>
                <w:b w:val="0"/>
                <w:color w:val="202833"/>
                <w:sz w:val="15"/>
              </w:rPr>
              <w:t>9.80</w:t>
            </w:r>
          </w:p>
        </w:tc>
        <w:tc>
          <w:tcPr>
            <w:tcW w:type="dxa" w:w="5184"/>
            <w:vAlign w:val="center"/>
            <w:tcMar>
              <w:top w:w="70" w:type="dxa"/>
              <w:start w:w="80" w:type="dxa"/>
              <w:bottom w:w="70" w:type="dxa"/>
              <w:end w:w="80" w:type="dxa"/>
            </w:tcMar>
            <w:shd w:fill="F7F9FB"/>
          </w:tcPr>
          <w:p>
            <w:pPr>
              <w:spacing w:after="0" w:line="240" w:lineRule="auto"/>
            </w:pPr>
            <w:r/>
            <w:r>
              <w:rPr>
                <w:rFonts w:ascii="Aptos" w:hAnsi="Aptos"/>
                <w:b w:val="0"/>
                <w:color w:val="202833"/>
                <w:sz w:val="15"/>
              </w:rPr>
              <w:t>HWK Charlotte office to Pinnacle Charlotte HQ is expressly non-reimbursable local travel.</w:t>
            </w:r>
          </w:p>
        </w:tc>
      </w:tr>
      <w:tr>
        <w:trPr>
          <w:cantSplit/>
        </w:trPr>
        <w:tc>
          <w:tcPr>
            <w:tcW w:type="dxa" w:w="893"/>
            <w:vAlign w:val="center"/>
            <w:tcMar>
              <w:top w:w="70" w:type="dxa"/>
              <w:start w:w="80" w:type="dxa"/>
              <w:bottom w:w="70" w:type="dxa"/>
              <w:end w:w="80" w:type="dxa"/>
            </w:tcMar>
          </w:tcPr>
          <w:p>
            <w:pPr>
              <w:spacing w:after="0" w:line="240" w:lineRule="auto"/>
            </w:pPr>
            <w:r/>
            <w:r>
              <w:rPr>
                <w:rFonts w:ascii="Aptos" w:hAnsi="Aptos"/>
                <w:b w:val="0"/>
                <w:color w:val="202833"/>
                <w:sz w:val="15"/>
              </w:rPr>
              <w:t>15</w:t>
            </w:r>
          </w:p>
        </w:tc>
        <w:tc>
          <w:tcPr>
            <w:tcW w:type="dxa" w:w="2016"/>
            <w:vAlign w:val="center"/>
            <w:tcMar>
              <w:top w:w="70" w:type="dxa"/>
              <w:start w:w="80" w:type="dxa"/>
              <w:bottom w:w="70" w:type="dxa"/>
              <w:end w:w="80" w:type="dxa"/>
            </w:tcMar>
          </w:tcPr>
          <w:p>
            <w:pPr>
              <w:spacing w:after="0" w:line="240" w:lineRule="auto"/>
            </w:pPr>
            <w:r/>
            <w:r>
              <w:rPr>
                <w:rFonts w:ascii="Aptos" w:hAnsi="Aptos"/>
                <w:b w:val="0"/>
                <w:color w:val="202833"/>
                <w:sz w:val="15"/>
              </w:rPr>
              <w:t>Internal B&amp;W copies</w:t>
            </w:r>
          </w:p>
        </w:tc>
        <w:tc>
          <w:tcPr>
            <w:tcW w:type="dxa" w:w="1066"/>
            <w:vAlign w:val="center"/>
            <w:tcMar>
              <w:top w:w="70" w:type="dxa"/>
              <w:start w:w="80" w:type="dxa"/>
              <w:bottom w:w="70" w:type="dxa"/>
              <w:end w:w="80" w:type="dxa"/>
            </w:tcMar>
          </w:tcPr>
          <w:p>
            <w:pPr>
              <w:spacing w:after="0" w:line="240" w:lineRule="auto"/>
            </w:pPr>
            <w:r/>
            <w:r>
              <w:rPr>
                <w:rFonts w:ascii="Aptos" w:hAnsi="Aptos"/>
                <w:b w:val="0"/>
                <w:color w:val="202833"/>
                <w:sz w:val="15"/>
              </w:rPr>
              <w:t>1,860.00</w:t>
            </w:r>
          </w:p>
        </w:tc>
        <w:tc>
          <w:tcPr>
            <w:tcW w:type="dxa" w:w="1066"/>
            <w:vAlign w:val="center"/>
            <w:tcMar>
              <w:top w:w="70" w:type="dxa"/>
              <w:start w:w="80" w:type="dxa"/>
              <w:bottom w:w="70" w:type="dxa"/>
              <w:end w:w="80" w:type="dxa"/>
            </w:tcMar>
          </w:tcPr>
          <w:p>
            <w:pPr>
              <w:spacing w:after="0" w:line="240" w:lineRule="auto"/>
            </w:pPr>
            <w:r/>
            <w:r>
              <w:rPr>
                <w:rFonts w:ascii="Aptos" w:hAnsi="Aptos"/>
                <w:b w:val="0"/>
                <w:color w:val="202833"/>
                <w:sz w:val="15"/>
              </w:rPr>
              <w:t>620.00</w:t>
            </w:r>
          </w:p>
        </w:tc>
        <w:tc>
          <w:tcPr>
            <w:tcW w:type="dxa" w:w="5184"/>
            <w:vAlign w:val="center"/>
            <w:tcMar>
              <w:top w:w="70" w:type="dxa"/>
              <w:start w:w="80" w:type="dxa"/>
              <w:bottom w:w="70" w:type="dxa"/>
              <w:end w:w="80" w:type="dxa"/>
            </w:tcMar>
          </w:tcPr>
          <w:p>
            <w:pPr>
              <w:spacing w:after="0" w:line="240" w:lineRule="auto"/>
            </w:pPr>
            <w:r/>
            <w:r>
              <w:rPr>
                <w:rFonts w:ascii="Aptos" w:hAnsi="Aptos"/>
                <w:b w:val="0"/>
                <w:color w:val="202833"/>
                <w:sz w:val="15"/>
              </w:rPr>
              <w:t>12,400 pages × $0.10 cap = $1,240 allowable; billed at $0.15/page.</w:t>
            </w:r>
          </w:p>
        </w:tc>
      </w:tr>
      <w:tr>
        <w:trPr>
          <w:cantSplit/>
        </w:trPr>
        <w:tc>
          <w:tcPr>
            <w:tcW w:type="dxa" w:w="893"/>
            <w:vAlign w:val="center"/>
            <w:tcMar>
              <w:top w:w="70" w:type="dxa"/>
              <w:start w:w="80" w:type="dxa"/>
              <w:bottom w:w="70" w:type="dxa"/>
              <w:end w:w="80" w:type="dxa"/>
            </w:tcMar>
            <w:shd w:fill="F7F9FB"/>
          </w:tcPr>
          <w:p>
            <w:pPr>
              <w:spacing w:after="0" w:line="240" w:lineRule="auto"/>
            </w:pPr>
            <w:r/>
            <w:r>
              <w:rPr>
                <w:rFonts w:ascii="Aptos" w:hAnsi="Aptos"/>
                <w:b w:val="0"/>
                <w:color w:val="202833"/>
                <w:sz w:val="15"/>
              </w:rPr>
              <w:t>22, 27</w:t>
            </w:r>
          </w:p>
        </w:tc>
        <w:tc>
          <w:tcPr>
            <w:tcW w:type="dxa" w:w="2016"/>
            <w:vAlign w:val="center"/>
            <w:tcMar>
              <w:top w:w="70" w:type="dxa"/>
              <w:start w:w="80" w:type="dxa"/>
              <w:bottom w:w="70" w:type="dxa"/>
              <w:end w:w="80" w:type="dxa"/>
            </w:tcMar>
            <w:shd w:fill="F7F9FB"/>
          </w:tcPr>
          <w:p>
            <w:pPr>
              <w:spacing w:after="0" w:line="240" w:lineRule="auto"/>
            </w:pPr>
            <w:r/>
            <w:r>
              <w:rPr>
                <w:rFonts w:ascii="Aptos" w:hAnsi="Aptos"/>
                <w:b w:val="0"/>
                <w:color w:val="202833"/>
                <w:sz w:val="15"/>
              </w:rPr>
              <w:t>Hartsfield expert fees</w:t>
            </w:r>
          </w:p>
        </w:tc>
        <w:tc>
          <w:tcPr>
            <w:tcW w:type="dxa" w:w="1066"/>
            <w:vAlign w:val="center"/>
            <w:tcMar>
              <w:top w:w="70" w:type="dxa"/>
              <w:start w:w="80" w:type="dxa"/>
              <w:bottom w:w="70" w:type="dxa"/>
              <w:end w:w="80" w:type="dxa"/>
            </w:tcMar>
            <w:shd w:fill="F7F9FB"/>
          </w:tcPr>
          <w:p>
            <w:pPr>
              <w:spacing w:after="0" w:line="240" w:lineRule="auto"/>
            </w:pPr>
            <w:r/>
            <w:r>
              <w:rPr>
                <w:rFonts w:ascii="Aptos" w:hAnsi="Aptos"/>
                <w:b w:val="0"/>
                <w:color w:val="202833"/>
                <w:sz w:val="15"/>
              </w:rPr>
              <w:t>40,900.00</w:t>
            </w:r>
          </w:p>
        </w:tc>
        <w:tc>
          <w:tcPr>
            <w:tcW w:type="dxa" w:w="1066"/>
            <w:vAlign w:val="center"/>
            <w:tcMar>
              <w:top w:w="70" w:type="dxa"/>
              <w:start w:w="80" w:type="dxa"/>
              <w:bottom w:w="70" w:type="dxa"/>
              <w:end w:w="80" w:type="dxa"/>
            </w:tcMar>
            <w:shd w:fill="F7F9FB"/>
          </w:tcPr>
          <w:p>
            <w:pPr>
              <w:spacing w:after="0" w:line="240" w:lineRule="auto"/>
            </w:pPr>
            <w:r/>
            <w:r>
              <w:rPr>
                <w:rFonts w:ascii="Aptos" w:hAnsi="Aptos"/>
                <w:b w:val="0"/>
                <w:color w:val="202833"/>
                <w:sz w:val="15"/>
              </w:rPr>
              <w:t>5,900.00</w:t>
            </w:r>
          </w:p>
        </w:tc>
        <w:tc>
          <w:tcPr>
            <w:tcW w:type="dxa" w:w="5184"/>
            <w:vAlign w:val="center"/>
            <w:tcMar>
              <w:top w:w="70" w:type="dxa"/>
              <w:start w:w="80" w:type="dxa"/>
              <w:bottom w:w="70" w:type="dxa"/>
              <w:end w:w="80" w:type="dxa"/>
            </w:tcMar>
            <w:shd w:fill="F7F9FB"/>
          </w:tcPr>
          <w:p>
            <w:pPr>
              <w:spacing w:after="0" w:line="240" w:lineRule="auto"/>
            </w:pPr>
            <w:r/>
            <w:r>
              <w:rPr>
                <w:rFonts w:ascii="Aptos" w:hAnsi="Aptos"/>
                <w:b w:val="0"/>
                <w:color w:val="202833"/>
                <w:sz w:val="15"/>
              </w:rPr>
              <w:t>Approved monthly cap is $35,000 with GC concurrence. May fees total $40,900; reduce the $8,400 rush-analysis line by $5,900 (leaving $2,500 under cap). No re-authorization located.</w:t>
            </w:r>
          </w:p>
        </w:tc>
      </w:tr>
      <w:tr>
        <w:trPr>
          <w:cantSplit/>
        </w:trPr>
        <w:tc>
          <w:tcPr>
            <w:tcW w:type="dxa" w:w="893"/>
            <w:vAlign w:val="center"/>
            <w:tcMar>
              <w:top w:w="70" w:type="dxa"/>
              <w:start w:w="80" w:type="dxa"/>
              <w:bottom w:w="70" w:type="dxa"/>
              <w:end w:w="80" w:type="dxa"/>
            </w:tcMar>
          </w:tcPr>
          <w:p>
            <w:pPr>
              <w:spacing w:after="0" w:line="240" w:lineRule="auto"/>
            </w:pPr>
            <w:r/>
            <w:r>
              <w:rPr>
                <w:rFonts w:ascii="Aptos" w:hAnsi="Aptos"/>
                <w:b w:val="0"/>
                <w:color w:val="202833"/>
                <w:sz w:val="15"/>
              </w:rPr>
              <w:t>37–39</w:t>
            </w:r>
          </w:p>
        </w:tc>
        <w:tc>
          <w:tcPr>
            <w:tcW w:type="dxa" w:w="2016"/>
            <w:vAlign w:val="center"/>
            <w:tcMar>
              <w:top w:w="70" w:type="dxa"/>
              <w:start w:w="80" w:type="dxa"/>
              <w:bottom w:w="70" w:type="dxa"/>
              <w:end w:w="80" w:type="dxa"/>
            </w:tcMar>
          </w:tcPr>
          <w:p>
            <w:pPr>
              <w:spacing w:after="0" w:line="240" w:lineRule="auto"/>
            </w:pPr>
            <w:r/>
            <w:r>
              <w:rPr>
                <w:rFonts w:ascii="Aptos" w:hAnsi="Aptos"/>
                <w:b w:val="0"/>
                <w:color w:val="202833"/>
                <w:sz w:val="15"/>
              </w:rPr>
              <w:t>Non-travel working meals</w:t>
            </w:r>
          </w:p>
        </w:tc>
        <w:tc>
          <w:tcPr>
            <w:tcW w:type="dxa" w:w="1066"/>
            <w:vAlign w:val="center"/>
            <w:tcMar>
              <w:top w:w="70" w:type="dxa"/>
              <w:start w:w="80" w:type="dxa"/>
              <w:bottom w:w="70" w:type="dxa"/>
              <w:end w:w="80" w:type="dxa"/>
            </w:tcMar>
          </w:tcPr>
          <w:p>
            <w:pPr>
              <w:spacing w:after="0" w:line="240" w:lineRule="auto"/>
            </w:pPr>
            <w:r/>
            <w:r>
              <w:rPr>
                <w:rFonts w:ascii="Aptos" w:hAnsi="Aptos"/>
                <w:b w:val="0"/>
                <w:color w:val="202833"/>
                <w:sz w:val="15"/>
              </w:rPr>
              <w:t>754.00</w:t>
            </w:r>
          </w:p>
        </w:tc>
        <w:tc>
          <w:tcPr>
            <w:tcW w:type="dxa" w:w="1066"/>
            <w:vAlign w:val="center"/>
            <w:tcMar>
              <w:top w:w="70" w:type="dxa"/>
              <w:start w:w="80" w:type="dxa"/>
              <w:bottom w:w="70" w:type="dxa"/>
              <w:end w:w="80" w:type="dxa"/>
            </w:tcMar>
          </w:tcPr>
          <w:p>
            <w:pPr>
              <w:spacing w:after="0" w:line="240" w:lineRule="auto"/>
            </w:pPr>
            <w:r/>
            <w:r>
              <w:rPr>
                <w:rFonts w:ascii="Aptos" w:hAnsi="Aptos"/>
                <w:b w:val="0"/>
                <w:color w:val="202833"/>
                <w:sz w:val="15"/>
              </w:rPr>
              <w:t>654.00</w:t>
            </w:r>
          </w:p>
        </w:tc>
        <w:tc>
          <w:tcPr>
            <w:tcW w:type="dxa" w:w="5184"/>
            <w:vAlign w:val="center"/>
            <w:tcMar>
              <w:top w:w="70" w:type="dxa"/>
              <w:start w:w="80" w:type="dxa"/>
              <w:bottom w:w="70" w:type="dxa"/>
              <w:end w:w="80" w:type="dxa"/>
            </w:tcMar>
          </w:tcPr>
          <w:p>
            <w:pPr>
              <w:spacing w:after="0" w:line="240" w:lineRule="auto"/>
            </w:pPr>
            <w:r/>
            <w:r>
              <w:rPr>
                <w:rFonts w:ascii="Aptos" w:hAnsi="Aptos"/>
                <w:b w:val="0"/>
                <w:color w:val="202833"/>
                <w:sz w:val="15"/>
              </w:rPr>
              <w:t>Line 37: 2 attendees × $50 lunch cap = $100; reduce $18. Line 38 ($612) is firm-only, including summer associates: disallow all. Line 39 ($24) is a solo firm meal: disallow all.</w:t>
            </w:r>
          </w:p>
        </w:tc>
      </w:tr>
      <w:tr>
        <w:trPr>
          <w:cantSplit/>
        </w:trPr>
        <w:tc>
          <w:tcPr>
            <w:tcW w:type="dxa" w:w="893"/>
            <w:vAlign w:val="center"/>
            <w:tcMar>
              <w:top w:w="70" w:type="dxa"/>
              <w:start w:w="80" w:type="dxa"/>
              <w:bottom w:w="70" w:type="dxa"/>
              <w:end w:w="80" w:type="dxa"/>
            </w:tcMar>
            <w:shd w:fill="F7F9FB"/>
          </w:tcPr>
          <w:p>
            <w:pPr>
              <w:spacing w:after="0" w:line="240" w:lineRule="auto"/>
            </w:pPr>
            <w:r/>
            <w:r>
              <w:rPr>
                <w:rFonts w:ascii="Aptos" w:hAnsi="Aptos"/>
                <w:b w:val="0"/>
                <w:color w:val="202833"/>
                <w:sz w:val="15"/>
              </w:rPr>
              <w:t>36</w:t>
            </w:r>
          </w:p>
        </w:tc>
        <w:tc>
          <w:tcPr>
            <w:tcW w:type="dxa" w:w="2016"/>
            <w:vAlign w:val="center"/>
            <w:tcMar>
              <w:top w:w="70" w:type="dxa"/>
              <w:start w:w="80" w:type="dxa"/>
              <w:bottom w:w="70" w:type="dxa"/>
              <w:end w:w="80" w:type="dxa"/>
            </w:tcMar>
            <w:shd w:fill="F7F9FB"/>
          </w:tcPr>
          <w:p>
            <w:pPr>
              <w:spacing w:after="0" w:line="240" w:lineRule="auto"/>
            </w:pPr>
            <w:r/>
            <w:r>
              <w:rPr>
                <w:rFonts w:ascii="Aptos" w:hAnsi="Aptos"/>
                <w:b w:val="0"/>
                <w:color w:val="202833"/>
                <w:sz w:val="15"/>
              </w:rPr>
              <w:t>FedEx—office supplies</w:t>
            </w:r>
          </w:p>
        </w:tc>
        <w:tc>
          <w:tcPr>
            <w:tcW w:type="dxa" w:w="1066"/>
            <w:vAlign w:val="center"/>
            <w:tcMar>
              <w:top w:w="70" w:type="dxa"/>
              <w:start w:w="80" w:type="dxa"/>
              <w:bottom w:w="70" w:type="dxa"/>
              <w:end w:w="80" w:type="dxa"/>
            </w:tcMar>
            <w:shd w:fill="F7F9FB"/>
          </w:tcPr>
          <w:p>
            <w:pPr>
              <w:spacing w:after="0" w:line="240" w:lineRule="auto"/>
            </w:pPr>
            <w:r/>
            <w:r>
              <w:rPr>
                <w:rFonts w:ascii="Aptos" w:hAnsi="Aptos"/>
                <w:b w:val="0"/>
                <w:color w:val="202833"/>
                <w:sz w:val="15"/>
              </w:rPr>
              <w:t>18.50</w:t>
            </w:r>
          </w:p>
        </w:tc>
        <w:tc>
          <w:tcPr>
            <w:tcW w:type="dxa" w:w="1066"/>
            <w:vAlign w:val="center"/>
            <w:tcMar>
              <w:top w:w="70" w:type="dxa"/>
              <w:start w:w="80" w:type="dxa"/>
              <w:bottom w:w="70" w:type="dxa"/>
              <w:end w:w="80" w:type="dxa"/>
            </w:tcMar>
            <w:shd w:fill="F7F9FB"/>
          </w:tcPr>
          <w:p>
            <w:pPr>
              <w:spacing w:after="0" w:line="240" w:lineRule="auto"/>
            </w:pPr>
            <w:r/>
            <w:r>
              <w:rPr>
                <w:rFonts w:ascii="Aptos" w:hAnsi="Aptos"/>
                <w:b w:val="0"/>
                <w:color w:val="202833"/>
                <w:sz w:val="15"/>
              </w:rPr>
              <w:t>18.50</w:t>
            </w:r>
          </w:p>
        </w:tc>
        <w:tc>
          <w:tcPr>
            <w:tcW w:type="dxa" w:w="5184"/>
            <w:vAlign w:val="center"/>
            <w:tcMar>
              <w:top w:w="70" w:type="dxa"/>
              <w:start w:w="80" w:type="dxa"/>
              <w:bottom w:w="70" w:type="dxa"/>
              <w:end w:w="80" w:type="dxa"/>
            </w:tcMar>
            <w:shd w:fill="F7F9FB"/>
          </w:tcPr>
          <w:p>
            <w:pPr>
              <w:spacing w:after="0" w:line="240" w:lineRule="auto"/>
            </w:pPr>
            <w:r/>
            <w:r>
              <w:rPr>
                <w:rFonts w:ascii="Aptos" w:hAnsi="Aptos"/>
                <w:b w:val="0"/>
                <w:color w:val="202833"/>
                <w:sz w:val="15"/>
              </w:rPr>
              <w:t>Shipment of firm office supplies is overhead / non-reimbursable.</w:t>
            </w:r>
          </w:p>
        </w:tc>
      </w:tr>
      <w:tr>
        <w:trPr>
          <w:cantSplit/>
        </w:trPr>
        <w:tc>
          <w:tcPr>
            <w:tcW w:type="dxa" w:w="893"/>
            <w:vAlign w:val="center"/>
            <w:tcMar>
              <w:top w:w="70" w:type="dxa"/>
              <w:start w:w="80" w:type="dxa"/>
              <w:bottom w:w="70" w:type="dxa"/>
              <w:end w:w="80" w:type="dxa"/>
            </w:tcMar>
          </w:tcPr>
          <w:p>
            <w:pPr>
              <w:spacing w:after="0" w:line="240" w:lineRule="auto"/>
            </w:pPr>
            <w:r/>
            <w:r>
              <w:rPr>
                <w:rFonts w:ascii="Aptos" w:hAnsi="Aptos"/>
                <w:b w:val="0"/>
                <w:color w:val="202833"/>
                <w:sz w:val="15"/>
              </w:rPr>
              <w:t>42</w:t>
            </w:r>
          </w:p>
        </w:tc>
        <w:tc>
          <w:tcPr>
            <w:tcW w:type="dxa" w:w="2016"/>
            <w:vAlign w:val="center"/>
            <w:tcMar>
              <w:top w:w="70" w:type="dxa"/>
              <w:start w:w="80" w:type="dxa"/>
              <w:bottom w:w="70" w:type="dxa"/>
              <w:end w:w="80" w:type="dxa"/>
            </w:tcMar>
          </w:tcPr>
          <w:p>
            <w:pPr>
              <w:spacing w:after="0" w:line="240" w:lineRule="auto"/>
            </w:pPr>
            <w:r/>
            <w:r>
              <w:rPr>
                <w:rFonts w:ascii="Aptos" w:hAnsi="Aptos"/>
                <w:b w:val="0"/>
                <w:color w:val="202833"/>
                <w:sz w:val="15"/>
              </w:rPr>
              <w:t>Westlaw research</w:t>
            </w:r>
          </w:p>
        </w:tc>
        <w:tc>
          <w:tcPr>
            <w:tcW w:type="dxa" w:w="1066"/>
            <w:vAlign w:val="center"/>
            <w:tcMar>
              <w:top w:w="70" w:type="dxa"/>
              <w:start w:w="80" w:type="dxa"/>
              <w:bottom w:w="70" w:type="dxa"/>
              <w:end w:w="80" w:type="dxa"/>
            </w:tcMar>
          </w:tcPr>
          <w:p>
            <w:pPr>
              <w:spacing w:after="0" w:line="240" w:lineRule="auto"/>
            </w:pPr>
            <w:r/>
            <w:r>
              <w:rPr>
                <w:rFonts w:ascii="Aptos" w:hAnsi="Aptos"/>
                <w:b w:val="0"/>
                <w:color w:val="202833"/>
                <w:sz w:val="15"/>
              </w:rPr>
              <w:t>3,870.00</w:t>
            </w:r>
          </w:p>
        </w:tc>
        <w:tc>
          <w:tcPr>
            <w:tcW w:type="dxa" w:w="1066"/>
            <w:vAlign w:val="center"/>
            <w:tcMar>
              <w:top w:w="70" w:type="dxa"/>
              <w:start w:w="80" w:type="dxa"/>
              <w:bottom w:w="70" w:type="dxa"/>
              <w:end w:w="80" w:type="dxa"/>
            </w:tcMar>
          </w:tcPr>
          <w:p>
            <w:pPr>
              <w:spacing w:after="0" w:line="240" w:lineRule="auto"/>
            </w:pPr>
            <w:r/>
            <w:r>
              <w:rPr>
                <w:rFonts w:ascii="Aptos" w:hAnsi="Aptos"/>
                <w:b w:val="0"/>
                <w:color w:val="202833"/>
                <w:sz w:val="15"/>
              </w:rPr>
              <w:t>3,870.00</w:t>
            </w:r>
          </w:p>
        </w:tc>
        <w:tc>
          <w:tcPr>
            <w:tcW w:type="dxa" w:w="5184"/>
            <w:vAlign w:val="center"/>
            <w:tcMar>
              <w:top w:w="70" w:type="dxa"/>
              <w:start w:w="80" w:type="dxa"/>
              <w:bottom w:w="70" w:type="dxa"/>
              <w:end w:w="80" w:type="dxa"/>
            </w:tcMar>
          </w:tcPr>
          <w:p>
            <w:pPr>
              <w:spacing w:after="0" w:line="240" w:lineRule="auto"/>
            </w:pPr>
            <w:r/>
            <w:r>
              <w:rPr>
                <w:rFonts w:ascii="Aptos" w:hAnsi="Aptos"/>
                <w:b w:val="0"/>
                <w:color w:val="202833"/>
                <w:sz w:val="15"/>
              </w:rPr>
              <w:t>Legal research database charges are firm overhead, even if allocated to a particular matter.</w:t>
            </w:r>
          </w:p>
        </w:tc>
      </w:tr>
      <w:tr>
        <w:trPr>
          <w:cantSplit/>
        </w:trPr>
        <w:tc>
          <w:tcPr>
            <w:tcW w:type="dxa" w:w="893"/>
            <w:vAlign w:val="center"/>
            <w:tcMar>
              <w:top w:w="70" w:type="dxa"/>
              <w:start w:w="80" w:type="dxa"/>
              <w:bottom w:w="70" w:type="dxa"/>
              <w:end w:w="80" w:type="dxa"/>
            </w:tcMar>
            <w:shd w:fill="F7F9FB"/>
          </w:tcPr>
          <w:p>
            <w:pPr>
              <w:spacing w:after="0" w:line="240" w:lineRule="auto"/>
            </w:pPr>
            <w:r/>
            <w:r>
              <w:rPr>
                <w:rFonts w:ascii="Aptos" w:hAnsi="Aptos"/>
                <w:b w:val="0"/>
                <w:color w:val="202833"/>
                <w:sz w:val="15"/>
              </w:rPr>
              <w:t>43</w:t>
            </w:r>
          </w:p>
        </w:tc>
        <w:tc>
          <w:tcPr>
            <w:tcW w:type="dxa" w:w="2016"/>
            <w:vAlign w:val="center"/>
            <w:tcMar>
              <w:top w:w="70" w:type="dxa"/>
              <w:start w:w="80" w:type="dxa"/>
              <w:bottom w:w="70" w:type="dxa"/>
              <w:end w:w="80" w:type="dxa"/>
            </w:tcMar>
            <w:shd w:fill="F7F9FB"/>
          </w:tcPr>
          <w:p>
            <w:pPr>
              <w:spacing w:after="0" w:line="240" w:lineRule="auto"/>
            </w:pPr>
            <w:r/>
            <w:r>
              <w:rPr>
                <w:rFonts w:ascii="Aptos" w:hAnsi="Aptos"/>
                <w:b w:val="0"/>
                <w:color w:val="202833"/>
                <w:sz w:val="15"/>
              </w:rPr>
              <w:t>Routine video platform license</w:t>
            </w:r>
          </w:p>
        </w:tc>
        <w:tc>
          <w:tcPr>
            <w:tcW w:type="dxa" w:w="1066"/>
            <w:vAlign w:val="center"/>
            <w:tcMar>
              <w:top w:w="70" w:type="dxa"/>
              <w:start w:w="80" w:type="dxa"/>
              <w:bottom w:w="70" w:type="dxa"/>
              <w:end w:w="80" w:type="dxa"/>
            </w:tcMar>
            <w:shd w:fill="F7F9FB"/>
          </w:tcPr>
          <w:p>
            <w:pPr>
              <w:spacing w:after="0" w:line="240" w:lineRule="auto"/>
            </w:pPr>
            <w:r/>
            <w:r>
              <w:rPr>
                <w:rFonts w:ascii="Aptos" w:hAnsi="Aptos"/>
                <w:b w:val="0"/>
                <w:color w:val="202833"/>
                <w:sz w:val="15"/>
              </w:rPr>
              <w:t>125.00</w:t>
            </w:r>
          </w:p>
        </w:tc>
        <w:tc>
          <w:tcPr>
            <w:tcW w:type="dxa" w:w="1066"/>
            <w:vAlign w:val="center"/>
            <w:tcMar>
              <w:top w:w="70" w:type="dxa"/>
              <w:start w:w="80" w:type="dxa"/>
              <w:bottom w:w="70" w:type="dxa"/>
              <w:end w:w="80" w:type="dxa"/>
            </w:tcMar>
            <w:shd w:fill="F7F9FB"/>
          </w:tcPr>
          <w:p>
            <w:pPr>
              <w:spacing w:after="0" w:line="240" w:lineRule="auto"/>
            </w:pPr>
            <w:r/>
            <w:r>
              <w:rPr>
                <w:rFonts w:ascii="Aptos" w:hAnsi="Aptos"/>
                <w:b w:val="0"/>
                <w:color w:val="202833"/>
                <w:sz w:val="15"/>
              </w:rPr>
              <w:t>125.00</w:t>
            </w:r>
          </w:p>
        </w:tc>
        <w:tc>
          <w:tcPr>
            <w:tcW w:type="dxa" w:w="5184"/>
            <w:vAlign w:val="center"/>
            <w:tcMar>
              <w:top w:w="70" w:type="dxa"/>
              <w:start w:w="80" w:type="dxa"/>
              <w:bottom w:w="70" w:type="dxa"/>
              <w:end w:w="80" w:type="dxa"/>
            </w:tcMar>
            <w:shd w:fill="F7F9FB"/>
          </w:tcPr>
          <w:p>
            <w:pPr>
              <w:spacing w:after="0" w:line="240" w:lineRule="auto"/>
            </w:pPr>
            <w:r/>
            <w:r>
              <w:rPr>
                <w:rFonts w:ascii="Aptos" w:hAnsi="Aptos"/>
                <w:b w:val="0"/>
                <w:color w:val="202833"/>
                <w:sz w:val="15"/>
              </w:rPr>
              <w:t>Routine video-conferencing platform licenses are firm overhead.</w:t>
            </w:r>
          </w:p>
        </w:tc>
      </w:tr>
      <w:tr>
        <w:trPr>
          <w:cantSplit/>
        </w:trPr>
        <w:tc>
          <w:tcPr>
            <w:tcW w:type="dxa" w:w="893"/>
            <w:vAlign w:val="center"/>
            <w:tcMar>
              <w:top w:w="70" w:type="dxa"/>
              <w:start w:w="80" w:type="dxa"/>
              <w:bottom w:w="70" w:type="dxa"/>
              <w:end w:w="80" w:type="dxa"/>
            </w:tcMar>
          </w:tcPr>
          <w:p>
            <w:pPr>
              <w:spacing w:after="0" w:line="240" w:lineRule="auto"/>
            </w:pPr>
            <w:r/>
            <w:r>
              <w:rPr>
                <w:rFonts w:ascii="Aptos" w:hAnsi="Aptos"/>
                <w:b w:val="0"/>
                <w:color w:val="202833"/>
                <w:sz w:val="15"/>
              </w:rPr>
              <w:t>41, 44</w:t>
            </w:r>
          </w:p>
        </w:tc>
        <w:tc>
          <w:tcPr>
            <w:tcW w:type="dxa" w:w="2016"/>
            <w:vAlign w:val="center"/>
            <w:tcMar>
              <w:top w:w="70" w:type="dxa"/>
              <w:start w:w="80" w:type="dxa"/>
              <w:bottom w:w="70" w:type="dxa"/>
              <w:end w:w="80" w:type="dxa"/>
            </w:tcMar>
          </w:tcPr>
          <w:p>
            <w:pPr>
              <w:spacing w:after="0" w:line="240" w:lineRule="auto"/>
            </w:pPr>
            <w:r/>
            <w:r>
              <w:rPr>
                <w:rFonts w:ascii="Aptos" w:hAnsi="Aptos"/>
                <w:b w:val="0"/>
                <w:color w:val="202833"/>
                <w:sz w:val="15"/>
              </w:rPr>
              <w:t>E-discovery / predictive coding</w:t>
            </w:r>
          </w:p>
        </w:tc>
        <w:tc>
          <w:tcPr>
            <w:tcW w:type="dxa" w:w="1066"/>
            <w:vAlign w:val="center"/>
            <w:tcMar>
              <w:top w:w="70" w:type="dxa"/>
              <w:start w:w="80" w:type="dxa"/>
              <w:bottom w:w="70" w:type="dxa"/>
              <w:end w:w="80" w:type="dxa"/>
            </w:tcMar>
          </w:tcPr>
          <w:p>
            <w:pPr>
              <w:spacing w:after="0" w:line="240" w:lineRule="auto"/>
            </w:pPr>
            <w:r/>
            <w:r>
              <w:rPr>
                <w:rFonts w:ascii="Aptos" w:hAnsi="Aptos"/>
                <w:b w:val="0"/>
                <w:color w:val="202833"/>
                <w:sz w:val="15"/>
              </w:rPr>
              <w:t>16,400.00</w:t>
            </w:r>
          </w:p>
        </w:tc>
        <w:tc>
          <w:tcPr>
            <w:tcW w:type="dxa" w:w="1066"/>
            <w:vAlign w:val="center"/>
            <w:tcMar>
              <w:top w:w="70" w:type="dxa"/>
              <w:start w:w="80" w:type="dxa"/>
              <w:bottom w:w="70" w:type="dxa"/>
              <w:end w:w="80" w:type="dxa"/>
            </w:tcMar>
          </w:tcPr>
          <w:p>
            <w:pPr>
              <w:spacing w:after="0" w:line="240" w:lineRule="auto"/>
            </w:pPr>
            <w:r/>
            <w:r>
              <w:rPr>
                <w:rFonts w:ascii="Aptos" w:hAnsi="Aptos"/>
                <w:b w:val="0"/>
                <w:color w:val="202833"/>
                <w:sz w:val="15"/>
              </w:rPr>
              <w:t>4,400.00</w:t>
            </w:r>
          </w:p>
        </w:tc>
        <w:tc>
          <w:tcPr>
            <w:tcW w:type="dxa" w:w="5184"/>
            <w:vAlign w:val="center"/>
            <w:tcMar>
              <w:top w:w="70" w:type="dxa"/>
              <w:start w:w="80" w:type="dxa"/>
              <w:bottom w:w="70" w:type="dxa"/>
              <w:end w:w="80" w:type="dxa"/>
            </w:tcMar>
          </w:tcPr>
          <w:p>
            <w:pPr>
              <w:spacing w:after="0" w:line="240" w:lineRule="auto"/>
            </w:pPr>
            <w:r/>
            <w:r>
              <w:rPr>
                <w:rFonts w:ascii="Aptos" w:hAnsi="Aptos"/>
                <w:b w:val="0"/>
                <w:color w:val="202833"/>
                <w:sz w:val="15"/>
              </w:rPr>
              <w:t>Approved monthly cap is $12,000 for the requested Relativity workflow, which included predictive coding. Lines total $14,200 + $2,200; allow no more than $12,000 absent separate written approval.</w:t>
            </w:r>
          </w:p>
        </w:tc>
      </w:tr>
      <w:tr>
        <w:trPr>
          <w:cantSplit/>
        </w:trPr>
        <w:tc>
          <w:tcPr>
            <w:tcW w:type="dxa" w:w="893"/>
            <w:vAlign w:val="center"/>
            <w:tcMar>
              <w:top w:w="70" w:type="dxa"/>
              <w:start w:w="80" w:type="dxa"/>
              <w:bottom w:w="70" w:type="dxa"/>
              <w:end w:w="80" w:type="dxa"/>
            </w:tcMar>
            <w:shd w:fill="F7F9FB"/>
          </w:tcPr>
          <w:p>
            <w:pPr>
              <w:spacing w:after="0" w:line="240" w:lineRule="auto"/>
            </w:pPr>
            <w:r/>
            <w:r>
              <w:rPr>
                <w:rFonts w:ascii="Aptos" w:hAnsi="Aptos"/>
                <w:b w:val="0"/>
                <w:color w:val="202833"/>
                <w:sz w:val="15"/>
              </w:rPr>
              <w:t>45</w:t>
            </w:r>
          </w:p>
        </w:tc>
        <w:tc>
          <w:tcPr>
            <w:tcW w:type="dxa" w:w="2016"/>
            <w:vAlign w:val="center"/>
            <w:tcMar>
              <w:top w:w="70" w:type="dxa"/>
              <w:start w:w="80" w:type="dxa"/>
              <w:bottom w:w="70" w:type="dxa"/>
              <w:end w:w="80" w:type="dxa"/>
            </w:tcMar>
            <w:shd w:fill="F7F9FB"/>
          </w:tcPr>
          <w:p>
            <w:pPr>
              <w:spacing w:after="0" w:line="240" w:lineRule="auto"/>
            </w:pPr>
            <w:r/>
            <w:r>
              <w:rPr>
                <w:rFonts w:ascii="Aptos" w:hAnsi="Aptos"/>
                <w:b w:val="0"/>
                <w:color w:val="202833"/>
                <w:sz w:val="15"/>
              </w:rPr>
              <w:t>R. Chen contract attorney</w:t>
            </w:r>
          </w:p>
        </w:tc>
        <w:tc>
          <w:tcPr>
            <w:tcW w:type="dxa" w:w="1066"/>
            <w:vAlign w:val="center"/>
            <w:tcMar>
              <w:top w:w="70" w:type="dxa"/>
              <w:start w:w="80" w:type="dxa"/>
              <w:bottom w:w="70" w:type="dxa"/>
              <w:end w:w="80" w:type="dxa"/>
            </w:tcMar>
            <w:shd w:fill="F7F9FB"/>
          </w:tcPr>
          <w:p>
            <w:pPr>
              <w:spacing w:after="0" w:line="240" w:lineRule="auto"/>
            </w:pPr>
            <w:r/>
            <w:r>
              <w:rPr>
                <w:rFonts w:ascii="Aptos" w:hAnsi="Aptos"/>
                <w:b w:val="0"/>
                <w:color w:val="202833"/>
                <w:sz w:val="15"/>
              </w:rPr>
              <w:t>10,650.00</w:t>
            </w:r>
          </w:p>
        </w:tc>
        <w:tc>
          <w:tcPr>
            <w:tcW w:type="dxa" w:w="1066"/>
            <w:vAlign w:val="center"/>
            <w:tcMar>
              <w:top w:w="70" w:type="dxa"/>
              <w:start w:w="80" w:type="dxa"/>
              <w:bottom w:w="70" w:type="dxa"/>
              <w:end w:w="80" w:type="dxa"/>
            </w:tcMar>
            <w:shd w:fill="F7F9FB"/>
          </w:tcPr>
          <w:p>
            <w:pPr>
              <w:spacing w:after="0" w:line="240" w:lineRule="auto"/>
            </w:pPr>
            <w:r/>
            <w:r>
              <w:rPr>
                <w:rFonts w:ascii="Aptos" w:hAnsi="Aptos"/>
                <w:b w:val="0"/>
                <w:color w:val="202833"/>
                <w:sz w:val="15"/>
              </w:rPr>
              <w:t>1,420.00</w:t>
            </w:r>
          </w:p>
        </w:tc>
        <w:tc>
          <w:tcPr>
            <w:tcW w:type="dxa" w:w="5184"/>
            <w:vAlign w:val="center"/>
            <w:tcMar>
              <w:top w:w="70" w:type="dxa"/>
              <w:start w:w="80" w:type="dxa"/>
              <w:bottom w:w="70" w:type="dxa"/>
              <w:end w:w="80" w:type="dxa"/>
            </w:tcMar>
            <w:shd w:fill="F7F9FB"/>
          </w:tcPr>
          <w:p>
            <w:pPr>
              <w:spacing w:after="0" w:line="240" w:lineRule="auto"/>
            </w:pPr>
            <w:r/>
            <w:r>
              <w:rPr>
                <w:rFonts w:ascii="Aptos" w:hAnsi="Aptos"/>
                <w:b w:val="0"/>
                <w:color w:val="202833"/>
                <w:sz w:val="15"/>
              </w:rPr>
              <w:t>Approval expressly limited Chen to $65/hour; billed at $75 for 142 hours. Allow at most 142 × $65 = $9,230.</w:t>
            </w:r>
          </w:p>
        </w:tc>
      </w:tr>
      <w:tr>
        <w:trPr>
          <w:cantSplit/>
        </w:trPr>
        <w:tc>
          <w:tcPr>
            <w:tcW w:type="dxa" w:w="893"/>
            <w:vAlign w:val="center"/>
            <w:tcMar>
              <w:top w:w="70" w:type="dxa"/>
              <w:start w:w="80" w:type="dxa"/>
              <w:bottom w:w="70" w:type="dxa"/>
              <w:end w:w="80" w:type="dxa"/>
            </w:tcMar>
            <w:shd w:fill="D9EAF4"/>
          </w:tcPr>
          <w:p>
            <w:pPr>
              <w:spacing w:after="0" w:line="240" w:lineRule="auto"/>
            </w:pPr>
            <w:r/>
            <w:r>
              <w:rPr>
                <w:rFonts w:ascii="Aptos" w:hAnsi="Aptos"/>
                <w:b/>
                <w:color w:val="202833"/>
                <w:sz w:val="15"/>
              </w:rPr>
            </w:r>
          </w:p>
        </w:tc>
        <w:tc>
          <w:tcPr>
            <w:tcW w:type="dxa" w:w="2016"/>
            <w:vAlign w:val="center"/>
            <w:tcMar>
              <w:top w:w="70" w:type="dxa"/>
              <w:start w:w="80" w:type="dxa"/>
              <w:bottom w:w="70" w:type="dxa"/>
              <w:end w:w="80" w:type="dxa"/>
            </w:tcMar>
            <w:shd w:fill="D9EAF4"/>
          </w:tcPr>
          <w:p>
            <w:pPr>
              <w:spacing w:after="0" w:line="240" w:lineRule="auto"/>
            </w:pPr>
            <w:r/>
            <w:r>
              <w:rPr>
                <w:rFonts w:ascii="Aptos" w:hAnsi="Aptos"/>
                <w:b/>
                <w:color w:val="202833"/>
                <w:sz w:val="15"/>
              </w:rPr>
              <w:t>TOTAL RECOMMENDED REDUCTIONS</w:t>
            </w:r>
          </w:p>
        </w:tc>
        <w:tc>
          <w:tcPr>
            <w:tcW w:type="dxa" w:w="1066"/>
            <w:vAlign w:val="center"/>
            <w:tcMar>
              <w:top w:w="70" w:type="dxa"/>
              <w:start w:w="80" w:type="dxa"/>
              <w:bottom w:w="70" w:type="dxa"/>
              <w:end w:w="80" w:type="dxa"/>
            </w:tcMar>
            <w:shd w:fill="D9EAF4"/>
          </w:tcPr>
          <w:p>
            <w:pPr>
              <w:spacing w:after="0" w:line="240" w:lineRule="auto"/>
            </w:pPr>
            <w:r/>
            <w:r>
              <w:rPr>
                <w:rFonts w:ascii="Aptos" w:hAnsi="Aptos"/>
                <w:b/>
                <w:color w:val="202833"/>
                <w:sz w:val="15"/>
              </w:rPr>
            </w:r>
          </w:p>
        </w:tc>
        <w:tc>
          <w:tcPr>
            <w:tcW w:type="dxa" w:w="1066"/>
            <w:vAlign w:val="center"/>
            <w:tcMar>
              <w:top w:w="70" w:type="dxa"/>
              <w:start w:w="80" w:type="dxa"/>
              <w:bottom w:w="70" w:type="dxa"/>
              <w:end w:w="80" w:type="dxa"/>
            </w:tcMar>
            <w:shd w:fill="D9EAF4"/>
          </w:tcPr>
          <w:p>
            <w:pPr>
              <w:spacing w:after="0" w:line="240" w:lineRule="auto"/>
            </w:pPr>
            <w:r/>
            <w:r>
              <w:rPr>
                <w:rFonts w:ascii="Aptos" w:hAnsi="Aptos"/>
                <w:b/>
                <w:color w:val="202833"/>
                <w:sz w:val="15"/>
              </w:rPr>
              <w:t>17,358.30</w:t>
            </w:r>
          </w:p>
        </w:tc>
        <w:tc>
          <w:tcPr>
            <w:tcW w:type="dxa" w:w="5184"/>
            <w:vAlign w:val="center"/>
            <w:tcMar>
              <w:top w:w="70" w:type="dxa"/>
              <w:start w:w="80" w:type="dxa"/>
              <w:bottom w:w="70" w:type="dxa"/>
              <w:end w:w="80" w:type="dxa"/>
            </w:tcMar>
            <w:shd w:fill="D9EAF4"/>
          </w:tcPr>
          <w:p>
            <w:pPr>
              <w:spacing w:after="0" w:line="240" w:lineRule="auto"/>
            </w:pPr>
            <w:r/>
            <w:r>
              <w:rPr>
                <w:rFonts w:ascii="Aptos" w:hAnsi="Aptos"/>
                <w:b/>
                <w:color w:val="202833"/>
                <w:sz w:val="15"/>
              </w:rPr>
              <w:t>Before retroactive-approval outcomes and other documentation-dependent items.</w:t>
            </w:r>
          </w:p>
        </w:tc>
      </w:tr>
    </w:tbl>
    <w:p>
      <w:pPr>
        <w:spacing w:after="20" w:before="0"/>
      </w:pPr>
    </w:p>
    <w:p>
      <w:pPr>
        <w:pStyle w:val="Heading1"/>
      </w:pPr>
      <w:r>
        <w:t>2. Charges to hold for missing pre-approval</w:t>
      </w:r>
    </w:p>
    <w:p>
      <w:r>
        <w:rPr>
          <w:b w:val="0"/>
          <w:i w:val="0"/>
          <w:sz w:val="18"/>
        </w:rPr>
        <w:t>The pre-approval log states that its review was comprehensive and that absence from the log means no written pre-approval was located. Request any asserted written approval and/or a retroactive approval request. Retroactive approval is discretionary and is not presumed.</w:t>
      </w:r>
    </w:p>
    <w:tbl>
      <w:tblPr>
        <w:tblStyle w:val="TableGrid"/>
        <w:tblW w:type="auto" w:w="0"/>
        <w:jc w:val="center"/>
        <w:tblLayout w:type="fixed"/>
        <w:tblLook w:firstColumn="1" w:firstRow="1" w:lastColumn="0" w:lastRow="0" w:noHBand="0" w:noVBand="1" w:val="04A0"/>
      </w:tblPr>
      <w:tblGrid>
        <w:gridCol w:w="2570"/>
        <w:gridCol w:w="2570"/>
        <w:gridCol w:w="2570"/>
        <w:gridCol w:w="2570"/>
      </w:tblGrid>
      <w:tr>
        <w:trPr>
          <w:tblHeader w:val="true"/>
          <w:cantSplit/>
        </w:trPr>
        <w:tc>
          <w:tcPr>
            <w:tcW w:type="dxa" w:w="749"/>
            <w:vAlign w:val="center"/>
            <w:tcMar>
              <w:top w:w="70" w:type="dxa"/>
              <w:start w:w="80" w:type="dxa"/>
              <w:bottom w:w="70" w:type="dxa"/>
              <w:end w:w="80" w:type="dxa"/>
            </w:tcMar>
            <w:shd w:fill="17365D"/>
          </w:tcPr>
          <w:p>
            <w:pPr>
              <w:spacing w:after="0" w:line="240" w:lineRule="auto"/>
            </w:pPr>
            <w:r/>
            <w:r>
              <w:rPr>
                <w:rFonts w:ascii="Aptos" w:hAnsi="Aptos"/>
                <w:b/>
                <w:color w:val="FFFFFF"/>
                <w:sz w:val="16"/>
              </w:rPr>
              <w:t>LINE</w:t>
            </w:r>
          </w:p>
        </w:tc>
        <w:tc>
          <w:tcPr>
            <w:tcW w:type="dxa" w:w="2520"/>
            <w:vAlign w:val="center"/>
            <w:tcMar>
              <w:top w:w="70" w:type="dxa"/>
              <w:start w:w="80" w:type="dxa"/>
              <w:bottom w:w="70" w:type="dxa"/>
              <w:end w:w="80" w:type="dxa"/>
            </w:tcMar>
            <w:shd w:fill="17365D"/>
          </w:tcPr>
          <w:p>
            <w:pPr>
              <w:spacing w:after="0" w:line="240" w:lineRule="auto"/>
            </w:pPr>
            <w:r/>
            <w:r>
              <w:rPr>
                <w:rFonts w:ascii="Aptos" w:hAnsi="Aptos"/>
                <w:b/>
                <w:color w:val="FFFFFF"/>
                <w:sz w:val="16"/>
              </w:rPr>
              <w:t>CHARGE</w:t>
            </w:r>
          </w:p>
        </w:tc>
        <w:tc>
          <w:tcPr>
            <w:tcW w:type="dxa" w:w="1296"/>
            <w:vAlign w:val="center"/>
            <w:tcMar>
              <w:top w:w="70" w:type="dxa"/>
              <w:start w:w="80" w:type="dxa"/>
              <w:bottom w:w="70" w:type="dxa"/>
              <w:end w:w="80" w:type="dxa"/>
            </w:tcMar>
            <w:shd w:fill="17365D"/>
          </w:tcPr>
          <w:p>
            <w:pPr>
              <w:spacing w:after="0" w:line="240" w:lineRule="auto"/>
            </w:pPr>
            <w:r/>
            <w:r>
              <w:rPr>
                <w:rFonts w:ascii="Aptos" w:hAnsi="Aptos"/>
                <w:b/>
                <w:color w:val="FFFFFF"/>
                <w:sz w:val="16"/>
              </w:rPr>
              <w:t>AMOUNT</w:t>
            </w:r>
          </w:p>
        </w:tc>
        <w:tc>
          <w:tcPr>
            <w:tcW w:type="dxa" w:w="5659"/>
            <w:vAlign w:val="center"/>
            <w:tcMar>
              <w:top w:w="70" w:type="dxa"/>
              <w:start w:w="80" w:type="dxa"/>
              <w:bottom w:w="70" w:type="dxa"/>
              <w:end w:w="80" w:type="dxa"/>
            </w:tcMar>
            <w:shd w:fill="17365D"/>
          </w:tcPr>
          <w:p>
            <w:pPr>
              <w:spacing w:after="0" w:line="240" w:lineRule="auto"/>
            </w:pPr>
            <w:r/>
            <w:r>
              <w:rPr>
                <w:rFonts w:ascii="Aptos" w:hAnsi="Aptos"/>
                <w:b/>
                <w:color w:val="FFFFFF"/>
                <w:sz w:val="16"/>
              </w:rPr>
              <w:t>RECOMMENDATION</w:t>
            </w:r>
          </w:p>
        </w:tc>
      </w:tr>
      <w:tr>
        <w:trPr>
          <w:cantSplit/>
        </w:trPr>
        <w:tc>
          <w:tcPr>
            <w:tcW w:type="dxa" w:w="749"/>
            <w:vAlign w:val="center"/>
            <w:tcMar>
              <w:top w:w="70" w:type="dxa"/>
              <w:start w:w="80" w:type="dxa"/>
              <w:bottom w:w="70" w:type="dxa"/>
              <w:end w:w="80" w:type="dxa"/>
            </w:tcMar>
          </w:tcPr>
          <w:p>
            <w:pPr>
              <w:spacing w:after="0" w:line="240" w:lineRule="auto"/>
            </w:pPr>
            <w:r/>
            <w:r>
              <w:rPr>
                <w:rFonts w:ascii="Aptos" w:hAnsi="Aptos"/>
                <w:b w:val="0"/>
                <w:color w:val="202833"/>
                <w:sz w:val="16"/>
              </w:rPr>
              <w:t>19</w:t>
            </w:r>
          </w:p>
        </w:tc>
        <w:tc>
          <w:tcPr>
            <w:tcW w:type="dxa" w:w="2520"/>
            <w:vAlign w:val="center"/>
            <w:tcMar>
              <w:top w:w="70" w:type="dxa"/>
              <w:start w:w="80" w:type="dxa"/>
              <w:bottom w:w="70" w:type="dxa"/>
              <w:end w:w="80" w:type="dxa"/>
            </w:tcMar>
          </w:tcPr>
          <w:p>
            <w:pPr>
              <w:spacing w:after="0" w:line="240" w:lineRule="auto"/>
            </w:pPr>
            <w:r/>
            <w:r>
              <w:rPr>
                <w:rFonts w:ascii="Aptos" w:hAnsi="Aptos"/>
                <w:b w:val="0"/>
                <w:color w:val="202833"/>
                <w:sz w:val="16"/>
              </w:rPr>
              <w:t>DataScan Solutions scanning/OCR</w:t>
            </w:r>
          </w:p>
        </w:tc>
        <w:tc>
          <w:tcPr>
            <w:tcW w:type="dxa" w:w="1296"/>
            <w:vAlign w:val="center"/>
            <w:tcMar>
              <w:top w:w="70" w:type="dxa"/>
              <w:start w:w="80" w:type="dxa"/>
              <w:bottom w:w="70" w:type="dxa"/>
              <w:end w:w="80" w:type="dxa"/>
            </w:tcMar>
          </w:tcPr>
          <w:p>
            <w:pPr>
              <w:spacing w:after="0" w:line="240" w:lineRule="auto"/>
            </w:pPr>
            <w:r/>
            <w:r>
              <w:rPr>
                <w:rFonts w:ascii="Aptos" w:hAnsi="Aptos"/>
                <w:b w:val="0"/>
                <w:color w:val="202833"/>
                <w:sz w:val="16"/>
              </w:rPr>
              <w:t>$6,800.00</w:t>
            </w:r>
          </w:p>
        </w:tc>
        <w:tc>
          <w:tcPr>
            <w:tcW w:type="dxa" w:w="5659"/>
            <w:vAlign w:val="center"/>
            <w:tcMar>
              <w:top w:w="70" w:type="dxa"/>
              <w:start w:w="80" w:type="dxa"/>
              <w:bottom w:w="70" w:type="dxa"/>
              <w:end w:w="80" w:type="dxa"/>
            </w:tcMar>
          </w:tcPr>
          <w:p>
            <w:pPr>
              <w:spacing w:after="0" w:line="240" w:lineRule="auto"/>
            </w:pPr>
            <w:r/>
            <w:r>
              <w:rPr>
                <w:rFonts w:ascii="Aptos" w:hAnsi="Aptos"/>
                <w:b w:val="0"/>
                <w:color w:val="202833"/>
                <w:sz w:val="16"/>
              </w:rPr>
              <w:t>Single line exceeds $5,000; no advance approval located. Section 5.3 / 5.1. Hold entire charge pending retroactive approval and vendor invoice.</w:t>
            </w:r>
          </w:p>
        </w:tc>
      </w:tr>
      <w:tr>
        <w:trPr>
          <w:cantSplit/>
        </w:trPr>
        <w:tc>
          <w:tcPr>
            <w:tcW w:type="dxa" w:w="749"/>
            <w:vAlign w:val="center"/>
            <w:tcMar>
              <w:top w:w="70" w:type="dxa"/>
              <w:start w:w="80" w:type="dxa"/>
              <w:bottom w:w="70" w:type="dxa"/>
              <w:end w:w="80" w:type="dxa"/>
            </w:tcMar>
            <w:shd w:fill="F7F9FB"/>
          </w:tcPr>
          <w:p>
            <w:pPr>
              <w:spacing w:after="0" w:line="240" w:lineRule="auto"/>
            </w:pPr>
            <w:r/>
            <w:r>
              <w:rPr>
                <w:rFonts w:ascii="Aptos" w:hAnsi="Aptos"/>
                <w:b w:val="0"/>
                <w:color w:val="202833"/>
                <w:sz w:val="16"/>
              </w:rPr>
              <w:t>24</w:t>
            </w:r>
          </w:p>
        </w:tc>
        <w:tc>
          <w:tcPr>
            <w:tcW w:type="dxa" w:w="2520"/>
            <w:vAlign w:val="center"/>
            <w:tcMar>
              <w:top w:w="70" w:type="dxa"/>
              <w:start w:w="80" w:type="dxa"/>
              <w:bottom w:w="70" w:type="dxa"/>
              <w:end w:w="80" w:type="dxa"/>
            </w:tcMar>
            <w:shd w:fill="F7F9FB"/>
          </w:tcPr>
          <w:p>
            <w:pPr>
              <w:spacing w:after="0" w:line="240" w:lineRule="auto"/>
            </w:pPr>
            <w:r/>
            <w:r>
              <w:rPr>
                <w:rFonts w:ascii="Aptos" w:hAnsi="Aptos"/>
                <w:b w:val="0"/>
                <w:color w:val="202833"/>
                <w:sz w:val="16"/>
              </w:rPr>
              <w:t>Dr. Leonard Voss vocational expert</w:t>
            </w:r>
          </w:p>
        </w:tc>
        <w:tc>
          <w:tcPr>
            <w:tcW w:type="dxa" w:w="1296"/>
            <w:vAlign w:val="center"/>
            <w:tcMar>
              <w:top w:w="70" w:type="dxa"/>
              <w:start w:w="80" w:type="dxa"/>
              <w:bottom w:w="70" w:type="dxa"/>
              <w:end w:w="80" w:type="dxa"/>
            </w:tcMar>
            <w:shd w:fill="F7F9FB"/>
          </w:tcPr>
          <w:p>
            <w:pPr>
              <w:spacing w:after="0" w:line="240" w:lineRule="auto"/>
            </w:pPr>
            <w:r/>
            <w:r>
              <w:rPr>
                <w:rFonts w:ascii="Aptos" w:hAnsi="Aptos"/>
                <w:b w:val="0"/>
                <w:color w:val="202833"/>
                <w:sz w:val="16"/>
              </w:rPr>
              <w:t>$4,200.00</w:t>
            </w:r>
          </w:p>
        </w:tc>
        <w:tc>
          <w:tcPr>
            <w:tcW w:type="dxa" w:w="5659"/>
            <w:vAlign w:val="center"/>
            <w:tcMar>
              <w:top w:w="70" w:type="dxa"/>
              <w:start w:w="80" w:type="dxa"/>
              <w:bottom w:w="70" w:type="dxa"/>
              <w:end w:w="80" w:type="dxa"/>
            </w:tcMar>
            <w:shd w:fill="F7F9FB"/>
          </w:tcPr>
          <w:p>
            <w:pPr>
              <w:spacing w:after="0" w:line="240" w:lineRule="auto"/>
            </w:pPr>
            <w:r/>
            <w:r>
              <w:rPr>
                <w:rFonts w:ascii="Aptos" w:hAnsi="Aptos"/>
                <w:b w:val="0"/>
                <w:color w:val="202833"/>
                <w:sz w:val="16"/>
              </w:rPr>
              <w:t>Expert retention requires advance Relationship Attorney approval at any amount; no approval located. Hold in full pending retroactive approval and original invoice.</w:t>
            </w:r>
          </w:p>
        </w:tc>
      </w:tr>
      <w:tr>
        <w:trPr>
          <w:cantSplit/>
        </w:trPr>
        <w:tc>
          <w:tcPr>
            <w:tcW w:type="dxa" w:w="749"/>
            <w:vAlign w:val="center"/>
            <w:tcMar>
              <w:top w:w="70" w:type="dxa"/>
              <w:start w:w="80" w:type="dxa"/>
              <w:bottom w:w="70" w:type="dxa"/>
              <w:end w:w="80" w:type="dxa"/>
            </w:tcMar>
          </w:tcPr>
          <w:p>
            <w:pPr>
              <w:spacing w:after="0" w:line="240" w:lineRule="auto"/>
            </w:pPr>
            <w:r/>
            <w:r>
              <w:rPr>
                <w:rFonts w:ascii="Aptos" w:hAnsi="Aptos"/>
                <w:b w:val="0"/>
                <w:color w:val="202833"/>
                <w:sz w:val="16"/>
              </w:rPr>
              <w:t>25</w:t>
            </w:r>
          </w:p>
        </w:tc>
        <w:tc>
          <w:tcPr>
            <w:tcW w:type="dxa" w:w="2520"/>
            <w:vAlign w:val="center"/>
            <w:tcMar>
              <w:top w:w="70" w:type="dxa"/>
              <w:start w:w="80" w:type="dxa"/>
              <w:bottom w:w="70" w:type="dxa"/>
              <w:end w:w="80" w:type="dxa"/>
            </w:tcMar>
          </w:tcPr>
          <w:p>
            <w:pPr>
              <w:spacing w:after="0" w:line="240" w:lineRule="auto"/>
            </w:pPr>
            <w:r/>
            <w:r>
              <w:rPr>
                <w:rFonts w:ascii="Aptos" w:hAnsi="Aptos"/>
                <w:b w:val="0"/>
                <w:color w:val="202833"/>
                <w:sz w:val="16"/>
              </w:rPr>
              <w:t>GraphicWorks litigation graphics</w:t>
            </w:r>
          </w:p>
        </w:tc>
        <w:tc>
          <w:tcPr>
            <w:tcW w:type="dxa" w:w="1296"/>
            <w:vAlign w:val="center"/>
            <w:tcMar>
              <w:top w:w="70" w:type="dxa"/>
              <w:start w:w="80" w:type="dxa"/>
              <w:bottom w:w="70" w:type="dxa"/>
              <w:end w:w="80" w:type="dxa"/>
            </w:tcMar>
          </w:tcPr>
          <w:p>
            <w:pPr>
              <w:spacing w:after="0" w:line="240" w:lineRule="auto"/>
            </w:pPr>
            <w:r/>
            <w:r>
              <w:rPr>
                <w:rFonts w:ascii="Aptos" w:hAnsi="Aptos"/>
                <w:b w:val="0"/>
                <w:color w:val="202833"/>
                <w:sz w:val="16"/>
              </w:rPr>
              <w:t>$7,850.00</w:t>
            </w:r>
          </w:p>
        </w:tc>
        <w:tc>
          <w:tcPr>
            <w:tcW w:type="dxa" w:w="5659"/>
            <w:vAlign w:val="center"/>
            <w:tcMar>
              <w:top w:w="70" w:type="dxa"/>
              <w:start w:w="80" w:type="dxa"/>
              <w:bottom w:w="70" w:type="dxa"/>
              <w:end w:w="80" w:type="dxa"/>
            </w:tcMar>
          </w:tcPr>
          <w:p>
            <w:pPr>
              <w:spacing w:after="0" w:line="240" w:lineRule="auto"/>
            </w:pPr>
            <w:r/>
            <w:r>
              <w:rPr>
                <w:rFonts w:ascii="Aptos" w:hAnsi="Aptos"/>
                <w:b w:val="0"/>
                <w:color w:val="202833"/>
                <w:sz w:val="16"/>
              </w:rPr>
              <w:t>Line exceeds $5,000; graphics/demonstrative consulting can qualify as a consultant. No approval located. Hold in full pending approval, scope clarification, and vendor invoice.</w:t>
            </w:r>
          </w:p>
        </w:tc>
      </w:tr>
      <w:tr>
        <w:trPr>
          <w:cantSplit/>
        </w:trPr>
        <w:tc>
          <w:tcPr>
            <w:tcW w:type="dxa" w:w="749"/>
            <w:vAlign w:val="center"/>
            <w:tcMar>
              <w:top w:w="70" w:type="dxa"/>
              <w:start w:w="80" w:type="dxa"/>
              <w:bottom w:w="70" w:type="dxa"/>
              <w:end w:w="80" w:type="dxa"/>
            </w:tcMar>
            <w:shd w:fill="F7F9FB"/>
          </w:tcPr>
          <w:p>
            <w:pPr>
              <w:spacing w:after="0" w:line="240" w:lineRule="auto"/>
            </w:pPr>
            <w:r/>
            <w:r>
              <w:rPr>
                <w:rFonts w:ascii="Aptos" w:hAnsi="Aptos"/>
                <w:b w:val="0"/>
                <w:color w:val="202833"/>
                <w:sz w:val="16"/>
              </w:rPr>
              <w:t>26</w:t>
            </w:r>
          </w:p>
        </w:tc>
        <w:tc>
          <w:tcPr>
            <w:tcW w:type="dxa" w:w="2520"/>
            <w:vAlign w:val="center"/>
            <w:tcMar>
              <w:top w:w="70" w:type="dxa"/>
              <w:start w:w="80" w:type="dxa"/>
              <w:bottom w:w="70" w:type="dxa"/>
              <w:end w:w="80" w:type="dxa"/>
            </w:tcMar>
            <w:shd w:fill="F7F9FB"/>
          </w:tcPr>
          <w:p>
            <w:pPr>
              <w:spacing w:after="0" w:line="240" w:lineRule="auto"/>
            </w:pPr>
            <w:r/>
            <w:r>
              <w:rPr>
                <w:rFonts w:ascii="Aptos" w:hAnsi="Aptos"/>
                <w:b w:val="0"/>
                <w:color w:val="202833"/>
                <w:sz w:val="16"/>
              </w:rPr>
              <w:t>TechForensic ESI imaging</w:t>
            </w:r>
          </w:p>
        </w:tc>
        <w:tc>
          <w:tcPr>
            <w:tcW w:type="dxa" w:w="1296"/>
            <w:vAlign w:val="center"/>
            <w:tcMar>
              <w:top w:w="70" w:type="dxa"/>
              <w:start w:w="80" w:type="dxa"/>
              <w:bottom w:w="70" w:type="dxa"/>
              <w:end w:w="80" w:type="dxa"/>
            </w:tcMar>
            <w:shd w:fill="F7F9FB"/>
          </w:tcPr>
          <w:p>
            <w:pPr>
              <w:spacing w:after="0" w:line="240" w:lineRule="auto"/>
            </w:pPr>
            <w:r/>
            <w:r>
              <w:rPr>
                <w:rFonts w:ascii="Aptos" w:hAnsi="Aptos"/>
                <w:b w:val="0"/>
                <w:color w:val="202833"/>
                <w:sz w:val="16"/>
              </w:rPr>
              <w:t>$5,100.00</w:t>
            </w:r>
          </w:p>
        </w:tc>
        <w:tc>
          <w:tcPr>
            <w:tcW w:type="dxa" w:w="5659"/>
            <w:vAlign w:val="center"/>
            <w:tcMar>
              <w:top w:w="70" w:type="dxa"/>
              <w:start w:w="80" w:type="dxa"/>
              <w:bottom w:w="70" w:type="dxa"/>
              <w:end w:w="80" w:type="dxa"/>
            </w:tcMar>
            <w:shd w:fill="F7F9FB"/>
          </w:tcPr>
          <w:p>
            <w:pPr>
              <w:spacing w:after="0" w:line="240" w:lineRule="auto"/>
            </w:pPr>
            <w:r/>
            <w:r>
              <w:rPr>
                <w:rFonts w:ascii="Aptos" w:hAnsi="Aptos"/>
                <w:b w:val="0"/>
                <w:color w:val="202833"/>
                <w:sz w:val="16"/>
              </w:rPr>
              <w:t>Forensic specialist/consultant; also exceeds $5,000 as a single line. No approval located. Hold in full pending approval and vendor invoice.</w:t>
            </w:r>
          </w:p>
        </w:tc>
      </w:tr>
      <w:tr>
        <w:trPr>
          <w:cantSplit/>
        </w:trPr>
        <w:tc>
          <w:tcPr>
            <w:tcW w:type="dxa" w:w="749"/>
            <w:vAlign w:val="center"/>
            <w:tcMar>
              <w:top w:w="70" w:type="dxa"/>
              <w:start w:w="80" w:type="dxa"/>
              <w:bottom w:w="70" w:type="dxa"/>
              <w:end w:w="80" w:type="dxa"/>
            </w:tcMar>
          </w:tcPr>
          <w:p>
            <w:pPr>
              <w:spacing w:after="0" w:line="240" w:lineRule="auto"/>
            </w:pPr>
            <w:r/>
            <w:r>
              <w:rPr>
                <w:rFonts w:ascii="Aptos" w:hAnsi="Aptos"/>
                <w:b w:val="0"/>
                <w:color w:val="202833"/>
                <w:sz w:val="16"/>
              </w:rPr>
              <w:t>47</w:t>
            </w:r>
          </w:p>
        </w:tc>
        <w:tc>
          <w:tcPr>
            <w:tcW w:type="dxa" w:w="2520"/>
            <w:vAlign w:val="center"/>
            <w:tcMar>
              <w:top w:w="70" w:type="dxa"/>
              <w:start w:w="80" w:type="dxa"/>
              <w:bottom w:w="70" w:type="dxa"/>
              <w:end w:w="80" w:type="dxa"/>
            </w:tcMar>
          </w:tcPr>
          <w:p>
            <w:pPr>
              <w:spacing w:after="0" w:line="240" w:lineRule="auto"/>
            </w:pPr>
            <w:r/>
            <w:r>
              <w:rPr>
                <w:rFonts w:ascii="Aptos" w:hAnsi="Aptos"/>
                <w:b w:val="0"/>
                <w:color w:val="202833"/>
                <w:sz w:val="16"/>
              </w:rPr>
              <w:t>A. Brooks contract attorney</w:t>
            </w:r>
          </w:p>
        </w:tc>
        <w:tc>
          <w:tcPr>
            <w:tcW w:type="dxa" w:w="1296"/>
            <w:vAlign w:val="center"/>
            <w:tcMar>
              <w:top w:w="70" w:type="dxa"/>
              <w:start w:w="80" w:type="dxa"/>
              <w:bottom w:w="70" w:type="dxa"/>
              <w:end w:w="80" w:type="dxa"/>
            </w:tcMar>
          </w:tcPr>
          <w:p>
            <w:pPr>
              <w:spacing w:after="0" w:line="240" w:lineRule="auto"/>
            </w:pPr>
            <w:r/>
            <w:r>
              <w:rPr>
                <w:rFonts w:ascii="Aptos" w:hAnsi="Aptos"/>
                <w:b w:val="0"/>
                <w:color w:val="202833"/>
                <w:sz w:val="16"/>
              </w:rPr>
              <w:t>$6,240.00</w:t>
            </w:r>
          </w:p>
        </w:tc>
        <w:tc>
          <w:tcPr>
            <w:tcW w:type="dxa" w:w="5659"/>
            <w:vAlign w:val="center"/>
            <w:tcMar>
              <w:top w:w="70" w:type="dxa"/>
              <w:start w:w="80" w:type="dxa"/>
              <w:bottom w:w="70" w:type="dxa"/>
              <w:end w:w="80" w:type="dxa"/>
            </w:tcMar>
          </w:tcPr>
          <w:p>
            <w:pPr>
              <w:spacing w:after="0" w:line="240" w:lineRule="auto"/>
            </w:pPr>
            <w:r/>
            <w:r>
              <w:rPr>
                <w:rFonts w:ascii="Aptos" w:hAnsi="Aptos"/>
                <w:b w:val="0"/>
                <w:color w:val="202833"/>
                <w:sz w:val="16"/>
              </w:rPr>
              <w:t>Each contract attorney requires separate advance approval. The log approves Chen and Mehta only; no Brooks approval located. Hold in full pending retroactive approval and staffing-agency invoice.</w:t>
            </w:r>
          </w:p>
        </w:tc>
      </w:tr>
      <w:tr>
        <w:trPr>
          <w:cantSplit/>
        </w:trPr>
        <w:tc>
          <w:tcPr>
            <w:tcW w:type="dxa" w:w="749"/>
            <w:vAlign w:val="center"/>
            <w:tcMar>
              <w:top w:w="70" w:type="dxa"/>
              <w:start w:w="80" w:type="dxa"/>
              <w:bottom w:w="70" w:type="dxa"/>
              <w:end w:w="80" w:type="dxa"/>
            </w:tcMar>
            <w:shd w:fill="D9EAF4"/>
          </w:tcPr>
          <w:p>
            <w:pPr>
              <w:spacing w:after="0" w:line="240" w:lineRule="auto"/>
            </w:pPr>
            <w:r/>
            <w:r>
              <w:rPr>
                <w:rFonts w:ascii="Aptos" w:hAnsi="Aptos"/>
                <w:b/>
                <w:color w:val="202833"/>
                <w:sz w:val="16"/>
              </w:rPr>
            </w:r>
          </w:p>
        </w:tc>
        <w:tc>
          <w:tcPr>
            <w:tcW w:type="dxa" w:w="2520"/>
            <w:vAlign w:val="center"/>
            <w:tcMar>
              <w:top w:w="70" w:type="dxa"/>
              <w:start w:w="80" w:type="dxa"/>
              <w:bottom w:w="70" w:type="dxa"/>
              <w:end w:w="80" w:type="dxa"/>
            </w:tcMar>
            <w:shd w:fill="D9EAF4"/>
          </w:tcPr>
          <w:p>
            <w:pPr>
              <w:spacing w:after="0" w:line="240" w:lineRule="auto"/>
            </w:pPr>
            <w:r/>
            <w:r>
              <w:rPr>
                <w:rFonts w:ascii="Aptos" w:hAnsi="Aptos"/>
                <w:b/>
                <w:color w:val="202833"/>
                <w:sz w:val="16"/>
              </w:rPr>
              <w:t>TOTAL AT RISK IF NOT RETROACTIVELY APPROVED</w:t>
            </w:r>
          </w:p>
        </w:tc>
        <w:tc>
          <w:tcPr>
            <w:tcW w:type="dxa" w:w="1296"/>
            <w:vAlign w:val="center"/>
            <w:tcMar>
              <w:top w:w="70" w:type="dxa"/>
              <w:start w:w="80" w:type="dxa"/>
              <w:bottom w:w="70" w:type="dxa"/>
              <w:end w:w="80" w:type="dxa"/>
            </w:tcMar>
            <w:shd w:fill="D9EAF4"/>
          </w:tcPr>
          <w:p>
            <w:pPr>
              <w:spacing w:after="0" w:line="240" w:lineRule="auto"/>
            </w:pPr>
            <w:r/>
            <w:r>
              <w:rPr>
                <w:rFonts w:ascii="Aptos" w:hAnsi="Aptos"/>
                <w:b/>
                <w:color w:val="202833"/>
                <w:sz w:val="16"/>
              </w:rPr>
              <w:t>$30,190.00</w:t>
            </w:r>
          </w:p>
        </w:tc>
        <w:tc>
          <w:tcPr>
            <w:tcW w:type="dxa" w:w="5659"/>
            <w:vAlign w:val="center"/>
            <w:tcMar>
              <w:top w:w="70" w:type="dxa"/>
              <w:start w:w="80" w:type="dxa"/>
              <w:bottom w:w="70" w:type="dxa"/>
              <w:end w:w="80" w:type="dxa"/>
            </w:tcMar>
            <w:shd w:fill="D9EAF4"/>
          </w:tcPr>
          <w:p>
            <w:pPr>
              <w:spacing w:after="0" w:line="240" w:lineRule="auto"/>
            </w:pPr>
            <w:r/>
            <w:r>
              <w:rPr>
                <w:rFonts w:ascii="Aptos" w:hAnsi="Aptos"/>
                <w:b/>
                <w:color w:val="202833"/>
                <w:sz w:val="16"/>
              </w:rPr>
              <w:t>If approval is denied or not obtained, recommend rejection of the full amounts shown.</w:t>
            </w:r>
          </w:p>
        </w:tc>
      </w:tr>
    </w:tbl>
    <w:p>
      <w:pPr>
        <w:spacing w:after="20" w:before="0"/>
      </w:pPr>
    </w:p>
    <w:p>
      <w:pPr>
        <w:pStyle w:val="Heading1"/>
      </w:pPr>
      <w:r>
        <w:t>3. Documentation, description, and rate issues to resolve</w:t>
      </w:r>
    </w:p>
    <w:tbl>
      <w:tblPr>
        <w:tblStyle w:val="TableGrid"/>
        <w:tblW w:type="auto" w:w="0"/>
        <w:jc w:val="center"/>
        <w:tblLayout w:type="fixed"/>
        <w:tblLook w:firstColumn="1" w:firstRow="1" w:lastColumn="0" w:lastRow="0" w:noHBand="0" w:noVBand="1" w:val="04A0"/>
      </w:tblPr>
      <w:tblGrid>
        <w:gridCol w:w="3427"/>
        <w:gridCol w:w="3427"/>
        <w:gridCol w:w="3427"/>
      </w:tblGrid>
      <w:tr>
        <w:trPr>
          <w:tblHeader w:val="true"/>
          <w:cantSplit/>
        </w:trPr>
        <w:tc>
          <w:tcPr>
            <w:tcW w:type="dxa" w:w="1008"/>
            <w:vAlign w:val="center"/>
            <w:tcMar>
              <w:top w:w="70" w:type="dxa"/>
              <w:start w:w="80" w:type="dxa"/>
              <w:bottom w:w="70" w:type="dxa"/>
              <w:end w:w="80" w:type="dxa"/>
            </w:tcMar>
            <w:shd w:fill="17365D"/>
          </w:tcPr>
          <w:p>
            <w:pPr>
              <w:spacing w:after="0" w:line="240" w:lineRule="auto"/>
            </w:pPr>
            <w:r/>
            <w:r>
              <w:rPr>
                <w:rFonts w:ascii="Aptos" w:hAnsi="Aptos"/>
                <w:b/>
                <w:color w:val="FFFFFF"/>
                <w:sz w:val="15"/>
              </w:rPr>
              <w:t>LINE(S)</w:t>
            </w:r>
          </w:p>
        </w:tc>
        <w:tc>
          <w:tcPr>
            <w:tcW w:type="dxa" w:w="2376"/>
            <w:vAlign w:val="center"/>
            <w:tcMar>
              <w:top w:w="70" w:type="dxa"/>
              <w:start w:w="80" w:type="dxa"/>
              <w:bottom w:w="70" w:type="dxa"/>
              <w:end w:w="80" w:type="dxa"/>
            </w:tcMar>
            <w:shd w:fill="17365D"/>
          </w:tcPr>
          <w:p>
            <w:pPr>
              <w:spacing w:after="0" w:line="240" w:lineRule="auto"/>
            </w:pPr>
            <w:r/>
            <w:r>
              <w:rPr>
                <w:rFonts w:ascii="Aptos" w:hAnsi="Aptos"/>
                <w:b/>
                <w:color w:val="FFFFFF"/>
                <w:sz w:val="15"/>
              </w:rPr>
              <w:t>CHARGE / AMOUNT</w:t>
            </w:r>
          </w:p>
        </w:tc>
        <w:tc>
          <w:tcPr>
            <w:tcW w:type="dxa" w:w="6840"/>
            <w:vAlign w:val="center"/>
            <w:tcMar>
              <w:top w:w="70" w:type="dxa"/>
              <w:start w:w="80" w:type="dxa"/>
              <w:bottom w:w="70" w:type="dxa"/>
              <w:end w:w="80" w:type="dxa"/>
            </w:tcMar>
            <w:shd w:fill="17365D"/>
          </w:tcPr>
          <w:p>
            <w:pPr>
              <w:spacing w:after="0" w:line="240" w:lineRule="auto"/>
            </w:pPr>
            <w:r/>
            <w:r>
              <w:rPr>
                <w:rFonts w:ascii="Aptos" w:hAnsi="Aptos"/>
                <w:b/>
                <w:color w:val="FFFFFF"/>
                <w:sz w:val="15"/>
              </w:rPr>
              <w:t>REVIEW ACTION</w:t>
            </w:r>
          </w:p>
        </w:tc>
      </w:tr>
      <w:tr>
        <w:trPr>
          <w:cantSplit/>
        </w:trPr>
        <w:tc>
          <w:tcPr>
            <w:tcW w:type="dxa" w:w="1008"/>
            <w:vAlign w:val="center"/>
            <w:tcMar>
              <w:top w:w="70" w:type="dxa"/>
              <w:start w:w="80" w:type="dxa"/>
              <w:bottom w:w="70" w:type="dxa"/>
              <w:end w:w="80" w:type="dxa"/>
            </w:tcMar>
          </w:tcPr>
          <w:p>
            <w:pPr>
              <w:spacing w:after="0" w:line="240" w:lineRule="auto"/>
            </w:pPr>
            <w:r/>
            <w:r>
              <w:rPr>
                <w:rFonts w:ascii="Aptos" w:hAnsi="Aptos"/>
                <w:b w:val="0"/>
                <w:color w:val="202833"/>
                <w:sz w:val="15"/>
              </w:rPr>
              <w:t>1–2</w:t>
            </w:r>
          </w:p>
        </w:tc>
        <w:tc>
          <w:tcPr>
            <w:tcW w:type="dxa" w:w="2376"/>
            <w:vAlign w:val="center"/>
            <w:tcMar>
              <w:top w:w="70" w:type="dxa"/>
              <w:start w:w="80" w:type="dxa"/>
              <w:bottom w:w="70" w:type="dxa"/>
              <w:end w:w="80" w:type="dxa"/>
            </w:tcMar>
          </w:tcPr>
          <w:p>
            <w:pPr>
              <w:spacing w:after="0" w:line="240" w:lineRule="auto"/>
            </w:pPr>
            <w:r/>
            <w:r>
              <w:rPr>
                <w:rFonts w:ascii="Aptos" w:hAnsi="Aptos"/>
                <w:b w:val="0"/>
                <w:color w:val="202833"/>
                <w:sz w:val="15"/>
              </w:rPr>
              <w:t>Airfare ($974.00)</w:t>
            </w:r>
          </w:p>
        </w:tc>
        <w:tc>
          <w:tcPr>
            <w:tcW w:type="dxa" w:w="6840"/>
            <w:vAlign w:val="center"/>
            <w:tcMar>
              <w:top w:w="70" w:type="dxa"/>
              <w:start w:w="80" w:type="dxa"/>
              <w:bottom w:w="70" w:type="dxa"/>
              <w:end w:w="80" w:type="dxa"/>
            </w:tcMar>
          </w:tcPr>
          <w:p>
            <w:pPr>
              <w:spacing w:after="0" w:line="240" w:lineRule="auto"/>
            </w:pPr>
            <w:r/>
            <w:r>
              <w:rPr>
                <w:rFonts w:ascii="Aptos" w:hAnsi="Aptos"/>
                <w:b w:val="0"/>
                <w:color w:val="202833"/>
                <w:sz w:val="15"/>
              </w:rPr>
              <w:t>Coach/economy class only. Obtain receipts / itinerary showing actual paid fare and service class. If premium cabin was used, cap reimbursement at the lowest available coach fare for the same itinerary, supported at submission.</w:t>
            </w:r>
          </w:p>
        </w:tc>
      </w:tr>
      <w:tr>
        <w:trPr>
          <w:cantSplit/>
        </w:trPr>
        <w:tc>
          <w:tcPr>
            <w:tcW w:type="dxa" w:w="1008"/>
            <w:vAlign w:val="center"/>
            <w:tcMar>
              <w:top w:w="70" w:type="dxa"/>
              <w:start w:w="80" w:type="dxa"/>
              <w:bottom w:w="70" w:type="dxa"/>
              <w:end w:w="80" w:type="dxa"/>
            </w:tcMar>
            <w:shd w:fill="F7F9FB"/>
          </w:tcPr>
          <w:p>
            <w:pPr>
              <w:spacing w:after="0" w:line="240" w:lineRule="auto"/>
            </w:pPr>
            <w:r/>
            <w:r>
              <w:rPr>
                <w:rFonts w:ascii="Aptos" w:hAnsi="Aptos"/>
                <w:b w:val="0"/>
                <w:color w:val="202833"/>
                <w:sz w:val="15"/>
              </w:rPr>
              <w:t>8–9</w:t>
            </w:r>
          </w:p>
        </w:tc>
        <w:tc>
          <w:tcPr>
            <w:tcW w:type="dxa" w:w="2376"/>
            <w:vAlign w:val="center"/>
            <w:tcMar>
              <w:top w:w="70" w:type="dxa"/>
              <w:start w:w="80" w:type="dxa"/>
              <w:bottom w:w="70" w:type="dxa"/>
              <w:end w:w="80" w:type="dxa"/>
            </w:tcMar>
            <w:shd w:fill="F7F9FB"/>
          </w:tcPr>
          <w:p>
            <w:pPr>
              <w:spacing w:after="0" w:line="240" w:lineRule="auto"/>
            </w:pPr>
            <w:r/>
            <w:r>
              <w:rPr>
                <w:rFonts w:ascii="Aptos" w:hAnsi="Aptos"/>
                <w:b w:val="0"/>
                <w:color w:val="202833"/>
                <w:sz w:val="15"/>
              </w:rPr>
              <w:t>Rideshare ($181.50)</w:t>
            </w:r>
          </w:p>
        </w:tc>
        <w:tc>
          <w:tcPr>
            <w:tcW w:type="dxa" w:w="6840"/>
            <w:vAlign w:val="center"/>
            <w:tcMar>
              <w:top w:w="70" w:type="dxa"/>
              <w:start w:w="80" w:type="dxa"/>
              <w:bottom w:w="70" w:type="dxa"/>
              <w:end w:w="80" w:type="dxa"/>
            </w:tcMar>
            <w:shd w:fill="F7F9FB"/>
          </w:tcPr>
          <w:p>
            <w:pPr>
              <w:spacing w:after="0" w:line="240" w:lineRule="auto"/>
            </w:pPr>
            <w:r/>
            <w:r>
              <w:rPr>
                <w:rFonts w:ascii="Aptos" w:hAnsi="Aptos"/>
                <w:b w:val="0"/>
                <w:color w:val="202833"/>
                <w:sz w:val="15"/>
              </w:rPr>
              <w:t>Obtain receipts and route details; verify reasonable actual cost and no avoidable surge pricing. No rate-cap reduction can be calculated from the invoice alone.</w:t>
            </w:r>
          </w:p>
        </w:tc>
      </w:tr>
      <w:tr>
        <w:trPr>
          <w:cantSplit/>
        </w:trPr>
        <w:tc>
          <w:tcPr>
            <w:tcW w:type="dxa" w:w="1008"/>
            <w:vAlign w:val="center"/>
            <w:tcMar>
              <w:top w:w="70" w:type="dxa"/>
              <w:start w:w="80" w:type="dxa"/>
              <w:bottom w:w="70" w:type="dxa"/>
              <w:end w:w="80" w:type="dxa"/>
            </w:tcMar>
          </w:tcPr>
          <w:p>
            <w:pPr>
              <w:spacing w:after="0" w:line="240" w:lineRule="auto"/>
            </w:pPr>
            <w:r/>
            <w:r>
              <w:rPr>
                <w:rFonts w:ascii="Aptos" w:hAnsi="Aptos"/>
                <w:b w:val="0"/>
                <w:color w:val="202833"/>
                <w:sz w:val="15"/>
              </w:rPr>
              <w:t>14</w:t>
            </w:r>
          </w:p>
        </w:tc>
        <w:tc>
          <w:tcPr>
            <w:tcW w:type="dxa" w:w="2376"/>
            <w:vAlign w:val="center"/>
            <w:tcMar>
              <w:top w:w="70" w:type="dxa"/>
              <w:start w:w="80" w:type="dxa"/>
              <w:bottom w:w="70" w:type="dxa"/>
              <w:end w:w="80" w:type="dxa"/>
            </w:tcMar>
          </w:tcPr>
          <w:p>
            <w:pPr>
              <w:spacing w:after="0" w:line="240" w:lineRule="auto"/>
            </w:pPr>
            <w:r/>
            <w:r>
              <w:rPr>
                <w:rFonts w:ascii="Aptos" w:hAnsi="Aptos"/>
                <w:b w:val="0"/>
                <w:color w:val="202833"/>
                <w:sz w:val="15"/>
              </w:rPr>
              <w:t>Full-size rental car ($127.00)</w:t>
            </w:r>
          </w:p>
        </w:tc>
        <w:tc>
          <w:tcPr>
            <w:tcW w:type="dxa" w:w="6840"/>
            <w:vAlign w:val="center"/>
            <w:tcMar>
              <w:top w:w="70" w:type="dxa"/>
              <w:start w:w="80" w:type="dxa"/>
              <w:bottom w:w="70" w:type="dxa"/>
              <w:end w:w="80" w:type="dxa"/>
            </w:tcMar>
          </w:tcPr>
          <w:p>
            <w:pPr>
              <w:spacing w:after="0" w:line="240" w:lineRule="auto"/>
            </w:pPr>
            <w:r/>
            <w:r>
              <w:rPr>
                <w:rFonts w:ascii="Aptos" w:hAnsi="Aptos"/>
                <w:b w:val="0"/>
                <w:color w:val="202833"/>
                <w:sz w:val="15"/>
              </w:rPr>
              <w:t>Only mid-size or smaller is reimbursable. No unavailability or mid-size comparison is shown. Cap at supported mid-size rate; if not substantiated, reject. Exact reduction cannot be calculated without the rate evidence.</w:t>
            </w:r>
          </w:p>
        </w:tc>
      </w:tr>
      <w:tr>
        <w:trPr>
          <w:cantSplit/>
        </w:trPr>
        <w:tc>
          <w:tcPr>
            <w:tcW w:type="dxa" w:w="1008"/>
            <w:vAlign w:val="center"/>
            <w:tcMar>
              <w:top w:w="70" w:type="dxa"/>
              <w:start w:w="80" w:type="dxa"/>
              <w:bottom w:w="70" w:type="dxa"/>
              <w:end w:w="80" w:type="dxa"/>
            </w:tcMar>
            <w:shd w:fill="F7F9FB"/>
          </w:tcPr>
          <w:p>
            <w:pPr>
              <w:spacing w:after="0" w:line="240" w:lineRule="auto"/>
            </w:pPr>
            <w:r/>
            <w:r>
              <w:rPr>
                <w:rFonts w:ascii="Aptos" w:hAnsi="Aptos"/>
                <w:b w:val="0"/>
                <w:color w:val="202833"/>
                <w:sz w:val="15"/>
              </w:rPr>
              <w:t>17–18, 20</w:t>
            </w:r>
          </w:p>
        </w:tc>
        <w:tc>
          <w:tcPr>
            <w:tcW w:type="dxa" w:w="2376"/>
            <w:vAlign w:val="center"/>
            <w:tcMar>
              <w:top w:w="70" w:type="dxa"/>
              <w:start w:w="80" w:type="dxa"/>
              <w:bottom w:w="70" w:type="dxa"/>
              <w:end w:w="80" w:type="dxa"/>
            </w:tcMar>
            <w:shd w:fill="F7F9FB"/>
          </w:tcPr>
          <w:p>
            <w:pPr>
              <w:spacing w:after="0" w:line="240" w:lineRule="auto"/>
            </w:pPr>
            <w:r/>
            <w:r>
              <w:rPr>
                <w:rFonts w:ascii="Aptos" w:hAnsi="Aptos"/>
                <w:b w:val="0"/>
                <w:color w:val="202833"/>
                <w:sz w:val="15"/>
              </w:rPr>
              <w:t>Outside print / binding ($6,015.00 total)</w:t>
            </w:r>
          </w:p>
        </w:tc>
        <w:tc>
          <w:tcPr>
            <w:tcW w:type="dxa" w:w="6840"/>
            <w:vAlign w:val="center"/>
            <w:tcMar>
              <w:top w:w="70" w:type="dxa"/>
              <w:start w:w="80" w:type="dxa"/>
              <w:bottom w:w="70" w:type="dxa"/>
              <w:end w:w="80" w:type="dxa"/>
            </w:tcMar>
            <w:shd w:fill="F7F9FB"/>
          </w:tcPr>
          <w:p>
            <w:pPr>
              <w:spacing w:after="0" w:line="240" w:lineRule="auto"/>
            </w:pPr>
            <w:r/>
            <w:r>
              <w:rPr>
                <w:rFonts w:ascii="Aptos" w:hAnsi="Aptos"/>
                <w:b w:val="0"/>
                <w:color w:val="202833"/>
                <w:sz w:val="15"/>
              </w:rPr>
              <w:t>Potentially reimbursable at actual cost. Obtain Copyland/vendor invoices and confirm no markup. (The two print lines are each below the $5,000 prior-approval threshold.)</w:t>
            </w:r>
          </w:p>
        </w:tc>
      </w:tr>
      <w:tr>
        <w:trPr>
          <w:cantSplit/>
        </w:trPr>
        <w:tc>
          <w:tcPr>
            <w:tcW w:type="dxa" w:w="1008"/>
            <w:vAlign w:val="center"/>
            <w:tcMar>
              <w:top w:w="70" w:type="dxa"/>
              <w:start w:w="80" w:type="dxa"/>
              <w:bottom w:w="70" w:type="dxa"/>
              <w:end w:w="80" w:type="dxa"/>
            </w:tcMar>
          </w:tcPr>
          <w:p>
            <w:pPr>
              <w:spacing w:after="0" w:line="240" w:lineRule="auto"/>
            </w:pPr>
            <w:r/>
            <w:r>
              <w:rPr>
                <w:rFonts w:ascii="Aptos" w:hAnsi="Aptos"/>
                <w:b w:val="0"/>
                <w:color w:val="202833"/>
                <w:sz w:val="15"/>
              </w:rPr>
              <w:t>32–35</w:t>
            </w:r>
          </w:p>
        </w:tc>
        <w:tc>
          <w:tcPr>
            <w:tcW w:type="dxa" w:w="2376"/>
            <w:vAlign w:val="center"/>
            <w:tcMar>
              <w:top w:w="70" w:type="dxa"/>
              <w:start w:w="80" w:type="dxa"/>
              <w:bottom w:w="70" w:type="dxa"/>
              <w:end w:w="80" w:type="dxa"/>
            </w:tcMar>
          </w:tcPr>
          <w:p>
            <w:pPr>
              <w:spacing w:after="0" w:line="240" w:lineRule="auto"/>
            </w:pPr>
            <w:r/>
            <w:r>
              <w:rPr>
                <w:rFonts w:ascii="Aptos" w:hAnsi="Aptos"/>
                <w:b w:val="0"/>
                <w:color w:val="202833"/>
                <w:sz w:val="15"/>
              </w:rPr>
              <w:t>Courier / express ($140.50)</w:t>
            </w:r>
          </w:p>
        </w:tc>
        <w:tc>
          <w:tcPr>
            <w:tcW w:type="dxa" w:w="6840"/>
            <w:vAlign w:val="center"/>
            <w:tcMar>
              <w:top w:w="70" w:type="dxa"/>
              <w:start w:w="80" w:type="dxa"/>
              <w:bottom w:w="70" w:type="dxa"/>
              <w:end w:w="80" w:type="dxa"/>
            </w:tcMar>
          </w:tcPr>
          <w:p>
            <w:pPr>
              <w:spacing w:after="0" w:line="240" w:lineRule="auto"/>
            </w:pPr>
            <w:r/>
            <w:r>
              <w:rPr>
                <w:rFonts w:ascii="Aptos" w:hAnsi="Aptos"/>
                <w:b w:val="0"/>
                <w:color w:val="202833"/>
                <w:sz w:val="15"/>
              </w:rPr>
              <w:t>Descriptions omit required contents, origin/destination details, and reason express/courier was necessary rather than standard/electronic delivery. Return for detail and receipts; reject any charge not shown time-sensitive and matter-related.</w:t>
            </w:r>
          </w:p>
        </w:tc>
      </w:tr>
      <w:tr>
        <w:trPr>
          <w:cantSplit/>
        </w:trPr>
        <w:tc>
          <w:tcPr>
            <w:tcW w:type="dxa" w:w="1008"/>
            <w:vAlign w:val="center"/>
            <w:tcMar>
              <w:top w:w="70" w:type="dxa"/>
              <w:start w:w="80" w:type="dxa"/>
              <w:bottom w:w="70" w:type="dxa"/>
              <w:end w:w="80" w:type="dxa"/>
            </w:tcMar>
            <w:shd w:fill="F7F9FB"/>
          </w:tcPr>
          <w:p>
            <w:pPr>
              <w:spacing w:after="0" w:line="240" w:lineRule="auto"/>
            </w:pPr>
            <w:r/>
            <w:r>
              <w:rPr>
                <w:rFonts w:ascii="Aptos" w:hAnsi="Aptos"/>
                <w:b w:val="0"/>
                <w:color w:val="202833"/>
                <w:sz w:val="15"/>
              </w:rPr>
              <w:t>40</w:t>
            </w:r>
          </w:p>
        </w:tc>
        <w:tc>
          <w:tcPr>
            <w:tcW w:type="dxa" w:w="2376"/>
            <w:vAlign w:val="center"/>
            <w:tcMar>
              <w:top w:w="70" w:type="dxa"/>
              <w:start w:w="80" w:type="dxa"/>
              <w:bottom w:w="70" w:type="dxa"/>
              <w:end w:w="80" w:type="dxa"/>
            </w:tcMar>
            <w:shd w:fill="F7F9FB"/>
          </w:tcPr>
          <w:p>
            <w:pPr>
              <w:spacing w:after="0" w:line="240" w:lineRule="auto"/>
            </w:pPr>
            <w:r/>
            <w:r>
              <w:rPr>
                <w:rFonts w:ascii="Aptos" w:hAnsi="Aptos"/>
                <w:b w:val="0"/>
                <w:color w:val="202833"/>
                <w:sz w:val="15"/>
              </w:rPr>
              <w:t>Working dinner ($247.00)</w:t>
            </w:r>
          </w:p>
        </w:tc>
        <w:tc>
          <w:tcPr>
            <w:tcW w:type="dxa" w:w="6840"/>
            <w:vAlign w:val="center"/>
            <w:tcMar>
              <w:top w:w="70" w:type="dxa"/>
              <w:start w:w="80" w:type="dxa"/>
              <w:bottom w:w="70" w:type="dxa"/>
              <w:end w:w="80" w:type="dxa"/>
            </w:tcMar>
            <w:shd w:fill="F7F9FB"/>
          </w:tcPr>
          <w:p>
            <w:pPr>
              <w:spacing w:after="0" w:line="240" w:lineRule="auto"/>
            </w:pPr>
            <w:r/>
            <w:r>
              <w:rPr>
                <w:rFonts w:ascii="Aptos" w:hAnsi="Aptos"/>
                <w:b w:val="0"/>
                <w:color w:val="202833"/>
                <w:sz w:val="15"/>
              </w:rPr>
              <w:t>Description identifies two HWK attorneys and “plaintiff’s counsel” but omits the third-party attendee’s name/title and titles for all attendees. At least 3 attendees are indicated, so $247 is within a $255 three-person dinner cap on its face. Obtain itemized receipt; confirm no alcohol and tip ≤20%; revise narrative.</w:t>
            </w:r>
          </w:p>
        </w:tc>
      </w:tr>
      <w:tr>
        <w:trPr>
          <w:cantSplit/>
        </w:trPr>
        <w:tc>
          <w:tcPr>
            <w:tcW w:type="dxa" w:w="1008"/>
            <w:vAlign w:val="center"/>
            <w:tcMar>
              <w:top w:w="70" w:type="dxa"/>
              <w:start w:w="80" w:type="dxa"/>
              <w:bottom w:w="70" w:type="dxa"/>
              <w:end w:w="80" w:type="dxa"/>
            </w:tcMar>
          </w:tcPr>
          <w:p>
            <w:pPr>
              <w:spacing w:after="0" w:line="240" w:lineRule="auto"/>
            </w:pPr>
            <w:r/>
            <w:r>
              <w:rPr>
                <w:rFonts w:ascii="Aptos" w:hAnsi="Aptos"/>
                <w:b w:val="0"/>
                <w:color w:val="202833"/>
                <w:sz w:val="15"/>
              </w:rPr>
              <w:t>5–7, 13, 37–40</w:t>
            </w:r>
          </w:p>
        </w:tc>
        <w:tc>
          <w:tcPr>
            <w:tcW w:type="dxa" w:w="2376"/>
            <w:vAlign w:val="center"/>
            <w:tcMar>
              <w:top w:w="70" w:type="dxa"/>
              <w:start w:w="80" w:type="dxa"/>
              <w:bottom w:w="70" w:type="dxa"/>
              <w:end w:w="80" w:type="dxa"/>
            </w:tcMar>
          </w:tcPr>
          <w:p>
            <w:pPr>
              <w:spacing w:after="0" w:line="240" w:lineRule="auto"/>
            </w:pPr>
            <w:r/>
            <w:r>
              <w:rPr>
                <w:rFonts w:ascii="Aptos" w:hAnsi="Aptos"/>
                <w:b w:val="0"/>
                <w:color w:val="202833"/>
                <w:sz w:val="15"/>
              </w:rPr>
              <w:t>Meals / receipts</w:t>
            </w:r>
          </w:p>
        </w:tc>
        <w:tc>
          <w:tcPr>
            <w:tcW w:type="dxa" w:w="6840"/>
            <w:vAlign w:val="center"/>
            <w:tcMar>
              <w:top w:w="70" w:type="dxa"/>
              <w:start w:w="80" w:type="dxa"/>
              <w:bottom w:w="70" w:type="dxa"/>
              <w:end w:w="80" w:type="dxa"/>
            </w:tcMar>
          </w:tcPr>
          <w:p>
            <w:pPr>
              <w:spacing w:after="0" w:line="240" w:lineRule="auto"/>
            </w:pPr>
            <w:r/>
            <w:r>
              <w:rPr>
                <w:rFonts w:ascii="Aptos" w:hAnsi="Aptos"/>
                <w:b w:val="0"/>
                <w:color w:val="202833"/>
                <w:sz w:val="15"/>
              </w:rPr>
              <w:t>Retain itemized receipts; confirm alcohol was removed and tips are within the caps. Meal narratives must identify all attendees and titles, location, matter purpose, and amount including tip. Lines 38–39 are already recommended for full rejection.</w:t>
            </w:r>
          </w:p>
        </w:tc>
      </w:tr>
      <w:tr>
        <w:trPr>
          <w:cantSplit/>
        </w:trPr>
        <w:tc>
          <w:tcPr>
            <w:tcW w:type="dxa" w:w="1008"/>
            <w:vAlign w:val="center"/>
            <w:tcMar>
              <w:top w:w="70" w:type="dxa"/>
              <w:start w:w="80" w:type="dxa"/>
              <w:bottom w:w="70" w:type="dxa"/>
              <w:end w:w="80" w:type="dxa"/>
            </w:tcMar>
            <w:shd w:fill="F7F9FB"/>
          </w:tcPr>
          <w:p>
            <w:pPr>
              <w:spacing w:after="0" w:line="240" w:lineRule="auto"/>
            </w:pPr>
            <w:r/>
            <w:r>
              <w:rPr>
                <w:rFonts w:ascii="Aptos" w:hAnsi="Aptos"/>
                <w:b w:val="0"/>
                <w:color w:val="202833"/>
                <w:sz w:val="15"/>
              </w:rPr>
              <w:t>16, 21</w:t>
            </w:r>
          </w:p>
        </w:tc>
        <w:tc>
          <w:tcPr>
            <w:tcW w:type="dxa" w:w="2376"/>
            <w:vAlign w:val="center"/>
            <w:tcMar>
              <w:top w:w="70" w:type="dxa"/>
              <w:start w:w="80" w:type="dxa"/>
              <w:bottom w:w="70" w:type="dxa"/>
              <w:end w:w="80" w:type="dxa"/>
            </w:tcMar>
            <w:shd w:fill="F7F9FB"/>
          </w:tcPr>
          <w:p>
            <w:pPr>
              <w:spacing w:after="0" w:line="240" w:lineRule="auto"/>
            </w:pPr>
            <w:r/>
            <w:r>
              <w:rPr>
                <w:rFonts w:ascii="Aptos" w:hAnsi="Aptos"/>
                <w:b w:val="0"/>
                <w:color w:val="202833"/>
                <w:sz w:val="15"/>
              </w:rPr>
              <w:t>Color copies ($265.00)</w:t>
            </w:r>
          </w:p>
        </w:tc>
        <w:tc>
          <w:tcPr>
            <w:tcW w:type="dxa" w:w="6840"/>
            <w:vAlign w:val="center"/>
            <w:tcMar>
              <w:top w:w="70" w:type="dxa"/>
              <w:start w:w="80" w:type="dxa"/>
              <w:bottom w:w="70" w:type="dxa"/>
              <w:end w:w="80" w:type="dxa"/>
            </w:tcMar>
            <w:shd w:fill="F7F9FB"/>
          </w:tcPr>
          <w:p>
            <w:pPr>
              <w:spacing w:after="0" w:line="240" w:lineRule="auto"/>
            </w:pPr>
            <w:r/>
            <w:r>
              <w:rPr>
                <w:rFonts w:ascii="Aptos" w:hAnsi="Aptos"/>
                <w:b w:val="0"/>
                <w:color w:val="202833"/>
                <w:sz w:val="15"/>
              </w:rPr>
              <w:t>Rates and quantities are at the $0.25/page cap. No reduction identified on the face of the invoice; retain page-count support.</w:t>
            </w:r>
          </w:p>
        </w:tc>
      </w:tr>
      <w:tr>
        <w:trPr>
          <w:cantSplit/>
        </w:trPr>
        <w:tc>
          <w:tcPr>
            <w:tcW w:type="dxa" w:w="1008"/>
            <w:vAlign w:val="center"/>
            <w:tcMar>
              <w:top w:w="70" w:type="dxa"/>
              <w:start w:w="80" w:type="dxa"/>
              <w:bottom w:w="70" w:type="dxa"/>
              <w:end w:w="80" w:type="dxa"/>
            </w:tcMar>
          </w:tcPr>
          <w:p>
            <w:pPr>
              <w:spacing w:after="0" w:line="240" w:lineRule="auto"/>
            </w:pPr>
            <w:r/>
            <w:r>
              <w:rPr>
                <w:rFonts w:ascii="Aptos" w:hAnsi="Aptos"/>
                <w:b w:val="0"/>
                <w:color w:val="202833"/>
                <w:sz w:val="15"/>
              </w:rPr>
              <w:t>23, 46</w:t>
            </w:r>
          </w:p>
        </w:tc>
        <w:tc>
          <w:tcPr>
            <w:tcW w:type="dxa" w:w="2376"/>
            <w:vAlign w:val="center"/>
            <w:tcMar>
              <w:top w:w="70" w:type="dxa"/>
              <w:start w:w="80" w:type="dxa"/>
              <w:bottom w:w="70" w:type="dxa"/>
              <w:end w:w="80" w:type="dxa"/>
            </w:tcMar>
          </w:tcPr>
          <w:p>
            <w:pPr>
              <w:spacing w:after="0" w:line="240" w:lineRule="auto"/>
            </w:pPr>
            <w:r/>
            <w:r>
              <w:rPr>
                <w:rFonts w:ascii="Aptos" w:hAnsi="Aptos"/>
                <w:b w:val="0"/>
                <w:color w:val="202833"/>
                <w:sz w:val="15"/>
              </w:rPr>
              <w:t>Redmond / S. Mehta ($29,670.00)</w:t>
            </w:r>
          </w:p>
        </w:tc>
        <w:tc>
          <w:tcPr>
            <w:tcW w:type="dxa" w:w="6840"/>
            <w:vAlign w:val="center"/>
            <w:tcMar>
              <w:top w:w="70" w:type="dxa"/>
              <w:start w:w="80" w:type="dxa"/>
              <w:bottom w:w="70" w:type="dxa"/>
              <w:end w:w="80" w:type="dxa"/>
            </w:tcMar>
          </w:tcPr>
          <w:p>
            <w:pPr>
              <w:spacing w:after="0" w:line="240" w:lineRule="auto"/>
            </w:pPr>
            <w:r/>
            <w:r>
              <w:rPr>
                <w:rFonts w:ascii="Aptos" w:hAnsi="Aptos"/>
                <w:b w:val="0"/>
                <w:color w:val="202833"/>
                <w:sz w:val="15"/>
              </w:rPr>
              <w:t>Redmond’s $18,750 is within its $20,000 monthly approval cap; Mehta is separately approved at $65/hour. Verify original invoices and actual cost/no markup.</w:t>
            </w:r>
          </w:p>
        </w:tc>
      </w:tr>
      <w:tr>
        <w:trPr>
          <w:cantSplit/>
        </w:trPr>
        <w:tc>
          <w:tcPr>
            <w:tcW w:type="dxa" w:w="1008"/>
            <w:vAlign w:val="center"/>
            <w:tcMar>
              <w:top w:w="70" w:type="dxa"/>
              <w:start w:w="80" w:type="dxa"/>
              <w:bottom w:w="70" w:type="dxa"/>
              <w:end w:w="80" w:type="dxa"/>
            </w:tcMar>
            <w:shd w:fill="F7F9FB"/>
          </w:tcPr>
          <w:p>
            <w:pPr>
              <w:spacing w:after="0" w:line="240" w:lineRule="auto"/>
            </w:pPr>
            <w:r/>
            <w:r>
              <w:rPr>
                <w:rFonts w:ascii="Aptos" w:hAnsi="Aptos"/>
                <w:b w:val="0"/>
                <w:color w:val="202833"/>
                <w:sz w:val="15"/>
              </w:rPr>
              <w:t>28–31</w:t>
            </w:r>
          </w:p>
        </w:tc>
        <w:tc>
          <w:tcPr>
            <w:tcW w:type="dxa" w:w="2376"/>
            <w:vAlign w:val="center"/>
            <w:tcMar>
              <w:top w:w="70" w:type="dxa"/>
              <w:start w:w="80" w:type="dxa"/>
              <w:bottom w:w="70" w:type="dxa"/>
              <w:end w:w="80" w:type="dxa"/>
            </w:tcMar>
            <w:shd w:fill="F7F9FB"/>
          </w:tcPr>
          <w:p>
            <w:pPr>
              <w:spacing w:after="0" w:line="240" w:lineRule="auto"/>
            </w:pPr>
            <w:r/>
            <w:r>
              <w:rPr>
                <w:rFonts w:ascii="Aptos" w:hAnsi="Aptos"/>
                <w:b w:val="0"/>
                <w:color w:val="202833"/>
                <w:sz w:val="15"/>
              </w:rPr>
              <w:t>Routine court costs ($511.00)</w:t>
            </w:r>
          </w:p>
        </w:tc>
        <w:tc>
          <w:tcPr>
            <w:tcW w:type="dxa" w:w="6840"/>
            <w:vAlign w:val="center"/>
            <w:tcMar>
              <w:top w:w="70" w:type="dxa"/>
              <w:start w:w="80" w:type="dxa"/>
              <w:bottom w:w="70" w:type="dxa"/>
              <w:end w:w="80" w:type="dxa"/>
            </w:tcMar>
            <w:shd w:fill="F7F9FB"/>
          </w:tcPr>
          <w:p>
            <w:pPr>
              <w:spacing w:after="0" w:line="240" w:lineRule="auto"/>
            </w:pPr>
            <w:r/>
            <w:r>
              <w:rPr>
                <w:rFonts w:ascii="Aptos" w:hAnsi="Aptos"/>
                <w:b w:val="0"/>
                <w:color w:val="202833"/>
                <w:sz w:val="15"/>
              </w:rPr>
              <w:t>Amounts are below the $5,000 pre-approval trigger and categories are facially reimbursable. Retain receipts / source documentation and confirm actual cost.</w:t>
            </w:r>
          </w:p>
        </w:tc>
      </w:tr>
    </w:tbl>
    <w:p>
      <w:pPr>
        <w:spacing w:after="20" w:before="0"/>
      </w:pPr>
    </w:p>
    <w:p>
      <w:pPr>
        <w:pStyle w:val="Heading1"/>
        <w:pageBreakBefore/>
      </w:pPr>
      <w:r>
        <w:t>4. Invoice reconciliation and administration</w:t>
      </w:r>
    </w:p>
    <w:p>
      <w:pPr>
        <w:pStyle w:val="ListBullet"/>
        <w:spacing w:after="40" w:line="252" w:lineRule="auto"/>
      </w:pPr>
      <w:r>
        <w:t>The 47 disbursement amounts sum to $145,404.30; the Summary sheet reports $86,742.19. The $58,662.11 difference must be reconciled by HWK and a corrected invoice issued under Guidelines §6.7. The implied invoice total using the listed disbursements and stated professional fees is $332,824.30 before reductions—not the stated $274,162.19.</w:t>
      </w:r>
    </w:p>
    <w:p>
      <w:pPr>
        <w:pStyle w:val="ListBullet"/>
        <w:spacing w:after="40" w:line="252" w:lineRule="auto"/>
      </w:pPr>
      <w:r>
        <w:t>The invoice’s stated “Net 30 days” conflicts with the engagement letter and Guidelines, which provide payment within 45 days of receipt of a compliant invoice. Correct the payment-term field; this is not a disbursement reduction.</w:t>
      </w:r>
    </w:p>
    <w:p>
      <w:pPr>
        <w:pStyle w:val="ListBullet"/>
        <w:spacing w:after="40" w:line="252" w:lineRule="auto"/>
      </w:pPr>
      <w:r>
        <w:t>Actual-cost pass-throughs (experts, consultants, technology, vendors, travel, court costs, and printing) remain subject to original vendor invoices/receipts and verification that no markup or handling charge was added. Guidelines §5.1 and the engagement letter §6 require actual cost and supporting records.</w:t>
      </w:r>
    </w:p>
    <w:p>
      <w:pPr>
        <w:pStyle w:val="Heading1"/>
      </w:pPr>
      <w:r>
        <w:t>5. Recommended next steps</w:t>
      </w:r>
    </w:p>
    <w:p>
      <w:pPr>
        <w:pStyle w:val="ListBullet"/>
        <w:spacing w:after="40" w:line="252" w:lineRule="auto"/>
      </w:pPr>
      <w:r>
        <w:t>Return the invoice for reconciliation of the $58,662.11 schedule-to-summary variance before processing payment.</w:t>
      </w:r>
    </w:p>
    <w:p>
      <w:pPr>
        <w:pStyle w:val="ListBullet"/>
        <w:spacing w:after="40" w:line="252" w:lineRule="auto"/>
      </w:pPr>
      <w:r>
        <w:t>Apply the $17,358.30 recommended face-of-record reductions, subject to the stated e-discovery scope clarification; request a revised, arithmetically accurate invoice.</w:t>
      </w:r>
    </w:p>
    <w:p>
      <w:pPr>
        <w:pStyle w:val="ListBullet"/>
        <w:spacing w:after="40" w:line="252" w:lineRule="auto"/>
      </w:pPr>
      <w:r>
        <w:t>Place the $30,190 of unapproved charges on hold and request written retroactive approvals. If denied, reject those charges; obtain General Counsel approval before reductions totaling $25,000 or more.</w:t>
      </w:r>
    </w:p>
    <w:p>
      <w:pPr>
        <w:pStyle w:val="ListBullet"/>
        <w:spacing w:after="40" w:line="252" w:lineRule="auto"/>
      </w:pPr>
      <w:r>
        <w:t>Request missing coach-fare, rental-class, courier, meal, and actual-cost support described above. Do not treat undocumented actual-cost claims as verified.</w:t>
      </w:r>
    </w:p>
    <w:p>
      <w:pPr>
        <w:pStyle w:val="ListBullet"/>
        <w:spacing w:after="40" w:line="252" w:lineRule="auto"/>
      </w:pPr>
      <w:r>
        <w:t>Re-review the revised invoice totals and ensure every disbursement is coded and described sufficiently under the Guidelines before approval.</w:t>
      </w:r>
    </w:p>
    <w:p>
      <w:pPr>
        <w:spacing w:before="100"/>
      </w:pPr>
      <w:r>
        <w:rPr>
          <w:b/>
          <w:color w:val="1F4E79"/>
        </w:rPr>
        <w:t xml:space="preserve">Primary authorities: </w:t>
      </w:r>
      <w:r>
        <w:t>Billing Guidelines §§5.1–5.9, 6.6–6.7, 8.1–8.6 and Appendices A/C; Pre-Approval Correspondence Log Entries 1–4; HWK Engagement Letter §§5–6.</w:t>
      </w:r>
    </w:p>
    <w:sectPr w:rsidR="00FC693F" w:rsidRPr="0006063C" w:rsidSect="00034616">
      <w:headerReference w:type="default" r:id="rId9"/>
      <w:footerReference w:type="default" r:id="rId10"/>
      <w:pgSz w:w="12240" w:h="15840"/>
      <w:pgMar w:top="835" w:right="979" w:bottom="893" w:left="979" w:header="403"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5B6573"/>
        <w:sz w:val="16"/>
      </w:rPr>
      <w:t>CONFIDENTIAL  •  INTERNAL BILLING REVIEW  |  Morales v. Pinnacle</w:t>
    </w:r>
    <w:r>
      <w:rPr>
        <w:color w:val="5B6573"/>
        <w:sz w:val="16"/>
      </w:rPr>
      <w:t xml:space="preserve">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color w:val="5B6573"/>
        <w:sz w:val="16"/>
      </w:rPr>
      <w:t>PINNACLE HEALTH SYSTEMS  |  BILLING REVIEW</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9" w:lineRule="auto"/>
    </w:pPr>
    <w:rPr>
      <w:rFonts w:ascii="Aptos" w:hAnsi="Aptos"/>
      <w:color w:val="202833"/>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Aptos Display" w:hAnsi="Aptos Display"/>
      <w:b/>
      <w:bCs/>
      <w:color w:val="17365D"/>
      <w:sz w:val="30"/>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ptos" w:hAnsi="Aptos"/>
      <w:b/>
      <w:bCs/>
      <w:color w:val="1F4E79"/>
      <w:sz w:val="23"/>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Aptos" w:hAnsi="Aptos"/>
      <w:b/>
      <w:bCs/>
      <w:color w:val="0F6B78"/>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80" w:line="240" w:lineRule="auto" w:before="0"/>
      <w:contextualSpacing/>
    </w:pPr>
    <w:rPr>
      <w:rFonts w:asciiTheme="majorHAnsi" w:eastAsiaTheme="majorEastAsia" w:hAnsiTheme="majorHAnsi" w:cstheme="majorBidi" w:ascii="Aptos Display" w:hAnsi="Aptos Display"/>
      <w:b/>
      <w:color w:val="17365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Disbursement Compliance Report – HWK May 2025 Invoice</dc:title>
  <dc:subject>Review of May 2025 disbursements for Morales v. Pinnacle Health Systems</dc:subject>
  <dc:creator>Pinnacle Health Systems, Inc.</dc:creator>
  <cp:keywords>disbursements, billing compliance, HWK, Morales</cp:keywords>
  <dc:description>generated by python-docx</dc:description>
  <cp:lastModifiedBy/>
  <cp:revision>1</cp:revision>
  <dcterms:created xsi:type="dcterms:W3CDTF">2013-12-23T23:15:00Z</dcterms:created>
  <dcterms:modified xsi:type="dcterms:W3CDTF">2013-12-23T23:15:00Z</dcterms:modified>
  <cp:category/>
</cp:coreProperties>
</file>