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Disbursement Compliance Report</w:t>
      </w:r>
    </w:p>
    <w:p>
      <w:r>
        <w:rPr>
          <w:b/>
        </w:rPr>
        <w:t>Morales v. Pinnacle Health Systems, Inc., No. 3:24-cv-01847-RJC (W.D.N.C.)</w:t>
        <w:br/>
      </w:r>
      <w:r>
        <w:t>Hargrove, Winslow &amp; Keane LLP Invoice HWK-2025-05-4781 (June 3, 2025; billing period May 1–31, 2025), HWK Matter No. 4922-001</w:t>
        <w:br/>
        <w:t>Prepared for: Derek Yamashita, Associate General Counsel / Relationship Attorney</w:t>
        <w:br/>
        <w:t>Documents reviewed: Outside Counsel Billing Guidelines v3.1 (Jan. 15, 2024); HWK Engagement Letter (Oct. 1, 2024); Pre-Approval Correspondence Log (June 5, 2025)</w:t>
        <w:br/>
        <w:t>Privileged &amp; Confidential – Attorney-Client Communication / Attorney Work Product</w:t>
      </w:r>
    </w:p>
    <w:p>
      <w:pPr>
        <w:pStyle w:val="Heading1"/>
      </w:pPr>
      <w:r>
        <w:t>1. Executive Summary</w:t>
      </w:r>
    </w:p>
    <w:p>
      <w:r>
        <w:t>I reviewed all 47 disbursement lines. 23 of them are non-compliant. The recommended reductions total $42,695.30. The invoice has two further problems:</w:t>
      </w:r>
    </w:p>
    <w:p>
      <w:pPr>
        <w:pStyle w:val="ListBullet"/>
      </w:pPr>
      <w:r>
        <w:t>The invoice arithmetic is wrong. The disbursement line items add up to $145,404.30, but the Summary sheet shows $86,742.19, an understatement of $58,662.11. Professional fee lines add up to $161,698.50, while the Summary shows $187,420.00, an overstatement of $25,721.50. The invoice violates §6.7 and should be returned for correction before any payment.</w:t>
      </w:r>
    </w:p>
    <w:p>
      <w:pPr>
        <w:pStyle w:val="ListBullet"/>
      </w:pPr>
      <w:r>
        <w:t>The recommended reductions ($42,695.30) exceed $25,000. Under Guidelines §8.2(b) and Engagement Letter §5, General Counsel Lorraine Cha must approve them before HWK is notified. Under §8.3, notice of the reductions is due to the billing partner within 15 business days of receipt.</w:t>
      </w:r>
    </w:p>
    <w:p>
      <w:pPr>
        <w:pStyle w:val="ListBullet"/>
      </w:pPr>
      <w:r>
        <w:t>Most of the dollar value is expert/consultant spending and contract attorneys that were never approved or went over their approved caps: Voss, GraphicWorks, DataScan, A. Brooks, the Hartsfield overage, and the Relativity overage plus the predictive coding module. Together these account for $35,390.00.</w:t>
      </w:r>
    </w:p>
    <w:tbl>
      <w:tblPr>
        <w:tblStyle w:val="TableGrid"/>
        <w:tblW w:type="auto" w:w="0"/>
        <w:tblLook w:firstColumn="1" w:firstRow="1" w:lastColumn="0" w:lastRow="0" w:noHBand="0" w:noVBand="1" w:val="04A0"/>
      </w:tblPr>
      <w:tblGrid>
        <w:gridCol w:w="3312"/>
        <w:gridCol w:w="3312"/>
        <w:gridCol w:w="3312"/>
      </w:tblGrid>
      <w:tr>
        <w:tc>
          <w:tcPr>
            <w:tcW w:type="dxa" w:w="3744"/>
            <w:shd w:val="clear" w:fill="D9E2F3"/>
          </w:tcPr>
          <w:p>
            <w:r/>
            <w:r>
              <w:rPr>
                <w:b/>
                <w:sz w:val="18"/>
              </w:rPr>
              <w:t>Category of Non-Compliance</w:t>
            </w:r>
          </w:p>
        </w:tc>
        <w:tc>
          <w:tcPr>
            <w:tcW w:type="dxa" w:w="3456"/>
            <w:shd w:val="clear" w:fill="D9E2F3"/>
          </w:tcPr>
          <w:p>
            <w:r/>
            <w:r>
              <w:rPr>
                <w:b/>
                <w:sz w:val="18"/>
              </w:rPr>
              <w:t>Lines</w:t>
            </w:r>
          </w:p>
        </w:tc>
        <w:tc>
          <w:tcPr>
            <w:tcW w:type="dxa" w:w="2304"/>
            <w:shd w:val="clear" w:fill="D9E2F3"/>
          </w:tcPr>
          <w:p>
            <w:r/>
            <w:r>
              <w:rPr>
                <w:b/>
                <w:sz w:val="18"/>
              </w:rPr>
              <w:t>Recommended Reduction</w:t>
            </w:r>
          </w:p>
        </w:tc>
      </w:tr>
      <w:tr>
        <w:tc>
          <w:tcPr>
            <w:tcW w:type="dxa" w:w="3744"/>
          </w:tcPr>
          <w:p>
            <w:r/>
            <w:r>
              <w:rPr>
                <w:sz w:val="18"/>
              </w:rPr>
              <w:t>No pre-approval</w:t>
            </w:r>
          </w:p>
        </w:tc>
        <w:tc>
          <w:tcPr>
            <w:tcW w:type="dxa" w:w="3456"/>
          </w:tcPr>
          <w:p>
            <w:r/>
            <w:r>
              <w:rPr>
                <w:sz w:val="18"/>
              </w:rPr>
              <w:t>19, 24, 25, 47</w:t>
            </w:r>
          </w:p>
        </w:tc>
        <w:tc>
          <w:tcPr>
            <w:tcW w:type="dxa" w:w="2304"/>
          </w:tcPr>
          <w:p>
            <w:r/>
            <w:r>
              <w:rPr>
                <w:sz w:val="18"/>
              </w:rPr>
              <w:t>$25,090.00</w:t>
            </w:r>
          </w:p>
        </w:tc>
      </w:tr>
      <w:tr>
        <w:tc>
          <w:tcPr>
            <w:tcW w:type="dxa" w:w="3744"/>
          </w:tcPr>
          <w:p>
            <w:r/>
            <w:r>
              <w:rPr>
                <w:sz w:val="18"/>
              </w:rPr>
              <w:t>Budget cap exceeded</w:t>
            </w:r>
          </w:p>
        </w:tc>
        <w:tc>
          <w:tcPr>
            <w:tcW w:type="dxa" w:w="3456"/>
          </w:tcPr>
          <w:p>
            <w:r/>
            <w:r>
              <w:rPr>
                <w:sz w:val="18"/>
              </w:rPr>
              <w:t>22, 41, 44</w:t>
            </w:r>
          </w:p>
        </w:tc>
        <w:tc>
          <w:tcPr>
            <w:tcW w:type="dxa" w:w="2304"/>
          </w:tcPr>
          <w:p>
            <w:r/>
            <w:r>
              <w:rPr>
                <w:sz w:val="18"/>
              </w:rPr>
              <w:t>$10,300.00</w:t>
            </w:r>
          </w:p>
        </w:tc>
      </w:tr>
      <w:tr>
        <w:tc>
          <w:tcPr>
            <w:tcW w:type="dxa" w:w="3744"/>
          </w:tcPr>
          <w:p>
            <w:r/>
            <w:r>
              <w:rPr>
                <w:sz w:val="18"/>
              </w:rPr>
              <w:t>Non-reimbursable</w:t>
            </w:r>
          </w:p>
        </w:tc>
        <w:tc>
          <w:tcPr>
            <w:tcW w:type="dxa" w:w="3456"/>
          </w:tcPr>
          <w:p>
            <w:r/>
            <w:r>
              <w:rPr>
                <w:sz w:val="18"/>
              </w:rPr>
              <w:t>10, 36, 38, 39, 40, 42, 43</w:t>
            </w:r>
          </w:p>
        </w:tc>
        <w:tc>
          <w:tcPr>
            <w:tcW w:type="dxa" w:w="2304"/>
          </w:tcPr>
          <w:p>
            <w:r/>
            <w:r>
              <w:rPr>
                <w:sz w:val="18"/>
              </w:rPr>
              <w:t>$4,906.30</w:t>
            </w:r>
          </w:p>
        </w:tc>
      </w:tr>
      <w:tr>
        <w:tc>
          <w:tcPr>
            <w:tcW w:type="dxa" w:w="3744"/>
          </w:tcPr>
          <w:p>
            <w:r/>
            <w:r>
              <w:rPr>
                <w:sz w:val="18"/>
              </w:rPr>
              <w:t>Rate cap</w:t>
            </w:r>
          </w:p>
        </w:tc>
        <w:tc>
          <w:tcPr>
            <w:tcW w:type="dxa" w:w="3456"/>
          </w:tcPr>
          <w:p>
            <w:r/>
            <w:r>
              <w:rPr>
                <w:sz w:val="18"/>
              </w:rPr>
              <w:t>3, 4, 5, 6, 12, 13, 15, 37, 45</w:t>
            </w:r>
          </w:p>
        </w:tc>
        <w:tc>
          <w:tcPr>
            <w:tcW w:type="dxa" w:w="2304"/>
          </w:tcPr>
          <w:p>
            <w:r/>
            <w:r>
              <w:rPr>
                <w:sz w:val="18"/>
              </w:rPr>
              <w:t>$2,399.00</w:t>
            </w:r>
          </w:p>
        </w:tc>
      </w:tr>
      <w:tr>
        <w:tc>
          <w:tcPr>
            <w:tcW w:type="dxa" w:w="3744"/>
          </w:tcPr>
          <w:p>
            <w:r/>
            <w:r>
              <w:rPr>
                <w:sz w:val="18"/>
              </w:rPr>
              <w:t>TOTAL</w:t>
            </w:r>
          </w:p>
        </w:tc>
        <w:tc>
          <w:tcPr>
            <w:tcW w:type="dxa" w:w="3456"/>
          </w:tcPr>
          <w:p>
            <w:r/>
            <w:r>
              <w:rPr>
                <w:sz w:val="18"/>
              </w:rPr>
            </w:r>
          </w:p>
        </w:tc>
        <w:tc>
          <w:tcPr>
            <w:tcW w:type="dxa" w:w="2304"/>
          </w:tcPr>
          <w:p>
            <w:r/>
            <w:r>
              <w:rPr>
                <w:sz w:val="18"/>
              </w:rPr>
              <w:t>$42,695.30</w:t>
            </w:r>
          </w:p>
        </w:tc>
      </w:tr>
    </w:tbl>
    <w:p/>
    <w:p>
      <w:pPr>
        <w:pStyle w:val="Heading1"/>
      </w:pPr>
      <w:r>
        <w:t>2. Disbursement Totals</w:t>
      </w:r>
    </w:p>
    <w:tbl>
      <w:tblPr>
        <w:tblStyle w:val="TableGrid"/>
        <w:tblW w:type="auto" w:w="0"/>
        <w:tblLook w:firstColumn="1" w:firstRow="1" w:lastColumn="0" w:lastRow="0" w:noHBand="0" w:noVBand="1" w:val="04A0"/>
      </w:tblPr>
      <w:tblGrid>
        <w:gridCol w:w="4968"/>
        <w:gridCol w:w="4968"/>
      </w:tblGrid>
      <w:tr>
        <w:tc>
          <w:tcPr>
            <w:tcW w:type="dxa" w:w="6624"/>
            <w:shd w:val="clear" w:fill="D9E2F3"/>
          </w:tcPr>
          <w:p>
            <w:r/>
            <w:r>
              <w:rPr>
                <w:b/>
                <w:sz w:val="18"/>
              </w:rPr>
              <w:t>Measure</w:t>
            </w:r>
          </w:p>
        </w:tc>
        <w:tc>
          <w:tcPr>
            <w:tcW w:type="dxa" w:w="2592"/>
            <w:shd w:val="clear" w:fill="D9E2F3"/>
          </w:tcPr>
          <w:p>
            <w:r/>
            <w:r>
              <w:rPr>
                <w:b/>
                <w:sz w:val="18"/>
              </w:rPr>
              <w:t>Amount</w:t>
            </w:r>
          </w:p>
        </w:tc>
      </w:tr>
      <w:tr>
        <w:tc>
          <w:tcPr>
            <w:tcW w:type="dxa" w:w="6624"/>
          </w:tcPr>
          <w:p>
            <w:r/>
            <w:r>
              <w:rPr>
                <w:sz w:val="18"/>
              </w:rPr>
              <w:t>Disbursements as stated on invoice Summary</w:t>
            </w:r>
          </w:p>
        </w:tc>
        <w:tc>
          <w:tcPr>
            <w:tcW w:type="dxa" w:w="2592"/>
          </w:tcPr>
          <w:p>
            <w:r/>
            <w:r>
              <w:rPr>
                <w:sz w:val="18"/>
              </w:rPr>
              <w:t>$86,742.19</w:t>
            </w:r>
          </w:p>
        </w:tc>
      </w:tr>
      <w:tr>
        <w:tc>
          <w:tcPr>
            <w:tcW w:type="dxa" w:w="6624"/>
          </w:tcPr>
          <w:p>
            <w:r/>
            <w:r>
              <w:rPr>
                <w:sz w:val="18"/>
              </w:rPr>
              <w:t>Sum of disbursement line items (recomputed)</w:t>
            </w:r>
          </w:p>
        </w:tc>
        <w:tc>
          <w:tcPr>
            <w:tcW w:type="dxa" w:w="2592"/>
          </w:tcPr>
          <w:p>
            <w:r/>
            <w:r>
              <w:rPr>
                <w:sz w:val="18"/>
              </w:rPr>
              <w:t>$145,404.30</w:t>
            </w:r>
          </w:p>
        </w:tc>
      </w:tr>
      <w:tr>
        <w:tc>
          <w:tcPr>
            <w:tcW w:type="dxa" w:w="6624"/>
          </w:tcPr>
          <w:p>
            <w:r/>
            <w:r>
              <w:rPr>
                <w:sz w:val="18"/>
              </w:rPr>
              <w:t>Arithmetic discrepancy (line items minus stated)</w:t>
            </w:r>
          </w:p>
        </w:tc>
        <w:tc>
          <w:tcPr>
            <w:tcW w:type="dxa" w:w="2592"/>
          </w:tcPr>
          <w:p>
            <w:r/>
            <w:r>
              <w:rPr>
                <w:sz w:val="18"/>
              </w:rPr>
              <w:t>$58,662.11</w:t>
            </w:r>
          </w:p>
        </w:tc>
      </w:tr>
      <w:tr>
        <w:tc>
          <w:tcPr>
            <w:tcW w:type="dxa" w:w="6624"/>
          </w:tcPr>
          <w:p>
            <w:r/>
            <w:r>
              <w:rPr>
                <w:sz w:val="18"/>
              </w:rPr>
              <w:t>Recommended reductions</w:t>
            </w:r>
          </w:p>
        </w:tc>
        <w:tc>
          <w:tcPr>
            <w:tcW w:type="dxa" w:w="2592"/>
          </w:tcPr>
          <w:p>
            <w:r/>
            <w:r>
              <w:rPr>
                <w:sz w:val="18"/>
              </w:rPr>
              <w:t>$42,695.30</w:t>
            </w:r>
          </w:p>
        </w:tc>
      </w:tr>
      <w:tr>
        <w:tc>
          <w:tcPr>
            <w:tcW w:type="dxa" w:w="6624"/>
          </w:tcPr>
          <w:p>
            <w:r/>
            <w:r>
              <w:rPr>
                <w:sz w:val="18"/>
              </w:rPr>
              <w:t>Recommended allowable disbursements (line items less reductions)</w:t>
            </w:r>
          </w:p>
        </w:tc>
        <w:tc>
          <w:tcPr>
            <w:tcW w:type="dxa" w:w="2592"/>
          </w:tcPr>
          <w:p>
            <w:r/>
            <w:r>
              <w:rPr>
                <w:sz w:val="18"/>
              </w:rPr>
              <w:t>$102,709.00</w:t>
            </w:r>
          </w:p>
        </w:tc>
      </w:tr>
      <w:tr>
        <w:tc>
          <w:tcPr>
            <w:tcW w:type="dxa" w:w="6624"/>
          </w:tcPr>
          <w:p>
            <w:r/>
            <w:r>
              <w:rPr>
                <w:sz w:val="18"/>
              </w:rPr>
              <w:t>Plus possible further reduction: Line 14 rental car (to mid-size rate)</w:t>
            </w:r>
          </w:p>
        </w:tc>
        <w:tc>
          <w:tcPr>
            <w:tcW w:type="dxa" w:w="2592"/>
          </w:tcPr>
          <w:p>
            <w:r/>
            <w:r>
              <w:rPr>
                <w:sz w:val="18"/>
              </w:rPr>
              <w:t>TBD (≤ $127.00)</w:t>
            </w:r>
          </w:p>
        </w:tc>
      </w:tr>
    </w:tbl>
    <w:p/>
    <w:p>
      <w:r>
        <w:t>Note: the allowable figure is built up from compliant line items, not from the Summary figure. HWK should reissue the invoice with corrected totals. Pinnacle should not pay based on the erroneous Summary figure.</w:t>
      </w:r>
    </w:p>
    <w:p>
      <w:pPr>
        <w:pStyle w:val="Heading1"/>
      </w:pPr>
      <w:r>
        <w:t>3. Line-by-Line Findings and Recommended Reductions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648"/>
            <w:shd w:val="clear" w:fill="D9E2F3"/>
          </w:tcPr>
          <w:p>
            <w:r/>
            <w:r>
              <w:rPr>
                <w:b/>
                <w:sz w:val="18"/>
              </w:rPr>
              <w:t>Line</w:t>
            </w:r>
          </w:p>
        </w:tc>
        <w:tc>
          <w:tcPr>
            <w:tcW w:type="dxa" w:w="2304"/>
            <w:shd w:val="clear" w:fill="D9E2F3"/>
          </w:tcPr>
          <w:p>
            <w:r/>
            <w:r>
              <w:rPr>
                <w:b/>
                <w:sz w:val="18"/>
              </w:rPr>
              <w:t>Charge</w:t>
            </w:r>
          </w:p>
        </w:tc>
        <w:tc>
          <w:tcPr>
            <w:tcW w:type="dxa" w:w="1152"/>
            <w:shd w:val="clear" w:fill="D9E2F3"/>
          </w:tcPr>
          <w:p>
            <w:r/>
            <w:r>
              <w:rPr>
                <w:b/>
                <w:sz w:val="18"/>
              </w:rPr>
              <w:t>Billed</w:t>
            </w:r>
          </w:p>
        </w:tc>
        <w:tc>
          <w:tcPr>
            <w:tcW w:type="dxa" w:w="1152"/>
            <w:shd w:val="clear" w:fill="D9E2F3"/>
          </w:tcPr>
          <w:p>
            <w:r/>
            <w:r>
              <w:rPr>
                <w:b/>
                <w:sz w:val="18"/>
              </w:rPr>
              <w:t>Reduce</w:t>
            </w:r>
          </w:p>
        </w:tc>
        <w:tc>
          <w:tcPr>
            <w:tcW w:type="dxa" w:w="4752"/>
            <w:shd w:val="clear" w:fill="D9E2F3"/>
          </w:tcPr>
          <w:p>
            <w:r/>
            <w:r>
              <w:rPr>
                <w:b/>
                <w:sz w:val="18"/>
              </w:rPr>
              <w:t>Basis</w:t>
            </w:r>
          </w:p>
        </w:tc>
      </w:tr>
      <w:tr>
        <w:tc>
          <w:tcPr>
            <w:tcW w:type="dxa" w:w="648"/>
          </w:tcPr>
          <w:p>
            <w:r/>
            <w:r>
              <w:rPr>
                <w:sz w:val="18"/>
              </w:rPr>
              <w:t>3</w:t>
            </w:r>
          </w:p>
        </w:tc>
        <w:tc>
          <w:tcPr>
            <w:tcW w:type="dxa" w:w="2304"/>
          </w:tcPr>
          <w:p>
            <w:r/>
            <w:r>
              <w:rPr>
                <w:sz w:val="18"/>
              </w:rPr>
              <w:t>Hotel, M. Beale, SF, 2 nights @ $319</w:t>
            </w:r>
          </w:p>
        </w:tc>
        <w:tc>
          <w:tcPr>
            <w:tcW w:type="dxa" w:w="1152"/>
          </w:tcPr>
          <w:p>
            <w:r/>
            <w:r>
              <w:rPr>
                <w:sz w:val="18"/>
              </w:rPr>
              <w:t>$638.00</w:t>
            </w:r>
          </w:p>
        </w:tc>
        <w:tc>
          <w:tcPr>
            <w:tcW w:type="dxa" w:w="1152"/>
          </w:tcPr>
          <w:p>
            <w:r/>
            <w:r>
              <w:rPr>
                <w:sz w:val="18"/>
              </w:rPr>
              <w:t>$88.00</w:t>
            </w:r>
          </w:p>
        </w:tc>
        <w:tc>
          <w:tcPr>
            <w:tcW w:type="dxa" w:w="4752"/>
          </w:tcPr>
          <w:p>
            <w:r/>
            <w:r>
              <w:rPr>
                <w:sz w:val="18"/>
              </w:rPr>
              <w:t>§5.2 hotel cap: San Francisco is a Tier 1 city, capped at $275/night incl. taxes. Pre-approval of Apr 28 said the cap applied. Excess is $44 × 2 nights.</w:t>
            </w:r>
          </w:p>
        </w:tc>
      </w:tr>
      <w:tr>
        <w:tc>
          <w:tcPr>
            <w:tcW w:type="dxa" w:w="648"/>
          </w:tcPr>
          <w:p>
            <w:r/>
            <w:r>
              <w:rPr>
                <w:sz w:val="18"/>
              </w:rPr>
              <w:t>4</w:t>
            </w:r>
          </w:p>
        </w:tc>
        <w:tc>
          <w:tcPr>
            <w:tcW w:type="dxa" w:w="2304"/>
          </w:tcPr>
          <w:p>
            <w:r/>
            <w:r>
              <w:rPr>
                <w:sz w:val="18"/>
              </w:rPr>
              <w:t>Hotel, J. Palermo, SF, 2 nights @ $319</w:t>
            </w:r>
          </w:p>
        </w:tc>
        <w:tc>
          <w:tcPr>
            <w:tcW w:type="dxa" w:w="1152"/>
          </w:tcPr>
          <w:p>
            <w:r/>
            <w:r>
              <w:rPr>
                <w:sz w:val="18"/>
              </w:rPr>
              <w:t>$638.00</w:t>
            </w:r>
          </w:p>
        </w:tc>
        <w:tc>
          <w:tcPr>
            <w:tcW w:type="dxa" w:w="1152"/>
          </w:tcPr>
          <w:p>
            <w:r/>
            <w:r>
              <w:rPr>
                <w:sz w:val="18"/>
              </w:rPr>
              <w:t>$88.00</w:t>
            </w:r>
          </w:p>
        </w:tc>
        <w:tc>
          <w:tcPr>
            <w:tcW w:type="dxa" w:w="4752"/>
          </w:tcPr>
          <w:p>
            <w:r/>
            <w:r>
              <w:rPr>
                <w:sz w:val="18"/>
              </w:rPr>
              <w:t>Same as Line 3.</w:t>
            </w:r>
          </w:p>
        </w:tc>
      </w:tr>
      <w:tr>
        <w:tc>
          <w:tcPr>
            <w:tcW w:type="dxa" w:w="648"/>
          </w:tcPr>
          <w:p>
            <w:r/>
            <w:r>
              <w:rPr>
                <w:sz w:val="18"/>
              </w:rPr>
              <w:t>5</w:t>
            </w:r>
          </w:p>
        </w:tc>
        <w:tc>
          <w:tcPr>
            <w:tcW w:type="dxa" w:w="2304"/>
          </w:tcPr>
          <w:p>
            <w:r/>
            <w:r>
              <w:rPr>
                <w:sz w:val="18"/>
              </w:rPr>
              <w:t>Dinner, Beale &amp; Palermo, SF (5/2)</w:t>
            </w:r>
          </w:p>
        </w:tc>
        <w:tc>
          <w:tcPr>
            <w:tcW w:type="dxa" w:w="1152"/>
          </w:tcPr>
          <w:p>
            <w:r/>
            <w:r>
              <w:rPr>
                <w:sz w:val="18"/>
              </w:rPr>
              <w:t>$214.00</w:t>
            </w:r>
          </w:p>
        </w:tc>
        <w:tc>
          <w:tcPr>
            <w:tcW w:type="dxa" w:w="1152"/>
          </w:tcPr>
          <w:p>
            <w:r/>
            <w:r>
              <w:rPr>
                <w:sz w:val="18"/>
              </w:rPr>
              <w:t>$64.00</w:t>
            </w:r>
          </w:p>
        </w:tc>
        <w:tc>
          <w:tcPr>
            <w:tcW w:type="dxa" w:w="4752"/>
          </w:tcPr>
          <w:p>
            <w:r/>
            <w:r>
              <w:rPr>
                <w:sz w:val="18"/>
              </w:rPr>
              <w:t>§5.2 travel meal cap is $75 per person per day, tips included, so $150 is allowed for two people. The description does not name the restaurant or say whether alcohol was deducted; ask for the itemized receipt.</w:t>
            </w:r>
          </w:p>
        </w:tc>
      </w:tr>
      <w:tr>
        <w:tc>
          <w:tcPr>
            <w:tcW w:type="dxa" w:w="648"/>
          </w:tcPr>
          <w:p>
            <w:r/>
            <w:r>
              <w:rPr>
                <w:sz w:val="18"/>
              </w:rPr>
              <w:t>6</w:t>
            </w:r>
          </w:p>
        </w:tc>
        <w:tc>
          <w:tcPr>
            <w:tcW w:type="dxa" w:w="2304"/>
          </w:tcPr>
          <w:p>
            <w:r/>
            <w:r>
              <w:rPr>
                <w:sz w:val="18"/>
              </w:rPr>
              <w:t>Meals, M. Beale, SF (5/3)</w:t>
            </w:r>
          </w:p>
        </w:tc>
        <w:tc>
          <w:tcPr>
            <w:tcW w:type="dxa" w:w="1152"/>
          </w:tcPr>
          <w:p>
            <w:r/>
            <w:r>
              <w:rPr>
                <w:sz w:val="18"/>
              </w:rPr>
              <w:t>$82.00</w:t>
            </w:r>
          </w:p>
        </w:tc>
        <w:tc>
          <w:tcPr>
            <w:tcW w:type="dxa" w:w="1152"/>
          </w:tcPr>
          <w:p>
            <w:r/>
            <w:r>
              <w:rPr>
                <w:sz w:val="18"/>
              </w:rPr>
              <w:t>$7.00</w:t>
            </w:r>
          </w:p>
        </w:tc>
        <w:tc>
          <w:tcPr>
            <w:tcW w:type="dxa" w:w="4752"/>
          </w:tcPr>
          <w:p>
            <w:r/>
            <w:r>
              <w:rPr>
                <w:sz w:val="18"/>
              </w:rPr>
              <w:t>§5.2 travel meal cap of $75 per person per day. 'Meals' is too vague to comply with §5.1.</w:t>
            </w:r>
          </w:p>
        </w:tc>
      </w:tr>
      <w:tr>
        <w:tc>
          <w:tcPr>
            <w:tcW w:type="dxa" w:w="648"/>
          </w:tcPr>
          <w:p>
            <w:r/>
            <w:r>
              <w:rPr>
                <w:sz w:val="18"/>
              </w:rPr>
              <w:t>10</w:t>
            </w:r>
          </w:p>
        </w:tc>
        <w:tc>
          <w:tcPr>
            <w:tcW w:type="dxa" w:w="2304"/>
          </w:tcPr>
          <w:p>
            <w:r/>
            <w:r>
              <w:rPr>
                <w:sz w:val="18"/>
              </w:rPr>
              <w:t>Mileage, C. Aldridge, Charlotte office to Pinnacle HQ</w:t>
            </w:r>
          </w:p>
        </w:tc>
        <w:tc>
          <w:tcPr>
            <w:tcW w:type="dxa" w:w="1152"/>
          </w:tcPr>
          <w:p>
            <w:r/>
            <w:r>
              <w:rPr>
                <w:sz w:val="18"/>
              </w:rPr>
              <w:t>$9.80</w:t>
            </w:r>
          </w:p>
        </w:tc>
        <w:tc>
          <w:tcPr>
            <w:tcW w:type="dxa" w:w="1152"/>
          </w:tcPr>
          <w:p>
            <w:r/>
            <w:r>
              <w:rPr>
                <w:sz w:val="18"/>
              </w:rPr>
              <w:t>$9.80</w:t>
            </w:r>
          </w:p>
        </w:tc>
        <w:tc>
          <w:tcPr>
            <w:tcW w:type="dxa" w:w="4752"/>
          </w:tcPr>
          <w:p>
            <w:r/>
            <w:r>
              <w:rPr>
                <w:sz w:val="18"/>
              </w:rPr>
              <w:t>§5.2 local travel exclusion and Engagement Letter §6: travel between Charlotte offices and 400 Tryon Tower is not reimbursable.</w:t>
            </w:r>
          </w:p>
        </w:tc>
      </w:tr>
      <w:tr>
        <w:tc>
          <w:tcPr>
            <w:tcW w:type="dxa" w:w="648"/>
          </w:tcPr>
          <w:p>
            <w:r/>
            <w:r>
              <w:rPr>
                <w:sz w:val="18"/>
              </w:rPr>
              <w:t>12</w:t>
            </w:r>
          </w:p>
        </w:tc>
        <w:tc>
          <w:tcPr>
            <w:tcW w:type="dxa" w:w="2304"/>
          </w:tcPr>
          <w:p>
            <w:r/>
            <w:r>
              <w:rPr>
                <w:sz w:val="18"/>
              </w:rPr>
              <w:t>Hotel, C. Aldridge, Washington D.C., 1 night @ $348</w:t>
            </w:r>
          </w:p>
        </w:tc>
        <w:tc>
          <w:tcPr>
            <w:tcW w:type="dxa" w:w="1152"/>
          </w:tcPr>
          <w:p>
            <w:r/>
            <w:r>
              <w:rPr>
                <w:sz w:val="18"/>
              </w:rPr>
              <w:t>$348.00</w:t>
            </w:r>
          </w:p>
        </w:tc>
        <w:tc>
          <w:tcPr>
            <w:tcW w:type="dxa" w:w="1152"/>
          </w:tcPr>
          <w:p>
            <w:r/>
            <w:r>
              <w:rPr>
                <w:sz w:val="18"/>
              </w:rPr>
              <w:t>$73.00</w:t>
            </w:r>
          </w:p>
        </w:tc>
        <w:tc>
          <w:tcPr>
            <w:tcW w:type="dxa" w:w="4752"/>
          </w:tcPr>
          <w:p>
            <w:r/>
            <w:r>
              <w:rPr>
                <w:sz w:val="18"/>
              </w:rPr>
              <w:t>§5.2 and App. A: D.C. is a Tier 1 city with a $275 cap. No pre-approval was obtained for extraordinary circumstances.</w:t>
            </w:r>
          </w:p>
        </w:tc>
      </w:tr>
      <w:tr>
        <w:tc>
          <w:tcPr>
            <w:tcW w:type="dxa" w:w="648"/>
          </w:tcPr>
          <w:p>
            <w:r/>
            <w:r>
              <w:rPr>
                <w:sz w:val="18"/>
              </w:rPr>
              <w:t>13</w:t>
            </w:r>
          </w:p>
        </w:tc>
        <w:tc>
          <w:tcPr>
            <w:tcW w:type="dxa" w:w="2304"/>
          </w:tcPr>
          <w:p>
            <w:r/>
            <w:r>
              <w:rPr>
                <w:sz w:val="18"/>
              </w:rPr>
              <w:t>Meals, C. Aldridge, Washington D.C.</w:t>
            </w:r>
          </w:p>
        </w:tc>
        <w:tc>
          <w:tcPr>
            <w:tcW w:type="dxa" w:w="1152"/>
          </w:tcPr>
          <w:p>
            <w:r/>
            <w:r>
              <w:rPr>
                <w:sz w:val="18"/>
              </w:rPr>
              <w:t>$96.00</w:t>
            </w:r>
          </w:p>
        </w:tc>
        <w:tc>
          <w:tcPr>
            <w:tcW w:type="dxa" w:w="1152"/>
          </w:tcPr>
          <w:p>
            <w:r/>
            <w:r>
              <w:rPr>
                <w:sz w:val="18"/>
              </w:rPr>
              <w:t>$21.00</w:t>
            </w:r>
          </w:p>
        </w:tc>
        <w:tc>
          <w:tcPr>
            <w:tcW w:type="dxa" w:w="4752"/>
          </w:tcPr>
          <w:p>
            <w:r/>
            <w:r>
              <w:rPr>
                <w:sz w:val="18"/>
              </w:rPr>
              <w:t>§5.2 cap of $75 per person per day. The description is too vague under §5.1.</w:t>
            </w:r>
          </w:p>
        </w:tc>
      </w:tr>
      <w:tr>
        <w:tc>
          <w:tcPr>
            <w:tcW w:type="dxa" w:w="648"/>
          </w:tcPr>
          <w:p>
            <w:r/>
            <w:r>
              <w:rPr>
                <w:sz w:val="18"/>
              </w:rPr>
              <w:t>15</w:t>
            </w:r>
          </w:p>
        </w:tc>
        <w:tc>
          <w:tcPr>
            <w:tcW w:type="dxa" w:w="2304"/>
          </w:tcPr>
          <w:p>
            <w:r/>
            <w:r>
              <w:rPr>
                <w:sz w:val="18"/>
              </w:rPr>
              <w:t>Internal photocopies, 12,400 pp @ $0.15</w:t>
            </w:r>
          </w:p>
        </w:tc>
        <w:tc>
          <w:tcPr>
            <w:tcW w:type="dxa" w:w="1152"/>
          </w:tcPr>
          <w:p>
            <w:r/>
            <w:r>
              <w:rPr>
                <w:sz w:val="18"/>
              </w:rPr>
              <w:t>$1,860.00</w:t>
            </w:r>
          </w:p>
        </w:tc>
        <w:tc>
          <w:tcPr>
            <w:tcW w:type="dxa" w:w="1152"/>
          </w:tcPr>
          <w:p>
            <w:r/>
            <w:r>
              <w:rPr>
                <w:sz w:val="18"/>
              </w:rPr>
              <w:t>$620.00</w:t>
            </w:r>
          </w:p>
        </w:tc>
        <w:tc>
          <w:tcPr>
            <w:tcW w:type="dxa" w:w="4752"/>
          </w:tcPr>
          <w:p>
            <w:r/>
            <w:r>
              <w:rPr>
                <w:sz w:val="18"/>
              </w:rPr>
              <w:t>§5.3 B&amp;W copies are capped at $0.10/page. Allowed amount is $1,240.00.</w:t>
            </w:r>
          </w:p>
        </w:tc>
      </w:tr>
      <w:tr>
        <w:tc>
          <w:tcPr>
            <w:tcW w:type="dxa" w:w="648"/>
          </w:tcPr>
          <w:p>
            <w:r/>
            <w:r>
              <w:rPr>
                <w:sz w:val="18"/>
              </w:rPr>
              <w:t>19</w:t>
            </w:r>
          </w:p>
        </w:tc>
        <w:tc>
          <w:tcPr>
            <w:tcW w:type="dxa" w:w="2304"/>
          </w:tcPr>
          <w:p>
            <w:r/>
            <w:r>
              <w:rPr>
                <w:sz w:val="18"/>
              </w:rPr>
              <w:t>Scanning/OCR, DataScan Solutions, $6,800</w:t>
            </w:r>
          </w:p>
        </w:tc>
        <w:tc>
          <w:tcPr>
            <w:tcW w:type="dxa" w:w="1152"/>
          </w:tcPr>
          <w:p>
            <w:r/>
            <w:r>
              <w:rPr>
                <w:sz w:val="18"/>
              </w:rPr>
              <w:t>$6,800.00</w:t>
            </w:r>
          </w:p>
        </w:tc>
        <w:tc>
          <w:tcPr>
            <w:tcW w:type="dxa" w:w="1152"/>
          </w:tcPr>
          <w:p>
            <w:r/>
            <w:r>
              <w:rPr>
                <w:sz w:val="18"/>
              </w:rPr>
              <w:t>$6,800.00</w:t>
            </w:r>
          </w:p>
        </w:tc>
        <w:tc>
          <w:tcPr>
            <w:tcW w:type="dxa" w:w="4752"/>
          </w:tcPr>
          <w:p>
            <w:r/>
            <w:r>
              <w:rPr>
                <w:sz w:val="18"/>
              </w:rPr>
              <w:t>§§5.1 and 5.3 require pre-approval for any single line item over $5,000. The log has no approval. Reject, or hold pending a discretionary retroactive request under §8.6.</w:t>
            </w:r>
          </w:p>
        </w:tc>
      </w:tr>
      <w:tr>
        <w:tc>
          <w:tcPr>
            <w:tcW w:type="dxa" w:w="648"/>
          </w:tcPr>
          <w:p>
            <w:r/>
            <w:r>
              <w:rPr>
                <w:sz w:val="18"/>
              </w:rPr>
              <w:t>22</w:t>
            </w:r>
          </w:p>
        </w:tc>
        <w:tc>
          <w:tcPr>
            <w:tcW w:type="dxa" w:w="2304"/>
          </w:tcPr>
          <w:p>
            <w:r/>
            <w:r>
              <w:rPr>
                <w:sz w:val="18"/>
              </w:rPr>
              <w:t>Dr. Hartsfield, May invoice ($32,500) together with Line 27 ($8,400)</w:t>
            </w:r>
          </w:p>
        </w:tc>
        <w:tc>
          <w:tcPr>
            <w:tcW w:type="dxa" w:w="1152"/>
          </w:tcPr>
          <w:p>
            <w:r/>
            <w:r>
              <w:rPr>
                <w:sz w:val="18"/>
              </w:rPr>
              <w:t>$40,900.00</w:t>
            </w:r>
          </w:p>
        </w:tc>
        <w:tc>
          <w:tcPr>
            <w:tcW w:type="dxa" w:w="1152"/>
          </w:tcPr>
          <w:p>
            <w:r/>
            <w:r>
              <w:rPr>
                <w:sz w:val="18"/>
              </w:rPr>
              <w:t>$5,900.00</w:t>
            </w:r>
          </w:p>
        </w:tc>
        <w:tc>
          <w:tcPr>
            <w:tcW w:type="dxa" w:w="4752"/>
          </w:tcPr>
          <w:p>
            <w:r/>
            <w:r>
              <w:rPr>
                <w:sz w:val="18"/>
              </w:rPr>
              <w:t>The pre-approval (Feb 12/14) capped Hartsfield at $35,000/month. May total is $40,900. Neither the Relationship Attorney nor the GC authorized the overage in advance, as §5.4 and the approval require. Reject the $5,900 excess. Line 27 is also a separate line over $5,000 (§5.1). Original expert invoices are required.</w:t>
            </w:r>
          </w:p>
        </w:tc>
      </w:tr>
      <w:tr>
        <w:tc>
          <w:tcPr>
            <w:tcW w:type="dxa" w:w="648"/>
          </w:tcPr>
          <w:p>
            <w:r/>
            <w:r>
              <w:rPr>
                <w:sz w:val="18"/>
              </w:rPr>
              <w:t>24</w:t>
            </w:r>
          </w:p>
        </w:tc>
        <w:tc>
          <w:tcPr>
            <w:tcW w:type="dxa" w:w="2304"/>
          </w:tcPr>
          <w:p>
            <w:r/>
            <w:r>
              <w:rPr>
                <w:sz w:val="18"/>
              </w:rPr>
              <w:t>Dr. Leonard Voss, vocational expert</w:t>
            </w:r>
          </w:p>
        </w:tc>
        <w:tc>
          <w:tcPr>
            <w:tcW w:type="dxa" w:w="1152"/>
          </w:tcPr>
          <w:p>
            <w:r/>
            <w:r>
              <w:rPr>
                <w:sz w:val="18"/>
              </w:rPr>
              <w:t>$4,200.00</w:t>
            </w:r>
          </w:p>
        </w:tc>
        <w:tc>
          <w:tcPr>
            <w:tcW w:type="dxa" w:w="1152"/>
          </w:tcPr>
          <w:p>
            <w:r/>
            <w:r>
              <w:rPr>
                <w:sz w:val="18"/>
              </w:rPr>
              <w:t>$4,200.00</w:t>
            </w:r>
          </w:p>
        </w:tc>
        <w:tc>
          <w:tcPr>
            <w:tcW w:type="dxa" w:w="4752"/>
          </w:tcPr>
          <w:p>
            <w:r/>
            <w:r>
              <w:rPr>
                <w:sz w:val="18"/>
              </w:rPr>
              <w:t>§5.4 requires written pre-approval before retaining any expert, whatever the cost. Voss is not in the log.</w:t>
            </w:r>
          </w:p>
        </w:tc>
      </w:tr>
      <w:tr>
        <w:tc>
          <w:tcPr>
            <w:tcW w:type="dxa" w:w="648"/>
          </w:tcPr>
          <w:p>
            <w:r/>
            <w:r>
              <w:rPr>
                <w:sz w:val="18"/>
              </w:rPr>
              <w:t>25</w:t>
            </w:r>
          </w:p>
        </w:tc>
        <w:tc>
          <w:tcPr>
            <w:tcW w:type="dxa" w:w="2304"/>
          </w:tcPr>
          <w:p>
            <w:r/>
            <w:r>
              <w:rPr>
                <w:sz w:val="18"/>
              </w:rPr>
              <w:t>GraphicWorks LLC, litigation graphics</w:t>
            </w:r>
          </w:p>
        </w:tc>
        <w:tc>
          <w:tcPr>
            <w:tcW w:type="dxa" w:w="1152"/>
          </w:tcPr>
          <w:p>
            <w:r/>
            <w:r>
              <w:rPr>
                <w:sz w:val="18"/>
              </w:rPr>
              <w:t>$7,850.00</w:t>
            </w:r>
          </w:p>
        </w:tc>
        <w:tc>
          <w:tcPr>
            <w:tcW w:type="dxa" w:w="1152"/>
          </w:tcPr>
          <w:p>
            <w:r/>
            <w:r>
              <w:rPr>
                <w:sz w:val="18"/>
              </w:rPr>
              <w:t>$7,850.00</w:t>
            </w:r>
          </w:p>
        </w:tc>
        <w:tc>
          <w:tcPr>
            <w:tcW w:type="dxa" w:w="4752"/>
          </w:tcPr>
          <w:p>
            <w:r/>
            <w:r>
              <w:rPr>
                <w:sz w:val="18"/>
              </w:rPr>
              <w:t>§5.4 treats graphics/demonstrative vendors as consultants, so pre-approval is required. The line also exceeds the §5.1 $5,000 threshold. Not in the log.</w:t>
            </w:r>
          </w:p>
        </w:tc>
      </w:tr>
      <w:tr>
        <w:tc>
          <w:tcPr>
            <w:tcW w:type="dxa" w:w="648"/>
          </w:tcPr>
          <w:p>
            <w:r/>
            <w:r>
              <w:rPr>
                <w:sz w:val="18"/>
              </w:rPr>
              <w:t>36</w:t>
            </w:r>
          </w:p>
        </w:tc>
        <w:tc>
          <w:tcPr>
            <w:tcW w:type="dxa" w:w="2304"/>
          </w:tcPr>
          <w:p>
            <w:r/>
            <w:r>
              <w:rPr>
                <w:sz w:val="18"/>
              </w:rPr>
              <w:t>FedEx overnight, office supplies to HWK office</w:t>
            </w:r>
          </w:p>
        </w:tc>
        <w:tc>
          <w:tcPr>
            <w:tcW w:type="dxa" w:w="1152"/>
          </w:tcPr>
          <w:p>
            <w:r/>
            <w:r>
              <w:rPr>
                <w:sz w:val="18"/>
              </w:rPr>
              <w:t>$18.50</w:t>
            </w:r>
          </w:p>
        </w:tc>
        <w:tc>
          <w:tcPr>
            <w:tcW w:type="dxa" w:w="1152"/>
          </w:tcPr>
          <w:p>
            <w:r/>
            <w:r>
              <w:rPr>
                <w:sz w:val="18"/>
              </w:rPr>
              <w:t>$18.50</w:t>
            </w:r>
          </w:p>
        </w:tc>
        <w:tc>
          <w:tcPr>
            <w:tcW w:type="dxa" w:w="4752"/>
          </w:tcPr>
          <w:p>
            <w:r/>
            <w:r>
              <w:rPr>
                <w:sz w:val="18"/>
              </w:rPr>
              <w:t>§5.6: shipping overhead items is not reimbursable. Office supplies are overhead under §5.1.</w:t>
            </w:r>
          </w:p>
        </w:tc>
      </w:tr>
      <w:tr>
        <w:tc>
          <w:tcPr>
            <w:tcW w:type="dxa" w:w="648"/>
          </w:tcPr>
          <w:p>
            <w:r/>
            <w:r>
              <w:rPr>
                <w:sz w:val="18"/>
              </w:rPr>
              <w:t>37</w:t>
            </w:r>
          </w:p>
        </w:tc>
        <w:tc>
          <w:tcPr>
            <w:tcW w:type="dxa" w:w="2304"/>
          </w:tcPr>
          <w:p>
            <w:r/>
            <w:r>
              <w:rPr>
                <w:sz w:val="18"/>
              </w:rPr>
              <w:t>Working lunch, Beale &amp; Yamashita, $118</w:t>
            </w:r>
          </w:p>
        </w:tc>
        <w:tc>
          <w:tcPr>
            <w:tcW w:type="dxa" w:w="1152"/>
          </w:tcPr>
          <w:p>
            <w:r/>
            <w:r>
              <w:rPr>
                <w:sz w:val="18"/>
              </w:rPr>
              <w:t>$118.00</w:t>
            </w:r>
          </w:p>
        </w:tc>
        <w:tc>
          <w:tcPr>
            <w:tcW w:type="dxa" w:w="1152"/>
          </w:tcPr>
          <w:p>
            <w:r/>
            <w:r>
              <w:rPr>
                <w:sz w:val="18"/>
              </w:rPr>
              <w:t>$18.00</w:t>
            </w:r>
          </w:p>
        </w:tc>
        <w:tc>
          <w:tcPr>
            <w:tcW w:type="dxa" w:w="4752"/>
          </w:tcPr>
          <w:p>
            <w:r/>
            <w:r>
              <w:rPr>
                <w:sz w:val="18"/>
              </w:rPr>
              <w:t>§5.7 working lunch cap is $50 per person, so $100 is allowed for two. The attendee qualifies (Pinnacle personnel).</w:t>
            </w:r>
          </w:p>
        </w:tc>
      </w:tr>
      <w:tr>
        <w:tc>
          <w:tcPr>
            <w:tcW w:type="dxa" w:w="648"/>
          </w:tcPr>
          <w:p>
            <w:r/>
            <w:r>
              <w:rPr>
                <w:sz w:val="18"/>
              </w:rPr>
              <w:t>38</w:t>
            </w:r>
          </w:p>
        </w:tc>
        <w:tc>
          <w:tcPr>
            <w:tcW w:type="dxa" w:w="2304"/>
          </w:tcPr>
          <w:p>
            <w:r/>
            <w:r>
              <w:rPr>
                <w:sz w:val="18"/>
              </w:rPr>
              <w:t>Working dinner, HWK team + two summer associates, $612</w:t>
            </w:r>
          </w:p>
        </w:tc>
        <w:tc>
          <w:tcPr>
            <w:tcW w:type="dxa" w:w="1152"/>
          </w:tcPr>
          <w:p>
            <w:r/>
            <w:r>
              <w:rPr>
                <w:sz w:val="18"/>
              </w:rPr>
              <w:t>$612.00</w:t>
            </w:r>
          </w:p>
        </w:tc>
        <w:tc>
          <w:tcPr>
            <w:tcW w:type="dxa" w:w="1152"/>
          </w:tcPr>
          <w:p>
            <w:r/>
            <w:r>
              <w:rPr>
                <w:sz w:val="18"/>
              </w:rPr>
              <w:t>$612.00</w:t>
            </w:r>
          </w:p>
        </w:tc>
        <w:tc>
          <w:tcPr>
            <w:tcW w:type="dxa" w:w="4752"/>
          </w:tcPr>
          <w:p>
            <w:r/>
            <w:r>
              <w:rPr>
                <w:sz w:val="18"/>
              </w:rPr>
              <w:t>§5.7: meals attended only by Firm personnel are not reimbursable. Summer associate involvement is also non-billable under §3.5. The amount would exceed the $85 per-person cap anyway ($425 for 5).</w:t>
            </w:r>
          </w:p>
        </w:tc>
      </w:tr>
      <w:tr>
        <w:tc>
          <w:tcPr>
            <w:tcW w:type="dxa" w:w="648"/>
          </w:tcPr>
          <w:p>
            <w:r/>
            <w:r>
              <w:rPr>
                <w:sz w:val="18"/>
              </w:rPr>
              <w:t>39</w:t>
            </w:r>
          </w:p>
        </w:tc>
        <w:tc>
          <w:tcPr>
            <w:tcW w:type="dxa" w:w="2304"/>
          </w:tcPr>
          <w:p>
            <w:r/>
            <w:r>
              <w:rPr>
                <w:sz w:val="18"/>
              </w:rPr>
              <w:t>Working lunch, M. Beale, solo at desk</w:t>
            </w:r>
          </w:p>
        </w:tc>
        <w:tc>
          <w:tcPr>
            <w:tcW w:type="dxa" w:w="1152"/>
          </w:tcPr>
          <w:p>
            <w:r/>
            <w:r>
              <w:rPr>
                <w:sz w:val="18"/>
              </w:rPr>
              <w:t>$24.00</w:t>
            </w:r>
          </w:p>
        </w:tc>
        <w:tc>
          <w:tcPr>
            <w:tcW w:type="dxa" w:w="1152"/>
          </w:tcPr>
          <w:p>
            <w:r/>
            <w:r>
              <w:rPr>
                <w:sz w:val="18"/>
              </w:rPr>
              <w:t>$24.00</w:t>
            </w:r>
          </w:p>
        </w:tc>
        <w:tc>
          <w:tcPr>
            <w:tcW w:type="dxa" w:w="4752"/>
          </w:tcPr>
          <w:p>
            <w:r/>
            <w:r>
              <w:rPr>
                <w:sz w:val="18"/>
              </w:rPr>
              <w:t>§5.7: a solo meal by Firm personnel is overhead. Also, no deposition took place on 5/21.</w:t>
            </w:r>
          </w:p>
        </w:tc>
      </w:tr>
      <w:tr>
        <w:tc>
          <w:tcPr>
            <w:tcW w:type="dxa" w:w="648"/>
          </w:tcPr>
          <w:p>
            <w:r/>
            <w:r>
              <w:rPr>
                <w:sz w:val="18"/>
              </w:rPr>
              <w:t>40</w:t>
            </w:r>
          </w:p>
        </w:tc>
        <w:tc>
          <w:tcPr>
            <w:tcW w:type="dxa" w:w="2304"/>
          </w:tcPr>
          <w:p>
            <w:r/>
            <w:r>
              <w:rPr>
                <w:sz w:val="18"/>
              </w:rPr>
              <w:t>Working dinner, Aldridge &amp; Beale with plaintiff's counsel</w:t>
            </w:r>
          </w:p>
        </w:tc>
        <w:tc>
          <w:tcPr>
            <w:tcW w:type="dxa" w:w="1152"/>
          </w:tcPr>
          <w:p>
            <w:r/>
            <w:r>
              <w:rPr>
                <w:sz w:val="18"/>
              </w:rPr>
              <w:t>$247.00</w:t>
            </w:r>
          </w:p>
        </w:tc>
        <w:tc>
          <w:tcPr>
            <w:tcW w:type="dxa" w:w="1152"/>
          </w:tcPr>
          <w:p>
            <w:r/>
            <w:r>
              <w:rPr>
                <w:sz w:val="18"/>
              </w:rPr>
              <w:t>$247.00</w:t>
            </w:r>
          </w:p>
        </w:tc>
        <w:tc>
          <w:tcPr>
            <w:tcW w:type="dxa" w:w="4752"/>
          </w:tcPr>
          <w:p>
            <w:r/>
            <w:r>
              <w:rPr>
                <w:sz w:val="18"/>
              </w:rPr>
              <w:t>§5.7 only covers meals with Pinnacle personnel or third-party witnesses or parties. Opposing counsel is neither, so this reads as entertainment. The description also leaves out attendee names and titles (§5.7(iii)). The Firm may resubmit with justification.</w:t>
            </w:r>
          </w:p>
        </w:tc>
      </w:tr>
      <w:tr>
        <w:tc>
          <w:tcPr>
            <w:tcW w:type="dxa" w:w="648"/>
          </w:tcPr>
          <w:p>
            <w:r/>
            <w:r>
              <w:rPr>
                <w:sz w:val="18"/>
              </w:rPr>
              <w:t>41</w:t>
            </w:r>
          </w:p>
        </w:tc>
        <w:tc>
          <w:tcPr>
            <w:tcW w:type="dxa" w:w="2304"/>
          </w:tcPr>
          <w:p>
            <w:r/>
            <w:r>
              <w:rPr>
                <w:sz w:val="18"/>
              </w:rPr>
              <w:t>Relativity hosting, 2.4 TB, $14,200</w:t>
            </w:r>
          </w:p>
        </w:tc>
        <w:tc>
          <w:tcPr>
            <w:tcW w:type="dxa" w:w="1152"/>
          </w:tcPr>
          <w:p>
            <w:r/>
            <w:r>
              <w:rPr>
                <w:sz w:val="18"/>
              </w:rPr>
              <w:t>$14,200.00</w:t>
            </w:r>
          </w:p>
        </w:tc>
        <w:tc>
          <w:tcPr>
            <w:tcW w:type="dxa" w:w="1152"/>
          </w:tcPr>
          <w:p>
            <w:r/>
            <w:r>
              <w:rPr>
                <w:sz w:val="18"/>
              </w:rPr>
              <w:t>$2,200.00</w:t>
            </w:r>
          </w:p>
        </w:tc>
        <w:tc>
          <w:tcPr>
            <w:tcW w:type="dxa" w:w="4752"/>
          </w:tcPr>
          <w:p>
            <w:r/>
            <w:r>
              <w:rPr>
                <w:sz w:val="18"/>
              </w:rPr>
              <w:t>The Nov 12, 2024 pre-approval capped hosting at $12,000/month. No re-authorization was obtained (§5.8(b)).</w:t>
            </w:r>
          </w:p>
        </w:tc>
      </w:tr>
      <w:tr>
        <w:tc>
          <w:tcPr>
            <w:tcW w:type="dxa" w:w="648"/>
          </w:tcPr>
          <w:p>
            <w:r/>
            <w:r>
              <w:rPr>
                <w:sz w:val="18"/>
              </w:rPr>
              <w:t>42</w:t>
            </w:r>
          </w:p>
        </w:tc>
        <w:tc>
          <w:tcPr>
            <w:tcW w:type="dxa" w:w="2304"/>
          </w:tcPr>
          <w:p>
            <w:r/>
            <w:r>
              <w:rPr>
                <w:sz w:val="18"/>
              </w:rPr>
              <w:t>Westlaw research charges</w:t>
            </w:r>
          </w:p>
        </w:tc>
        <w:tc>
          <w:tcPr>
            <w:tcW w:type="dxa" w:w="1152"/>
          </w:tcPr>
          <w:p>
            <w:r/>
            <w:r>
              <w:rPr>
                <w:sz w:val="18"/>
              </w:rPr>
              <w:t>$3,870.00</w:t>
            </w:r>
          </w:p>
        </w:tc>
        <w:tc>
          <w:tcPr>
            <w:tcW w:type="dxa" w:w="1152"/>
          </w:tcPr>
          <w:p>
            <w:r/>
            <w:r>
              <w:rPr>
                <w:sz w:val="18"/>
              </w:rPr>
              <w:t>$3,870.00</w:t>
            </w:r>
          </w:p>
        </w:tc>
        <w:tc>
          <w:tcPr>
            <w:tcW w:type="dxa" w:w="4752"/>
          </w:tcPr>
          <w:p>
            <w:r/>
            <w:r>
              <w:rPr>
                <w:sz w:val="18"/>
              </w:rPr>
              <w:t>§§5.1 and 5.8, App. C (E106), and Engagement Letter §6(g): legal research is overhead and is automatically rejected.</w:t>
            </w:r>
          </w:p>
        </w:tc>
      </w:tr>
      <w:tr>
        <w:tc>
          <w:tcPr>
            <w:tcW w:type="dxa" w:w="648"/>
          </w:tcPr>
          <w:p>
            <w:r/>
            <w:r>
              <w:rPr>
                <w:sz w:val="18"/>
              </w:rPr>
              <w:t>43</w:t>
            </w:r>
          </w:p>
        </w:tc>
        <w:tc>
          <w:tcPr>
            <w:tcW w:type="dxa" w:w="2304"/>
          </w:tcPr>
          <w:p>
            <w:r/>
            <w:r>
              <w:rPr>
                <w:sz w:val="18"/>
              </w:rPr>
              <w:t>Video conferencing platform license</w:t>
            </w:r>
          </w:p>
        </w:tc>
        <w:tc>
          <w:tcPr>
            <w:tcW w:type="dxa" w:w="1152"/>
          </w:tcPr>
          <w:p>
            <w:r/>
            <w:r>
              <w:rPr>
                <w:sz w:val="18"/>
              </w:rPr>
              <w:t>$125.00</w:t>
            </w:r>
          </w:p>
        </w:tc>
        <w:tc>
          <w:tcPr>
            <w:tcW w:type="dxa" w:w="1152"/>
          </w:tcPr>
          <w:p>
            <w:r/>
            <w:r>
              <w:rPr>
                <w:sz w:val="18"/>
              </w:rPr>
              <w:t>$125.00</w:t>
            </w:r>
          </w:p>
        </w:tc>
        <w:tc>
          <w:tcPr>
            <w:tcW w:type="dxa" w:w="4752"/>
          </w:tcPr>
          <w:p>
            <w:r/>
            <w:r>
              <w:rPr>
                <w:sz w:val="18"/>
              </w:rPr>
              <w:t>§5.8: routine video conferencing platform licenses are overhead.</w:t>
            </w:r>
          </w:p>
        </w:tc>
      </w:tr>
      <w:tr>
        <w:tc>
          <w:tcPr>
            <w:tcW w:type="dxa" w:w="648"/>
          </w:tcPr>
          <w:p>
            <w:r/>
            <w:r>
              <w:rPr>
                <w:sz w:val="18"/>
              </w:rPr>
              <w:t>44</w:t>
            </w:r>
          </w:p>
        </w:tc>
        <w:tc>
          <w:tcPr>
            <w:tcW w:type="dxa" w:w="2304"/>
          </w:tcPr>
          <w:p>
            <w:r/>
            <w:r>
              <w:rPr>
                <w:sz w:val="18"/>
              </w:rPr>
              <w:t>Predictive coding module license, $2,200</w:t>
            </w:r>
          </w:p>
        </w:tc>
        <w:tc>
          <w:tcPr>
            <w:tcW w:type="dxa" w:w="1152"/>
          </w:tcPr>
          <w:p>
            <w:r/>
            <w:r>
              <w:rPr>
                <w:sz w:val="18"/>
              </w:rPr>
              <w:t>$2,200.00</w:t>
            </w:r>
          </w:p>
        </w:tc>
        <w:tc>
          <w:tcPr>
            <w:tcW w:type="dxa" w:w="1152"/>
          </w:tcPr>
          <w:p>
            <w:r/>
            <w:r>
              <w:rPr>
                <w:sz w:val="18"/>
              </w:rPr>
              <w:t>$2,200.00</w:t>
            </w:r>
          </w:p>
        </w:tc>
        <w:tc>
          <w:tcPr>
            <w:tcW w:type="dxa" w:w="4752"/>
          </w:tcPr>
          <w:p>
            <w:r/>
            <w:r>
              <w:rPr>
                <w:sz w:val="18"/>
              </w:rPr>
              <w:t>§5.8(a) counts predictive coding/TAR as e-discovery processing, which falls under the $12,000 monthly cap. That cap is already exceeded by Line 41. Reject unless Relativity approval is expanded.</w:t>
            </w:r>
          </w:p>
        </w:tc>
      </w:tr>
      <w:tr>
        <w:tc>
          <w:tcPr>
            <w:tcW w:type="dxa" w:w="648"/>
          </w:tcPr>
          <w:p>
            <w:r/>
            <w:r>
              <w:rPr>
                <w:sz w:val="18"/>
              </w:rPr>
              <w:t>45</w:t>
            </w:r>
          </w:p>
        </w:tc>
        <w:tc>
          <w:tcPr>
            <w:tcW w:type="dxa" w:w="2304"/>
          </w:tcPr>
          <w:p>
            <w:r/>
            <w:r>
              <w:rPr>
                <w:sz w:val="18"/>
              </w:rPr>
              <w:t>Contract attorney R. Chen, 142 hrs @ $75</w:t>
            </w:r>
          </w:p>
        </w:tc>
        <w:tc>
          <w:tcPr>
            <w:tcW w:type="dxa" w:w="1152"/>
          </w:tcPr>
          <w:p>
            <w:r/>
            <w:r>
              <w:rPr>
                <w:sz w:val="18"/>
              </w:rPr>
              <w:t>$10,650.00</w:t>
            </w:r>
          </w:p>
        </w:tc>
        <w:tc>
          <w:tcPr>
            <w:tcW w:type="dxa" w:w="1152"/>
          </w:tcPr>
          <w:p>
            <w:r/>
            <w:r>
              <w:rPr>
                <w:sz w:val="18"/>
              </w:rPr>
              <w:t>$1,420.00</w:t>
            </w:r>
          </w:p>
        </w:tc>
        <w:tc>
          <w:tcPr>
            <w:tcW w:type="dxa" w:w="4752"/>
          </w:tcPr>
          <w:p>
            <w:r/>
            <w:r>
              <w:rPr>
                <w:sz w:val="18"/>
              </w:rPr>
              <w:t>§5.9 caps contract attorneys at $65/hr. The Apr 22 approval expressly denied the $75 rate. Allowed amount is 142 × $65 = $9,230.</w:t>
            </w:r>
          </w:p>
        </w:tc>
      </w:tr>
      <w:tr>
        <w:tc>
          <w:tcPr>
            <w:tcW w:type="dxa" w:w="648"/>
          </w:tcPr>
          <w:p>
            <w:r/>
            <w:r>
              <w:rPr>
                <w:sz w:val="18"/>
              </w:rPr>
              <w:t>47</w:t>
            </w:r>
          </w:p>
        </w:tc>
        <w:tc>
          <w:tcPr>
            <w:tcW w:type="dxa" w:w="2304"/>
          </w:tcPr>
          <w:p>
            <w:r/>
            <w:r>
              <w:rPr>
                <w:sz w:val="18"/>
              </w:rPr>
              <w:t>Contract attorney A. Brooks, 96 hrs @ $65</w:t>
            </w:r>
          </w:p>
        </w:tc>
        <w:tc>
          <w:tcPr>
            <w:tcW w:type="dxa" w:w="1152"/>
          </w:tcPr>
          <w:p>
            <w:r/>
            <w:r>
              <w:rPr>
                <w:sz w:val="18"/>
              </w:rPr>
              <w:t>$6,240.00</w:t>
            </w:r>
          </w:p>
        </w:tc>
        <w:tc>
          <w:tcPr>
            <w:tcW w:type="dxa" w:w="1152"/>
          </w:tcPr>
          <w:p>
            <w:r/>
            <w:r>
              <w:rPr>
                <w:sz w:val="18"/>
              </w:rPr>
              <w:t>$6,240.00</w:t>
            </w:r>
          </w:p>
        </w:tc>
        <w:tc>
          <w:tcPr>
            <w:tcW w:type="dxa" w:w="4752"/>
          </w:tcPr>
          <w:p>
            <w:r/>
            <w:r>
              <w:rPr>
                <w:sz w:val="18"/>
              </w:rPr>
              <w:t>§5.9 requires each contract attorney to be approved separately. Brooks is not in the log (only Chen and Mehta).</w:t>
            </w:r>
          </w:p>
        </w:tc>
      </w:tr>
      <w:tr>
        <w:tc>
          <w:tcPr>
            <w:tcW w:type="dxa" w:w="648"/>
          </w:tcPr>
          <w:p>
            <w:r/>
            <w:r>
              <w:rPr>
                <w:sz w:val="18"/>
              </w:rPr>
            </w:r>
          </w:p>
        </w:tc>
        <w:tc>
          <w:tcPr>
            <w:tcW w:type="dxa" w:w="2304"/>
          </w:tcPr>
          <w:p>
            <w:r/>
            <w:r>
              <w:rPr>
                <w:sz w:val="18"/>
              </w:rPr>
              <w:t>TOTAL</w:t>
            </w:r>
          </w:p>
        </w:tc>
        <w:tc>
          <w:tcPr>
            <w:tcW w:type="dxa" w:w="1152"/>
          </w:tcPr>
          <w:p>
            <w:r/>
            <w:r>
              <w:rPr>
                <w:sz w:val="18"/>
              </w:rPr>
            </w:r>
          </w:p>
        </w:tc>
        <w:tc>
          <w:tcPr>
            <w:tcW w:type="dxa" w:w="1152"/>
          </w:tcPr>
          <w:p>
            <w:r/>
            <w:r>
              <w:rPr>
                <w:sz w:val="18"/>
              </w:rPr>
              <w:t>$42,695.30</w:t>
            </w:r>
          </w:p>
        </w:tc>
        <w:tc>
          <w:tcPr>
            <w:tcW w:type="dxa" w:w="4752"/>
          </w:tcPr>
          <w:p>
            <w:r/>
            <w:r>
              <w:rPr>
                <w:sz w:val="18"/>
              </w:rPr>
            </w:r>
          </w:p>
        </w:tc>
      </w:tr>
    </w:tbl>
    <w:p/>
    <w:p>
      <w:pPr>
        <w:pStyle w:val="Heading1"/>
      </w:pPr>
      <w:r>
        <w:t>4. Items Requiring Documentation or Clarification (No Reduction Quantified)</w:t>
      </w:r>
    </w:p>
    <w:p>
      <w:pPr>
        <w:pStyle w:val="ListBullet"/>
      </w:pPr>
      <w:r>
        <w:t>Line 14 – Rental car, full-size sedan ($127.00). §5.2 allows only mid-size vehicles. Reimburse at the documented mid-size rate for the same day and location, and ask HWK to show that a mid-size car was unavailable. The difference should be deducted once known.</w:t>
      </w:r>
    </w:p>
    <w:p>
      <w:pPr>
        <w:pStyle w:val="ListBullet"/>
      </w:pPr>
      <w:r>
        <w:t>Lines 1, 2, 11 – Airfare. The amounts are consistent with the approved coach estimate ($450–$500). Confirm by receipt that the D.C. flight (Line 11) was coach class.</w:t>
      </w:r>
    </w:p>
    <w:p>
      <w:pPr>
        <w:pStyle w:val="ListBullet"/>
      </w:pPr>
      <w:r>
        <w:t>Lines 17, 18 – Copyland Express outside printing ($3,475 and $2,180). Under §5.3 these are billed at actual cost and need the vendor invoice. Line 17 is described as 'trial exhibit binders' even though trial is set for February 2026. Confirm the purpose.</w:t>
      </w:r>
    </w:p>
    <w:p>
      <w:pPr>
        <w:pStyle w:val="ListBullet"/>
      </w:pPr>
      <w:r>
        <w:t>Line 28 – $52 'filing fee, motion to compel.' W.D.N.C. does not normally charge a fee to file a motion through CM/ECF. Request the court receipt.</w:t>
      </w:r>
    </w:p>
    <w:p>
      <w:pPr>
        <w:pStyle w:val="ListBullet"/>
      </w:pPr>
      <w:r>
        <w:t>Line 32 – FedEx overnight of a 'class certification motion to court' (5/1). Filings are made via CM/ECF, and HWK's class certification opposition was not filed until 5/23. Request an explanation (§5.6 time-sensitivity).</w:t>
      </w:r>
    </w:p>
    <w:p>
      <w:pPr>
        <w:pStyle w:val="ListBullet"/>
      </w:pPr>
      <w:r>
        <w:t>Line 34 – Charlotte local courier of mediation materials to 'Judge Royce's office.' The Firm's own entries place the mediator in Washington, D.C. Confirm the destination and contents.</w:t>
      </w:r>
    </w:p>
    <w:p>
      <w:pPr>
        <w:pStyle w:val="ListBullet"/>
      </w:pPr>
      <w:r>
        <w:t>Lines 26, 23, 27 – TechForensic ($5,100) matches its approval. Redmond ($18,750) is within its $20,000 cap. Allowed amounts for all expert and consultant lines depend on receiving original invoices showing no markup (§5.4).</w:t>
      </w:r>
    </w:p>
    <w:p>
      <w:pPr>
        <w:pStyle w:val="ListBullet"/>
      </w:pPr>
      <w:r>
        <w:t>Travel meal lines (5, 6, 7, 13) use generic 'Meals' descriptions that do not meet §5.1/§5.2. Request itemized receipts and confirm alcohol was excluded. If alcohol was not deducted, §5.2 allows rejecting the whole meal charge.</w:t>
      </w:r>
    </w:p>
    <w:p>
      <w:pPr>
        <w:pStyle w:val="Heading1"/>
      </w:pPr>
      <w:r>
        <w:t>5. Compliant Lines</w:t>
      </w:r>
    </w:p>
    <w:p>
      <w:r>
        <w:t>No exceptions were found for Lines 1, 2, 7, 8, 9, 11, 16, 18, 20, 21, 23, 26, 29, 30, 31, 33, 35 and 46, subject to the documentation points above. Line 46 (S. Mehta, 168 hrs at $65/hr) matches its approval.</w:t>
      </w:r>
    </w:p>
    <w:p>
      <w:pPr>
        <w:pStyle w:val="Heading1"/>
      </w:pPr>
      <w:r>
        <w:t>6. Other Observations (Outside Disbursement Scope)</w:t>
      </w:r>
    </w:p>
    <w:p>
      <w:pPr>
        <w:pStyle w:val="ListBullet"/>
      </w:pPr>
      <w:r>
        <w:t>Payment terms: the invoice says 'Net 30 days' (due July 3, 2025). The Engagement Letter §5 and Guidelines §8.5 provide net 45 days from receipt of a compliant invoice. The 45-day clock should not start until a corrected invoice arrives.</w:t>
      </w:r>
    </w:p>
    <w:p>
      <w:pPr>
        <w:pStyle w:val="ListBullet"/>
      </w:pPr>
      <w:r>
        <w:t>Rates: Taro Nakamura is billed at $575/hr, but Exhibit A sets $625/hr. This underbilling favors Pinnacle, but HWK should confirm it will not try to recover the difference later.</w:t>
      </w:r>
    </w:p>
    <w:p>
      <w:pPr>
        <w:pStyle w:val="ListBullet"/>
      </w:pPr>
      <w:r>
        <w:t>Professional fees: several time entries relate to disallowed items. These include coordinating GraphicWorks, DataScan and contract attorney review, the summer-associate dinner (Line 32), the telephonic hearing described as 'attend' (Line 62), and 'conference with billing department' and 'compile billing entries' (Lines 73 and 75), which are non-billable administrative work under §4.6. Consider these in the separate fee review.</w:t>
      </w:r>
    </w:p>
    <w:p>
      <w:pPr>
        <w:pStyle w:val="ListBullet"/>
      </w:pPr>
      <w:r>
        <w:t>The travel time entries (Lines 5, 9, 26, 29, 36) appear to be billed at full rate, not the 50% required by §4.5 and Engagement Letter §4. Recommend a separate fee-side adjustment.</w:t>
      </w:r>
    </w:p>
    <w:p>
      <w:pPr>
        <w:pStyle w:val="Heading1"/>
      </w:pPr>
      <w:r>
        <w:t>7. Recommended Next Steps</w:t>
      </w:r>
    </w:p>
    <w:p>
      <w:pPr>
        <w:pStyle w:val="ListNumber"/>
      </w:pPr>
      <w:r>
        <w:t>Get General Counsel approval for the total reduction of $42,695.30 (§8.2(b)).</w:t>
      </w:r>
    </w:p>
    <w:p>
      <w:pPr>
        <w:pStyle w:val="ListNumber"/>
      </w:pPr>
      <w:r>
        <w:t>Return the invoice to HWK to correct the arithmetic (§6.7), with written notice of each reduction and its basis within 15 business days (§8.3).</w:t>
      </w:r>
    </w:p>
    <w:p>
      <w:pPr>
        <w:pStyle w:val="ListNumber"/>
      </w:pPr>
      <w:r>
        <w:t>Hold Lines 19, 24, 25, 47 and the Hartsfield/Relativity overages unpaid until any retroactive approval request under §8.6 is decided. Retroactive approval is discretionary. For the Hartsfield overage, only the General Counsel can grant it.</w:t>
      </w:r>
    </w:p>
    <w:p>
      <w:pPr>
        <w:pStyle w:val="ListNumber"/>
      </w:pPr>
      <w:r>
        <w:t>Ask for the supporting documentation listed in Section 4, due within 5 business days (§5.1, §6.6).</w:t>
      </w:r>
    </w:p>
    <w:p>
      <w:pPr>
        <w:pStyle w:val="ListNumber"/>
      </w:pPr>
      <w:r>
        <w:t>Remind HWK in writing that approval for one contract attorney does not extend to another. Also remind them that budget caps for experts and e-discovery require re-authorization before any overage is incurred.</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