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hd w:fill="1A7A4A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  CARBON CREDITS  </w:t>
      </w:r>
    </w:p>
    <w:p>
      <w:pPr>
        <w:shd w:fill="145C37" w:val="clear"/>
        <w:spacing w:after="60" w:before="60"/>
        <w:jc w:val="center"/>
      </w:pPr>
      <w:r>
        <w:rPr>
          <w:rFonts w:ascii="Arial" w:cs="Arial" w:eastAsia="Arial" w:hAnsi="Arial"/>
          <w:b/>
          <w:bCs/>
          <w:color w:val="C6E8D4"/>
          <w:sz w:val="32"/>
          <w:szCs w:val="32"/>
        </w:rPr>
        <w:t xml:space="preserve">  The Complete Master Documentation  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2E8B57"/>
          <w:sz w:val="22"/>
          <w:szCs w:val="22"/>
        </w:rPr>
        <w:t xml:space="preserve">What They Are · How They Work · Who Needs Them · Who Can Make Them · How to Trade Them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Markets · Regulations · Pricing · Verification · Exchanges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Updated: April 2026  |  Based on 2025–2026 Market Data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hd w:fill="1A7A4A" w:val="clear"/>
        <w:spacing w:after="200" w:before="400"/>
        <w:ind w:left="360" w:righ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01. WHAT ARE CARBON CREDITS?</w:t>
      </w:r>
    </w:p>
    <w:p>
      <w:pPr>
        <w:spacing w:after="40" w:before="40"/>
      </w:pPr>
      <w:r>
        <w:t xml:space="preserve"/>
      </w:r>
    </w:p>
    <w:p>
      <w:pPr>
        <w:pBdr>
          <w:left w:val="single" w:color="1A7A4A" w:sz="18" w:space="6"/>
        </w:pBdr>
        <w:shd w:fill="E8F5EE" w:val="clear"/>
        <w:spacing w:after="160" w:before="160"/>
        <w:ind w:left="360" w:right="360"/>
      </w:pPr>
      <w:r>
        <w:rPr>
          <w:rFonts w:ascii="Arial" w:cs="Arial" w:eastAsia="Arial" w:hAnsi="Arial"/>
          <w:b w:val="false"/>
          <w:bCs w:val="false"/>
          <w:i/>
          <w:iCs/>
          <w:color w:val="145C37"/>
          <w:sz w:val="22"/>
          <w:szCs w:val="22"/>
        </w:rPr>
        <w:t xml:space="preserve">One carbon credit = the right to emit (or the verified removal of) exactly 1 metric ton of CO₂ equivalent (CO₂e) from the atmosphere.</w:t>
      </w:r>
    </w:p>
    <w:p>
      <w:pPr>
        <w:spacing w:after="40" w:before="4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Carbon credits are tradeable certificates that represent a unit of greenhouse gas (GHG) emissions reduced, avoided, or removed from the atmosphere. Think of them as a financial instrument for the atmosphere — each credit carries a precise, verified environmental claim.</w:t>
      </w:r>
    </w:p>
    <w:p>
      <w:pPr>
        <w:spacing w:after="40" w:before="4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The concept is elegantly simple: some activities produce carbon (factories, airlines, power plants), while other activities remove or prevent it (forests, renewable energy, methane capture). Carbon credits connect these two worlds by creating a market where the reductions fund themselves.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1A7A4A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45C37"/>
          <w:sz w:val="30"/>
          <w:szCs w:val="30"/>
        </w:rPr>
        <w:t xml:space="preserve">1.1  The Core Mechanics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Every credit is backed by three non-negotiable claims: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Real: The emission reduction actually happened — it is not hypothetical.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Additional: It would NOT have happened without the specific carbon project funding 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Permanent: The reduction is not temporary or easily reversible.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Verifiable: An independent third party has audited and confirmed the reduction.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Uniquely counted: Each credit can only be claimed once — retired forever after use.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1A7A4A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45C37"/>
          <w:sz w:val="30"/>
          <w:szCs w:val="30"/>
        </w:rPr>
        <w:t xml:space="preserve">1.2  Key Terminology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145C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145C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CO₂e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Carbon Dioxide Equivalent — a standard unit measuring all greenhouse gases in CO₂ terms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Carbon Credit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 certificate = 1 tonne CO₂e reduced, avoided, or removed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Carbon Offset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Credits purchased to compensate for emissions produced elsewhere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Allowance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Government-issued credit under a compliance market (permit to emit)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Retirement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Permanently cancelling a credit so it can never be sold again — marks the actual offset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MRV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Monitoring, Reporting, and Verification — the audit system ensuring credits are real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Registry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Public database tracking every credit issued, sold, and retired (like a stock exchange ledger)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Vintage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 year the emission reduction occurred — older vintages can trade at a discount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Additionality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 project would not have reduced emissions without carbon credit financing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1A7A4A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45C37"/>
          <w:sz w:val="30"/>
          <w:szCs w:val="30"/>
        </w:rPr>
        <w:t xml:space="preserve">1.3  The Two Major Market Types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The entire carbon credit world splits into two distinct systems: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145C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145C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COMPLIANCE MARKET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145C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VOLUNTARY MARKET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Who?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Mandatory — regulated industries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Optional — any company or individual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Why?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Legal obligation — fines if not complied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ESG goals, net-zero pledges, brand reputation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Governed by?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Governments (EU, China, US states, etc.)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Private bodies: Verra, Gold Standard, ICVCM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Price (2025)?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€65–80/tonne (EU ETS), $25–35/tonne (CA)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$4–24/tonne avg, up to $500 for tech removal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Market Size?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~$800B+ trading volume (EU ETS alone)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~$15.8B in 2025, projected $120B by 2030</w:t>
            </w:r>
          </w:p>
        </w:tc>
      </w:tr>
    </w:tbl>
    <w:p>
      <w:r>
        <w:br w:type="page"/>
      </w:r>
    </w:p>
    <w:p>
      <w:pPr>
        <w:pStyle w:val="Heading1"/>
        <w:shd w:fill="1A7A4A" w:val="clear"/>
        <w:spacing w:after="200" w:before="400"/>
        <w:ind w:left="360" w:righ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02. BUSINESSES THAT MUST BUY CARBON CREDITS</w:t>
      </w:r>
    </w:p>
    <w:p>
      <w:pPr>
        <w:spacing w:after="40" w:before="40"/>
      </w:pPr>
      <w:r>
        <w:t xml:space="preserve"/>
      </w:r>
    </w:p>
    <w:p>
      <w:pPr>
        <w:pBdr>
          <w:left w:val="single" w:color="1A7A4A" w:sz="18" w:space="6"/>
        </w:pBdr>
        <w:shd w:fill="E8F5EE" w:val="clear"/>
        <w:spacing w:after="160" w:before="160"/>
        <w:ind w:left="360" w:right="360"/>
      </w:pPr>
      <w:r>
        <w:rPr>
          <w:rFonts w:ascii="Arial" w:cs="Arial" w:eastAsia="Arial" w:hAnsi="Arial"/>
          <w:b w:val="false"/>
          <w:bCs w:val="false"/>
          <w:i/>
          <w:iCs/>
          <w:color w:val="145C37"/>
          <w:sz w:val="22"/>
          <w:szCs w:val="22"/>
        </w:rPr>
        <w:t xml:space="preserve">These industries are legally obligated under compliance markets. Non-compliance means heavy financial penalties — sometimes thousands of euros per excess tonne.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1A7A4A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45C37"/>
          <w:sz w:val="30"/>
          <w:szCs w:val="30"/>
        </w:rPr>
        <w:t xml:space="preserve">2.1  Mandatory Sectors (Global Overview)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Under the world's major Emissions Trading Systems (ETS), the following sectors are legally required to hold credits equal to their emissions: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Power Generation &amp; Utilities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Coal, gas, and oil power plants are the single largest regulated category globally. They receive or purchase allowances and must surrender one for every tonne emitted.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EU ETS: Covers every power plant above 20MW thermal capacity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China ETS: Covers the entire power sector — largest by volume worldwide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California ETS: Covers electricity generators and importers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RGGI (US Northeast): Power plants specifically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Heavy Manufacturing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Energy-intensive industries producing bulk materials face mandatory compliance: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Cement &amp; Lime manufacturing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Iron &amp; Steel production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Aluminium smelting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Glass manufacturing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Ceramics and bricks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Paper &amp; Pulp mills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Chemical and petrochemical plants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Refineries and petroleum processing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Aviation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Airlines are regulated under two systems: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EU ETS: Intra-European flights are covered — airlines must hold allowances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CORSIA (Global): The Carbon Offsetting and Reduction Scheme for International Aviation, run by ICAO, requires airlines to offset growth in international emissions above 2019 levels. All international carriers participate from 2027 onwards.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Oil &amp; Gas and Fuel Suppliers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Petroleum refining is covered under EU ETS, California ETS, and others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Fuel distributors in some jurisdictions are 'obligated parties' — they must hold credits covering the carbon content of fuel they sell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Upstream gas producers in UK ETS and EU ETS must cover fugitive methane emissions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Shipping (Emerging)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The EU extended its ETS to shipping from January 2024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Ships above 5,000 GT entering EU ports must surrender allowances for 50% of their voyage emissions (rising to 100% by 2026)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1A7A4A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45C37"/>
          <w:sz w:val="30"/>
          <w:szCs w:val="30"/>
        </w:rPr>
        <w:t xml:space="preserve">2.2  Compliance Threshold Table (Key Programs)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2580"/>
        <w:gridCol w:w="2580"/>
      </w:tblGrid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145C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145C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145C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Who Is Covered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145C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Price (2025)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EU ETS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European Union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Power, heavy industry, aviation, shipping; 36% of EU emissions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~€65–80 /tonne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China ETS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China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Power sector; expanding to 7 more sectors by 2025–26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~$8–13 /tonne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California Cap-and-Trade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California, USA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Facilities &gt;25,000 tCO₂e/yr; 85% of state emissions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~$25–35 /tonne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UK ETS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United Kingdom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Power, aviation, heavy industry (post-Brexit system)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~£30–45 /tonne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RGGI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12 US States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Power plants only; &gt;50% emission reduction since 2009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~$15–20 /tonne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Canada OBPS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Canada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Industrial facilities above federal threshold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CAD $65 /tonne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CORSIA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Global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International airlines (all carriers from 2027)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$5–15 /tonne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1A7A4A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45C37"/>
          <w:sz w:val="30"/>
          <w:szCs w:val="30"/>
        </w:rPr>
        <w:t xml:space="preserve">2.3  Voluntary Buyers — Not Legally Forced, But Practically Compelled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Many companies are NOT in regulated sectors but still need carbon credits due 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Science-Based Targets (SBTi): Over 9,000 companies have committed to verified net-zero targets — they use credits for 'residual emissions' they cannot yet eliminate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Corporate Sustainability Reporting: ESG frameworks (GRI, TCFD, CDP) require carbon disclosure and compensation claims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Customer &amp; Investor Pressure: Supply chain sustainability requirements push smaller suppliers to offset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Carbon Neutral Products: Brands like consumer goods, clothing, and tech companies offset product lifecycles voluntarily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Net-Zero Pledges: Companies publicly committed to 2030/2050 net-zero targets</w:t>
      </w:r>
    </w:p>
    <w:p>
      <w:pPr>
        <w:spacing w:after="40" w:before="40"/>
      </w:pPr>
      <w:r>
        <w:t xml:space="preserve"/>
      </w:r>
    </w:p>
    <w:p>
      <w:pPr>
        <w:pBdr>
          <w:left w:val="single" w:color="1A7A4A" w:sz="18" w:space="6"/>
        </w:pBdr>
        <w:shd w:fill="E8F5EE" w:val="clear"/>
        <w:spacing w:after="160" w:before="160"/>
        <w:ind w:left="360" w:right="360"/>
      </w:pPr>
      <w:r>
        <w:rPr>
          <w:rFonts w:ascii="Arial" w:cs="Arial" w:eastAsia="Arial" w:hAnsi="Arial"/>
          <w:b w:val="false"/>
          <w:bCs w:val="false"/>
          <w:i/>
          <w:iCs/>
          <w:color w:val="145C37"/>
          <w:sz w:val="22"/>
          <w:szCs w:val="22"/>
        </w:rPr>
        <w:t xml:space="preserve">Examples: Microsoft, Google, Apple, Amazon, and thousands of mid-size corporations voluntarily spend millions per year on carbon credits — not because a law forces them, but because investors, customers, and their own pledges require it.</w:t>
      </w:r>
    </w:p>
    <w:p>
      <w:r>
        <w:br w:type="page"/>
      </w:r>
    </w:p>
    <w:p>
      <w:pPr>
        <w:pStyle w:val="Heading1"/>
        <w:shd w:fill="1A7A4A" w:val="clear"/>
        <w:spacing w:after="200" w:before="400"/>
        <w:ind w:left="360" w:righ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03. BUSINESSES THAT DO NOT NEED CARBON CREDITS</w:t>
      </w:r>
    </w:p>
    <w:p>
      <w:pPr>
        <w:spacing w:after="40" w:before="40"/>
      </w:pPr>
      <w:r>
        <w:t xml:space="preserve"/>
      </w:r>
    </w:p>
    <w:p>
      <w:pPr>
        <w:pBdr>
          <w:left w:val="single" w:color="1A7A4A" w:sz="18" w:space="6"/>
        </w:pBdr>
        <w:shd w:fill="E8F5EE" w:val="clear"/>
        <w:spacing w:after="160" w:before="160"/>
        <w:ind w:left="360" w:right="360"/>
      </w:pPr>
      <w:r>
        <w:rPr>
          <w:rFonts w:ascii="Arial" w:cs="Arial" w:eastAsia="Arial" w:hAnsi="Arial"/>
          <w:b w:val="false"/>
          <w:bCs w:val="false"/>
          <w:i/>
          <w:iCs/>
          <w:color w:val="145C37"/>
          <w:sz w:val="22"/>
          <w:szCs w:val="22"/>
        </w:rPr>
        <w:t xml:space="preserve">These businesses have no legal compliance obligation and do not face mandatory purchase requirements. However, many still choose to buy voluntarily.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1A7A4A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45C37"/>
          <w:sz w:val="30"/>
          <w:szCs w:val="30"/>
        </w:rPr>
        <w:t xml:space="preserve">3.1  Industries Outside Compliance Mandates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In most jurisdictions, the following sectors are not covered by ETS regulations: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145C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Sector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145C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Reason Not Covered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145C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Exception / Caveat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Retail &amp; E-commerce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Low direct emissions; not energy-intensive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May buy voluntarily for brand/ESG reasons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Small Businesses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Below threshold (typically &lt;25,000 tCO₂e/yr)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Some country-specific schemes cover SMEs partially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Software &amp; Tech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Minimal direct industrial emissions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Data centres now face energy regulations in some regions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Financial Services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Office-based, low physical emissions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Increasingly buying voluntarily for Scope 3 reporting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Healthcare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Not classified as a high-emission sector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Hospital energy use may face local regulations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Agriculture &amp; Farming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Exempt in most jurisdictions despite emissions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Can SELL credits as generators — see Section 4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Real Estate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Not directly covered by ETS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Building energy codes increasingly tie to carbon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Media &amp; Entertainment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Low-emission sector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Voluntary carbon neutrality claims common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Education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Not a commercial emitter under most laws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Some universities buy voluntarily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1A7A4A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45C37"/>
          <w:sz w:val="30"/>
          <w:szCs w:val="30"/>
        </w:rPr>
        <w:t xml:space="preserve">3.2  Important Note: The Scope 3 Problem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Even businesses not in ETS systems may face indirect pressure because of Scope 3 accounting: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Scope 1: Direct emissions from your own operations (furnaces, vehicles you own)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Scope 2: Indirect emissions from purchased energy (electricity, steam)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Scope 3: All other indirect emissions — your supply chain, business travel, product use</w:t>
      </w:r>
    </w:p>
    <w:p>
      <w:pPr>
        <w:spacing w:after="40" w:before="4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 software company may have near-zero Scope 1 &amp; 2 but massive Scope 3 from the hardware manufacturing it depends on. As reporting requirements tighten, companies previously exempt are finding themselves buying credits for Scope 3 disclosures.</w:t>
      </w:r>
    </w:p>
    <w:p>
      <w:pPr>
        <w:spacing w:after="40" w:before="40"/>
      </w:pPr>
      <w:r>
        <w:t xml:space="preserve"/>
      </w:r>
    </w:p>
    <w:p>
      <w:pPr>
        <w:pBdr>
          <w:left w:val="single" w:color="1A7A4A" w:sz="18" w:space="6"/>
        </w:pBdr>
        <w:shd w:fill="E8F5EE" w:val="clear"/>
        <w:spacing w:after="160" w:before="160"/>
        <w:ind w:left="360" w:right="360"/>
      </w:pPr>
      <w:r>
        <w:rPr>
          <w:rFonts w:ascii="Arial" w:cs="Arial" w:eastAsia="Arial" w:hAnsi="Arial"/>
          <w:b w:val="false"/>
          <w:bCs w:val="false"/>
          <w:i/>
          <w:iCs/>
          <w:color w:val="145C37"/>
          <w:sz w:val="22"/>
          <w:szCs w:val="22"/>
        </w:rPr>
        <w:t xml:space="preserve">Key rule: If your direct emissions stay below national thresholds AND you have no voluntary net-zero commitment, you technically need zero carbon credits. But the trend is moving toward broader coverage year by year.</w:t>
      </w:r>
    </w:p>
    <w:p>
      <w:r>
        <w:br w:type="page"/>
      </w:r>
    </w:p>
    <w:p>
      <w:pPr>
        <w:pStyle w:val="Heading1"/>
        <w:shd w:fill="1A7A4A" w:val="clear"/>
        <w:spacing w:after="200" w:before="400"/>
        <w:ind w:left="360" w:righ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04. WHO CAN GENERATE (SELL) CARBON CREDITS?</w:t>
      </w:r>
    </w:p>
    <w:p>
      <w:pPr>
        <w:spacing w:after="40" w:before="40"/>
      </w:pPr>
      <w:r>
        <w:t xml:space="preserve"/>
      </w:r>
    </w:p>
    <w:p>
      <w:pPr>
        <w:pBdr>
          <w:left w:val="single" w:color="1A7A4A" w:sz="18" w:space="6"/>
        </w:pBdr>
        <w:shd w:fill="E8F5EE" w:val="clear"/>
        <w:spacing w:after="160" w:before="160"/>
        <w:ind w:left="360" w:right="360"/>
      </w:pPr>
      <w:r>
        <w:rPr>
          <w:rFonts w:ascii="Arial" w:cs="Arial" w:eastAsia="Arial" w:hAnsi="Arial"/>
          <w:b w:val="false"/>
          <w:bCs w:val="false"/>
          <w:i/>
          <w:iCs/>
          <w:color w:val="145C37"/>
          <w:sz w:val="22"/>
          <w:szCs w:val="22"/>
        </w:rPr>
        <w:t xml:space="preserve">Carbon credit generation is open to a surprisingly wide range of actors — from farmers and forest owners to industrial companies and tech startups. If your activity reduces, avoids, or removes CO₂, you might be able to monetize it.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1A7A4A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45C37"/>
          <w:sz w:val="30"/>
          <w:szCs w:val="30"/>
        </w:rPr>
        <w:t xml:space="preserve">4.1  Project Types That Generate Credits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A. Nature-Based Solutions (Largest Category)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Nature-based projects account for roughly 36% of voluntary market credit retirements: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Afforestation &amp; Reforestation: Planting trees on degraded land. Generates 1–10 credits per acre per year. Price: $14–24/tonne in 2025.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REDD+ (Reducing Emissions from Deforestation and Degradation): Protecting existing forests that would otherwise be cut down. Large-scale projects in Brazil, Congo Basin, and Southeast Asia.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Improved Forest Management (IFM): Changing logging practices to store more carbon. Popular with US and Canadian timberland owners.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Soil Carbon Sequestration: Regenerative farming practices (no-till, cover crops) that build carbon in agricultural soil.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Blue Carbon: Protecting and restoring mangroves, seagrasses, and tidal wetlands — extremely carbon-dense ecosystems.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Grassland &amp; Savanna Management: Preventing conversion of grasslands to cropland.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B. Renewable Energy Projects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Wind, solar, hydropower, geothermal energy replacing fossil fuels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Note: Renewable energy credits have FALLEN in quality rating — the ICVCM declined to approve RE methodologies in August 2024 due to additionality concerns in markets where renewables are already cheapest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Some RE credits now trade below $1/tonne — buyer due diligence essential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C. Methane Capture &amp; Destruction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Landfill gas capture: Collecting and burning methane from decomposing waste — methane is 28× more potent than CO₂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Agricultural methane: Anaerobic digesters on dairy and pig farms capture livestock waste methane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Coal mine methane: Ventilation gas capture in coal mines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Oil &amp; gas flaring reduction: Stopping methane flaring at wellheads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Landfill gas credits received Core Carbon Principles approval in June 2024, leading to 149% increase in transaction volume.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D. Energy Efficiency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Industrial energy efficiency upgrades: Replacing old industrial equipment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Efficient cookstoves in developing countries: Replacing wood-burning stoves reduces both emissions and deforestation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Building insulation and retrofits in developing nations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LED lighting retrofits and industrial motor efficiency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E. Engineered / Technology-Based Removals (Fastest Growing)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Direct Air Capture (DAC): Machines that pull CO₂ directly from the air. Most expensive — $400–1,000/tonne to produce — but permanent and additional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Biochar: Burning biomass in low-oxygen conditions creates stable carbon char that can be added to soil for centuries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Enhanced Weathering: Spreading crushed silicate rocks on farmland — accelerates natural carbon capture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BECCS (Bioenergy with Carbon Capture and Storage): Growing biomass, burning it for energy, capturing the CO₂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Ocean alkalinity enhancement: Raising ocean pH to absorb more atmospheric CO₂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Microsoft alone purchased 80% of all tech-based removal credits through H1 2025. Prices: $170–$500/tonne.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F. Industrial Process &amp; Waste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HFC/PFC/SF6 gas destruction: Eliminating industrial gases with massive warming potential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N₂O destruction at industrial fertilizer and chemical plants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Wastewater methane capture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1A7A4A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45C37"/>
          <w:sz w:val="30"/>
          <w:szCs w:val="30"/>
        </w:rPr>
        <w:t xml:space="preserve">4.2  Who Specifically Can Generate — By Actor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145C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145C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How They Generate Credits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145C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Realistic Earning Potential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Forest / Land Owners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REDD+, IFM, afforestation projects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$5–24/tonne; viable above 1,000+ acres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Farmers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Soil carbon, methane digesters, cover crops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Small farms: $100–600/yr; large: $10K–100K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Renewable Energy Cos.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Wind/solar/hydro displacing fossil generation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Declining — quality concerns; &lt;$1–5/tonne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Waste Management Cos.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Landfill gas capture projects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Strong ROI — $5–15/tonne at scale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Industrial Cos.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Efficiency upgrades, methane destruction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Varies widely by project size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DAC / Tech Startups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Direct air capture and engineered removals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$170–500/tonne sold; needs significant capital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EV Manufacturers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Zero-emission vehicle (ZEV) compliance credits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Tesla earned $2.76B in 2024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Developing World NGOs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Cookstoves, forest protection, clean water projects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Community-level projects $3–10/tonne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Governments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National REDD+, NDC crediting mechanisms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International transfers under Article 6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1A7A4A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45C37"/>
          <w:sz w:val="30"/>
          <w:szCs w:val="30"/>
        </w:rPr>
        <w:t xml:space="preserve">4.3  Who CANNOT Generate Carbon Credits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Businesses that simply reduce their own emissions for operational reasons (e.g., switching to LED lights to save money) — unless they go through formal additionality testing proving they wouldn't have done it without carbon revenue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Regulated emitters selling their 'efficiency surplus' in ways that would cause double-counting with their compliance obligations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Projects that were already planned, funded, or legally required before carbon markets — they fail the additionality test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Activities in sectors where regulatory or market conditions make the project 'business as usual'</w:t>
      </w:r>
    </w:p>
    <w:p>
      <w:r>
        <w:br w:type="page"/>
      </w:r>
    </w:p>
    <w:p>
      <w:pPr>
        <w:pStyle w:val="Heading1"/>
        <w:shd w:fill="1A7A4A" w:val="clear"/>
        <w:spacing w:after="200" w:before="400"/>
        <w:ind w:left="360" w:righ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05. THE CARBON CREDIT GENERATION PROCESS (STEP BY STEP)</w:t>
      </w:r>
    </w:p>
    <w:p>
      <w:pPr>
        <w:spacing w:after="40" w:before="40"/>
      </w:pPr>
      <w:r>
        <w:t xml:space="preserve"/>
      </w:r>
    </w:p>
    <w:p>
      <w:pPr>
        <w:pBdr>
          <w:left w:val="single" w:color="1A7A4A" w:sz="18" w:space="6"/>
        </w:pBdr>
        <w:shd w:fill="E8F5EE" w:val="clear"/>
        <w:spacing w:after="160" w:before="160"/>
        <w:ind w:left="360" w:right="360"/>
      </w:pPr>
      <w:r>
        <w:rPr>
          <w:rFonts w:ascii="Arial" w:cs="Arial" w:eastAsia="Arial" w:hAnsi="Arial"/>
          <w:b w:val="false"/>
          <w:bCs w:val="false"/>
          <w:i/>
          <w:iCs/>
          <w:color w:val="145C37"/>
          <w:sz w:val="22"/>
          <w:szCs w:val="22"/>
        </w:rPr>
        <w:t xml:space="preserve">From idea to sellable credit can take 6 months to 2+ years and cost $50,000–$500,000+ in development and verification costs. Size, scale, and project type determine viability.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1A7A4A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45C37"/>
          <w:sz w:val="30"/>
          <w:szCs w:val="30"/>
        </w:rPr>
        <w:t xml:space="preserve">Step 1 — Project Design &amp; Feasibility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Before anything begins, the project developer must: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Define the project activity — exactly what emission reduction or removal will happen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Identify the appropriate methodology — each standard body (Verra, Gold Standard) has approved methodologies for each project type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Calculate the 'baseline' — what emissions would occur WITHOUT the project (business-as-usual scenario)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Prove additionality — demonstrate the project would NOT happen without carbon revenue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Estimate credit volume — how many tonnes CO₂e will be reduced per year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Conduct financial feasibility — will credit revenue justify the development cost?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1A7A4A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45C37"/>
          <w:sz w:val="30"/>
          <w:szCs w:val="30"/>
        </w:rPr>
        <w:t xml:space="preserve">Step 2 — Choosing a Standard &amp; Registry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Pick the right standard for your project type and target market: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145C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Standard Body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145C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Credit Type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145C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Verra (VCS)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Verified Carbon Units (VCUs)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Largest registry; most project types; forestry, energy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Gold Standard (GS)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Verified Emission Reductions (VERs)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Social co-benefit focused; cookstoves, WASH projects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ACR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ERTs (Emission Reduction Tonnes)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US-focused; forest and waste projects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Climate Action Reserve (CAR)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Climate Reserve Tonnes (CRTs)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North American soil, forest, livestock projects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Plan Vivo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Plan Vivo Certificates (PVCs)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Community-based projects in developing world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ICVCM / CCP Label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Core Carbon Principles label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Quality kite-mark applied on top of Verra/Gold Standard credits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1A7A4A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45C37"/>
          <w:sz w:val="30"/>
          <w:szCs w:val="30"/>
        </w:rPr>
        <w:t xml:space="preserve">Step 3 — Project Design Document (PDD)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 detailed written document submitted to the standard body. It includes: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Full project description and methodology reference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Baseline scenario calculation and additionality proof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Monitoring plan — how emissions will be tracked over the project life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Permanence risk assessment — risk of the carbon being released (fire, disease, illegal logging)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Environmental and social impact assessment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Expected credit volume per year and over project lifetime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1A7A4A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45C37"/>
          <w:sz w:val="30"/>
          <w:szCs w:val="30"/>
        </w:rPr>
        <w:t xml:space="preserve">Step 4 — Third-Party Validation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An accredited, independent auditor (Validation/Verification Body, or VVB) reviews your PDD: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Desk review: Auditor studies the project documents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Site visit: Physical inspection of the project area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Stakeholder consultation: Local community input required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Validation report: Auditor issues a signed validation statement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Standard body review: Verra/Gold Standard approve the project for registration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Cost: $15,000–$100,000+ depending on project size and complexity. Timeline: 3–12 months.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1A7A4A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45C37"/>
          <w:sz w:val="30"/>
          <w:szCs w:val="30"/>
        </w:rPr>
        <w:t xml:space="preserve">Step 5 — Registration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Project is officially entered into the registry's public database. Each project receives a unique ID. At this point, the project is 'live' and can begin generating credits.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1A7A4A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45C37"/>
          <w:sz w:val="30"/>
          <w:szCs w:val="30"/>
        </w:rPr>
        <w:t xml:space="preserve">Step 6 — Implementation &amp; Monitoring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The project begins real-world operations. Continuous monitoring is required: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Annual measurement of actual emissions reductions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Maintenance of monitoring logs, satellite data, or ground measurements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Environmental and social safeguard compliance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1A7A4A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45C37"/>
          <w:sz w:val="30"/>
          <w:szCs w:val="30"/>
        </w:rPr>
        <w:t xml:space="preserve">Step 7 — Verification &amp; Credit Issuance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Every 1–3 years (depending on the standard), another VVB audit occurs: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Monitoring data is reviewed and confirmed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Actual credit volume is calculated (actual reductions vs. baseline)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Verification report submitted to the standard body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Credits are issued: Each tonne CO₂e reduced = 1 credit with a unique serial number (UIN)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Credits appear in your registry account — ready to sell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1A7A4A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45C37"/>
          <w:sz w:val="30"/>
          <w:szCs w:val="30"/>
        </w:rPr>
        <w:t xml:space="preserve">Step 8 — Sale / Trade / Retirement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Issued credits can now be: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Sold to a buyer via broker, exchange, or direct deal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Retired in your own name (to claim carbon neutrality for your own emissions)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Held as an asset (speculation — prices may rise)</w:t>
      </w:r>
    </w:p>
    <w:p>
      <w:pPr>
        <w:pBdr>
          <w:left w:val="single" w:color="1A7A4A" w:sz="18" w:space="6"/>
        </w:pBdr>
        <w:shd w:fill="E8F5EE" w:val="clear"/>
        <w:spacing w:after="160" w:before="160"/>
        <w:ind w:left="360" w:right="360"/>
      </w:pPr>
      <w:r>
        <w:rPr>
          <w:rFonts w:ascii="Arial" w:cs="Arial" w:eastAsia="Arial" w:hAnsi="Arial"/>
          <w:b w:val="false"/>
          <w:bCs w:val="false"/>
          <w:i/>
          <w:iCs/>
          <w:color w:val="145C37"/>
          <w:sz w:val="22"/>
          <w:szCs w:val="22"/>
        </w:rPr>
        <w:t xml:space="preserve">Once retired, a credit is PERMANENTLY cancelled. It cannot be resold. The retirement is publicly visible in the registry forever.</w:t>
      </w:r>
    </w:p>
    <w:p>
      <w:r>
        <w:br w:type="page"/>
      </w:r>
    </w:p>
    <w:p>
      <w:pPr>
        <w:pStyle w:val="Heading1"/>
        <w:shd w:fill="1A7A4A" w:val="clear"/>
        <w:spacing w:after="200" w:before="400"/>
        <w:ind w:left="360" w:righ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06. HOW TO BUY CARBON CREDITS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1A7A4A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45C37"/>
          <w:sz w:val="30"/>
          <w:szCs w:val="30"/>
        </w:rPr>
        <w:t xml:space="preserve">6.1  Before You Buy — Calculate Your Footprint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The first step is knowing exactly how many tonnes of CO₂e you're responsible for. Three scopes: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Scope 1 (Direct): Your own vehicles, furnaces, equipment, industrial processes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Scope 2 (Energy): Emissions from electricity and heat you purchase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Scope 3 (Value chain): Everything else — suppliers, business travel, product end-of-life, waste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Use tools like the GHG Protocol Corporate Standard or hire a carbon accounting consultant.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1A7A4A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45C37"/>
          <w:sz w:val="30"/>
          <w:szCs w:val="30"/>
        </w:rPr>
        <w:t xml:space="preserve">6.2  Where to Buy — Five Main Routes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Route 1: Online Retail Marketplaces (Small businesses, individuals)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South Pole Marketplace (southpole.com)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Terrapass (terrapass.com)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Gold Standard Marketplace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Climeco, EcoCart, Native Energy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Best for: Small volumes ($500–$50,000). Simple checkout. Pre-verified projects. Limited customization. Prices: $5–30/tonne.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Route 2: Exchanges &amp; Trading Platforms (Mid to large)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Xpansiv / CBL Markets (largest voluntary carbon exchange globally)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AirCarbon Exchange (ACX — Singapore)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Climate Impact X (CIX — Singapore)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Nasdaq Carbon Markets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European Climate Exchange (ECX — for EU ETS allowances)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Best for: Medium-to-large volumes. Spot and futures trading. Price transparency. Standardized contracts.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Route 3: Project Developer Direct (Large corporates)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Companies like South Pole, 3Degrees, Terracarbon, or ClimeCo sell credits directly from their own project portfolios. Good for customization, co-benefit storytelling, and long-term supply agreements.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Route 4: Carbon Credit Brokers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Specialized brokers facilitate bilateral deals between buyers and sellers. Best for: Complex purchases, bespoke requirements, compliance market allowances (EU ETS, California).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Route 5: Corporate Power Purchase Agreements (PPAs) + Bundled Credits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Some companies combine energy purchasing with credit acquisition — buying renewable energy plus associated credits in one deal.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1A7A4A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45C37"/>
          <w:sz w:val="30"/>
          <w:szCs w:val="30"/>
        </w:rPr>
        <w:t xml:space="preserve">6.3  Due Diligence Checklist When Buying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Always verify the following before purchase: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Standard: Is the credit certified by Verra, Gold Standard, ACR, CAR, or another recognized body?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Registry: Can you look up the credit's serial number in a public registry?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Vintage: How old is the credit? Older vintages may have quality concerns.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Additionality: Does the project documentation prove it wouldn't exist without carbon finance?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Co-benefits: Does the project deliver SDG (Sustainable Development Goal) benefits beyond carbon?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CCP Label: Has the Integrity Council for the Voluntary Carbon Market approved it?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Retirement: Will the seller retire the credit in YOUR name? Get confirmation.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1A7A4A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45C37"/>
          <w:sz w:val="30"/>
          <w:szCs w:val="30"/>
        </w:rPr>
        <w:t xml:space="preserve">6.4  Pricing Guide (2025/2026)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4080"/>
      </w:tblGrid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145C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Credit Type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145C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Price Range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145C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EU ETS Allowances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€65–80/tonne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Compliance only; cannot be used for voluntary claims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California Allowances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$25–35/tonne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Compliance use in CA Cap-and-Trade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REDD+ Forest (High Quality)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$10–24/tonne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Nature-based; biodiversity co-benefits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Methane Capture (Landfill)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$8–15/tonne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CCP-approved since June 2024; volumes surging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Soil Carbon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$10–20/tonne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Permanence risk is key concern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Cookstoves / Energy Access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$5–12/tonne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Strong SDG co-benefits; popular for ESG reporting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Renewable Energy (Low Quality)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&lt;$1–5/tonne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Additionality concerns; avoid for serious claims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Biochar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$100–200/tonne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Permanent removal; growing market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Direct Air Capture (DAC)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$170–500/tonne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Permanent, additional, but expensive</w:t>
            </w:r>
          </w:p>
        </w:tc>
      </w:tr>
    </w:tbl>
    <w:p>
      <w:r>
        <w:br w:type="page"/>
      </w:r>
    </w:p>
    <w:p>
      <w:pPr>
        <w:pStyle w:val="Heading1"/>
        <w:shd w:fill="1A7A4A" w:val="clear"/>
        <w:spacing w:after="200" w:before="400"/>
        <w:ind w:left="360" w:righ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07. HOW TO SELL &amp; TRADE CARBON CREDITS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1A7A4A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45C37"/>
          <w:sz w:val="30"/>
          <w:szCs w:val="30"/>
        </w:rPr>
        <w:t xml:space="preserve">7.1  Your Sales Options as a Credit Generator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Option A: Sell via Broker (Most Common)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Carbon brokers (like Redshaw Advisors, STX Group, South Pole, ClimeCo) facilitate bilateral deals: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You approach a broker with your registry account details and available credits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Broker finds a buyer and negotiates price (typically takes 5–15% commission)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Purchase agreement (ERPA — Emission Reduction Purchase Agreement) is signed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Credits transferred from your registry account to buyer's account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Payment received (net of broker fee)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Option B: List on an Exchange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Platforms like Xpansiv CBL allow project developers to list credits for spot sale: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Create a seller account on the exchange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Link your registry account (Verra, Gold Standard,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List your credits with price, vintage, project details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Buyers find and purchase — exchange handles the transfer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Settlement: typically T+2 (2 business days after trade)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Option C: Pre-Sell via Forward Contract (Offtake Agreement)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Before your project is verified, you can sell future credits to buyers who want guaranteed supply. This is common for large projects that need upfront financing. Risk: you must deliver credits as promised.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Option D: Direct Corporate Sale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If your project has a compelling story (community benefits, biodiversity, specific geography), you can approach large corporate buyers directly. Companies like Microsoft, Shopify, and airlines run their own procurement programs.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1A7A4A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45C37"/>
          <w:sz w:val="30"/>
          <w:szCs w:val="30"/>
        </w:rPr>
        <w:t xml:space="preserve">7.2  The Full Transaction Flow</w:t>
      </w:r>
    </w:p>
    <w:p>
      <w:pPr>
        <w:pBdr>
          <w:left w:val="single" w:color="1A7A4A" w:sz="18" w:space="6"/>
        </w:pBdr>
        <w:shd w:fill="E8F5EE" w:val="clear"/>
        <w:spacing w:after="160" w:before="160"/>
        <w:ind w:left="360" w:right="360"/>
      </w:pPr>
      <w:r>
        <w:rPr>
          <w:rFonts w:ascii="Arial" w:cs="Arial" w:eastAsia="Arial" w:hAnsi="Arial"/>
          <w:b w:val="false"/>
          <w:bCs w:val="false"/>
          <w:i/>
          <w:iCs/>
          <w:color w:val="145C37"/>
          <w:sz w:val="22"/>
          <w:szCs w:val="22"/>
        </w:rPr>
        <w:t xml:space="preserve">Compliance markets (EU ETS, California) → must use official government-run registries and auctions. Voluntary markets → use private registries and exchanges like Xpansiv, South Pole, or bilateral deals.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Compliance Market Transaction (e.g., EU ETS)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Company opens account on EU Transaction Log (EUTL)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Attends quarterly government auction OR buys allowances on secondary market (ICE Exchange)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Credits held in EUTL account throughout the year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At year-end: Submits verified emissions report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Surrenders allowances equal to verified emissions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Surplus allowances can be sold back or banked for next year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Voluntary Market Transaction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Buyer identifies project and credit type needed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Due diligence: Checks registry, vintage, methodology, CCP label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Purchase agreement signed (price, volume, vintage, retirement terms)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Buyer pays seller (or exchange handles escrow)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Seller transfers credits in registry to buyer's account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Buyer retires credits in their name — appears as permanent public record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Buyer receives retirement certificate for reporting purposes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1A7A4A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45C37"/>
          <w:sz w:val="30"/>
          <w:szCs w:val="30"/>
        </w:rPr>
        <w:t xml:space="preserve">7.3  Major Registries to Know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145C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Registry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145C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Credits Listed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145C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Verra Registry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VCUs (voluntary)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registry.verra.org — public; largest voluntary registry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Gold Standard Registry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VERs (voluntary)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registry.goldstandard.org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ACR Registry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ERTs (voluntary)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americancarbonregistry.org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Climate Action Reserve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CRTs (voluntary)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thereserve.us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EU Transaction Log (EUTL)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EUAs (compliance)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ec.europa.eu — government-run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UK ETS Registry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UK Allowances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etsregistry.gov.uk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CITSS (California)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California Allowances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Government-managed; facility accounts only</w:t>
            </w:r>
          </w:p>
        </w:tc>
      </w:tr>
    </w:tbl>
    <w:p>
      <w:r>
        <w:br w:type="page"/>
      </w:r>
    </w:p>
    <w:p>
      <w:pPr>
        <w:pStyle w:val="Heading1"/>
        <w:shd w:fill="1A7A4A" w:val="clear"/>
        <w:spacing w:after="200" w:before="400"/>
        <w:ind w:left="360" w:righ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08. KEY PLAYERS, RISKS &amp; THE FUTURE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1A7A4A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45C37"/>
          <w:sz w:val="30"/>
          <w:szCs w:val="30"/>
        </w:rPr>
        <w:t xml:space="preserve">8.1  Key Players in the Ecosystem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145C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Player Type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145C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 &amp; Examples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Standard Bodies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Set rules and methodologies; verify projects. Verra, Gold Standard, ACR, CAR, ICVCM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Project Developers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Build and manage carbon projects. South Pole, ClimeCo, 3Degrees, Terracarbon, EcoAct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VVBs (Auditors)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Independent third-party validators/verifiers. SCS Global Services, Bureau Veritas, SGS, DNV GL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Exchanges / Platforms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Where credits are bought and sold. Xpansiv CBL, ACX (AirCarbon), Climate Impact X, Nasdaq Carbon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Brokers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Facilitate deals. STX Group, Redshaw Advisors, Evolution Markets, Vertis Environmental Finance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Buyers (Corporates)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Microsoft, Google, Shell, Delta Air Lines, Apple, Disney, Amazon — all major voluntary market buyers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Governments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Set caps, run auctions, enforce compliance. EU Commission, California ARB, UK Environment Agency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Rating Agencies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Score credit quality. Sylvera, BeZero Carbon, Calyx Global — like credit rating agencies for carbon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1A7A4A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45C37"/>
          <w:sz w:val="30"/>
          <w:szCs w:val="30"/>
        </w:rPr>
        <w:t xml:space="preserve">8.2  Risks to Understand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For Credit Buyers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Greenwashing Risk: Purchasing low-quality credits that don't represent real reductions — reputational damage if exposed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Price Volatility: Compliance markets can swing significantly with policy changes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Permanence Risk: Nature-based credits (forests) can be reversed by fire, disease, or illegal activity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Additionality Risk: The project may have happened anyway — credit is economically worthless as an offset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Double-counting Risk: The same credit claimed by two parties — always verify registry retirement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For Credit Sellers / Project Developers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Long timelines: 1–2+ years from project start to first credit issuance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High upfront costs: $50K–$500K in development, validation, and registration fees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Price risk: Credit prices can fall (average dropped 20% in 2024)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Regulatory risk: Standards and methodologies can be updated, making existing projects non-compliant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Buffer pools: Many registries require a % of credits be held in a buffer pool against reversal risk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1A7A4A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45C37"/>
          <w:sz w:val="30"/>
          <w:szCs w:val="30"/>
        </w:rPr>
        <w:t xml:space="preserve">8.3  Quality Red Flags — Credits to Avoid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Renewable energy credits from projects in markets where renewables are already the cheapest option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HFC destruction credits (controversial — perverse incentives to produce the gas to destroy it)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Very old vintage years (pre-2016) with no narrative explanation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Projects with no public Project Design Document or audit reports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Credits priced below $2/tonne for anything other than basic avoidance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1A7A4A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45C37"/>
          <w:sz w:val="30"/>
          <w:szCs w:val="30"/>
        </w:rPr>
        <w:t xml:space="preserve">8.4  The Future of Carbon Credits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Near-Term (2025–2027)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Article 6 of the Paris Agreement: New international rules now allow countries to trade carbon credits between NDCs — massive implications for developing nations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EU Carbon Border Adjustment Mechanism (CBAM): From 2026, exporters of carbon-intensive goods (steel, cement, chemicals) to the EU must pay the carbon price — affects businesses worldwide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CORSIA Phase 2: All international airlines covered from 2027 — large increase in aviation credit demand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China ETS expansion: 7 new sectors adding billions of tonnes to the world's largest market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Medium-Term (2027–2035)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Voluntary market projected at $23–120 billion by 2030 (from $15.8B in 2025)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Technology removals (DAC, biochar) expected to gain significant market share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AI-powered MRV will reduce verification costs and increase credit quality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Blockchain-based registries will improve transparency and prevent double-counting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Convergence of voluntary and compliance markets under Paris Article 6</w:t>
      </w:r>
    </w:p>
    <w:p>
      <w:pPr>
        <w:spacing w:after="40" w:before="40"/>
      </w:pPr>
      <w:r>
        <w:t xml:space="preserve"/>
      </w:r>
    </w:p>
    <w:p>
      <w:pPr>
        <w:pBdr>
          <w:left w:val="single" w:color="1A7A4A" w:sz="18" w:space="6"/>
        </w:pBdr>
        <w:shd w:fill="E8F5EE" w:val="clear"/>
        <w:spacing w:after="160" w:before="160"/>
        <w:ind w:left="360" w:right="360"/>
      </w:pPr>
      <w:r>
        <w:rPr>
          <w:rFonts w:ascii="Arial" w:cs="Arial" w:eastAsia="Arial" w:hAnsi="Arial"/>
          <w:b w:val="false"/>
          <w:bCs w:val="false"/>
          <w:i/>
          <w:iCs/>
          <w:color w:val="145C37"/>
          <w:sz w:val="22"/>
          <w:szCs w:val="22"/>
        </w:rPr>
        <w:t xml:space="preserve">Key Insight: Carbon credits are moving from a 'nice to have' to a 'must have' across more industries. The direction of travel is toward stricter quality standards, broader coverage, and higher prices — making early knowledge and participation strategically valuable.</w:t>
      </w:r>
    </w:p>
    <w:p>
      <w:r>
        <w:br w:type="page"/>
      </w:r>
    </w:p>
    <w:p>
      <w:pPr>
        <w:pStyle w:val="Heading1"/>
        <w:shd w:fill="1A7A4A" w:val="clear"/>
        <w:spacing w:after="200" w:before="400"/>
        <w:ind w:left="360" w:righ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09. THE INDIA CONTEXT (FOR INDIAN BUSINESSES)</w:t>
      </w:r>
    </w:p>
    <w:p>
      <w:pPr>
        <w:spacing w:after="40" w:before="40"/>
      </w:pPr>
      <w:r>
        <w:t xml:space="preserve"/>
      </w:r>
    </w:p>
    <w:p>
      <w:pPr>
        <w:pBdr>
          <w:left w:val="single" w:color="1A7A4A" w:sz="18" w:space="6"/>
        </w:pBdr>
        <w:shd w:fill="E8F5EE" w:val="clear"/>
        <w:spacing w:after="160" w:before="160"/>
        <w:ind w:left="360" w:right="360"/>
      </w:pPr>
      <w:r>
        <w:rPr>
          <w:rFonts w:ascii="Arial" w:cs="Arial" w:eastAsia="Arial" w:hAnsi="Arial"/>
          <w:b w:val="false"/>
          <w:bCs w:val="false"/>
          <w:i/>
          <w:iCs/>
          <w:color w:val="145C37"/>
          <w:sz w:val="22"/>
          <w:szCs w:val="22"/>
        </w:rPr>
        <w:t xml:space="preserve">India launched its Carbon Credit Trading Scheme (CCTS) under the Energy Conservation Act 2022. This creates both obligations and massive opportunities for Indian businesses.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1A7A4A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45C37"/>
          <w:sz w:val="30"/>
          <w:szCs w:val="30"/>
        </w:rPr>
        <w:t xml:space="preserve">9.1  India's Carbon Market Framework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The Bureau of Energy Efficiency (BEE) under the Ministry of Power oversees CCTS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The Perform, Achieve and Trade (PAT) scheme — energy efficiency credits for large industrial units — is being absorbed into the new CCTS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India is one of the world's largest sellers of voluntary carbon credits, particularly REDD+ and renewable energy projects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India's CDM projects historically generated millions of Certified Emission Reductions (CERs) sold to developed countries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1A7A4A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45C37"/>
          <w:sz w:val="30"/>
          <w:szCs w:val="30"/>
        </w:rPr>
        <w:t xml:space="preserve">9.2  Sectors Covered Under India CCTS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Thermal power plants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Cement, steel, aluminium manufacturing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Petroleum refineries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Textile, pulp &amp; paper, chlor-alkali industries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Railways (State-owned entities)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1A7A4A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45C37"/>
          <w:sz w:val="30"/>
          <w:szCs w:val="30"/>
        </w:rPr>
        <w:t xml:space="preserve">9.3  Opportunities for Indian Businesses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Agricultural landowners: Soil carbon and agroforestry projects for global VCM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Renewable energy developers: Despite global additionality concerns, India-specific projects may still qualify under certain methodologies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Industrial facilities: Energy efficiency upgrades generating tradeable credits under PAT/CCTS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Forestry sector: State forest departments and community forest management bodies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Biogas / anaerobic digestion projects in agriculture and waste management</w:t>
      </w:r>
    </w:p>
    <w:p>
      <w:r>
        <w:br w:type="page"/>
      </w:r>
    </w:p>
    <w:p>
      <w:pPr>
        <w:pStyle w:val="Heading1"/>
        <w:shd w:fill="1A7A4A" w:val="clear"/>
        <w:spacing w:after="200" w:before="400"/>
        <w:ind w:left="360" w:righ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QUICK REFERENCE CHEAT SHEET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1A7A4A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45C37"/>
          <w:sz w:val="30"/>
          <w:szCs w:val="30"/>
        </w:rPr>
        <w:t xml:space="preserve">Am I a BUYER or SELLER of Carbon Credits?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145C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YOU SHOULD BUY IF...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145C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YOU CAN SELL IF...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You are a power plant, heavy manufacturer, refinery, airline, or cement/steel facility in an ETS jurisdiction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You own forests, farmland, or wetlands that store carbon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You have committed to net-zero or carbon neutrality publicly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You operate a landfill, dairy farm, or pig farm with methane generation potential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Your ESG/investor reporting requires carbon offset claims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You run a renewable energy project where additionality can be proven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You are an international airline flying to/from EU or under CORSIA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You are a zero-emission vehicle manufacturer (selling ZEV credits)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Your supply chain partners require carbon-neutral products from you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You develop carbon capture or Direct Air Capture technology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1A7A4A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45C37"/>
          <w:sz w:val="30"/>
          <w:szCs w:val="30"/>
        </w:rPr>
        <w:t xml:space="preserve">The 5 Numbers to Know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145C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145C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Figure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145C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Context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 Carbon Credit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= 1 tonne CO₂e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Standard global unit, always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VCM Size 2025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~$15.8 Billion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Voluntary market; growing to $120B by 2030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EU ETS Price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€65–80/tonne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Compliance — mandatory for covered sectors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Average VCM Price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$4.8/tonne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Average in 2024; quality credits fetch much more</w:t>
            </w:r>
          </w:p>
        </w:tc>
      </w:tr>
      <w:tr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Countries with ETS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46+ nations</w:t>
            </w:r>
          </w:p>
        </w:tc>
        <w:tc>
          <w:tcPr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0FA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Covering ~28% of global GHG emissions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left w:val="single" w:color="1A7A4A" w:sz="18" w:space="6"/>
        </w:pBdr>
        <w:shd w:fill="E8F5EE" w:val="clear"/>
        <w:spacing w:after="160" w:before="160"/>
        <w:ind w:left="360" w:right="360"/>
      </w:pPr>
      <w:r>
        <w:rPr>
          <w:rFonts w:ascii="Arial" w:cs="Arial" w:eastAsia="Arial" w:hAnsi="Arial"/>
          <w:b w:val="false"/>
          <w:bCs w:val="false"/>
          <w:i/>
          <w:iCs/>
          <w:color w:val="145C37"/>
          <w:sz w:val="22"/>
          <w:szCs w:val="22"/>
        </w:rPr>
        <w:t xml:space="preserve">Bottom Line: Carbon credits are not just an environmental tool — they are a financial instrument, a compliance mechanism, a revenue stream, and increasingly, a business necessity. Whether you need to buy, sell, or simply understand them, the market is maturing fast and the rules are getting stricter.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hd w:fill="E8F5EE" w:val="clear"/>
        <w:spacing w:after="200" w:before="200"/>
        <w:jc w:val="center"/>
      </w:pPr>
      <w:r>
        <w:rPr>
          <w:rFonts w:ascii="Arial" w:cs="Arial" w:eastAsia="Arial" w:hAnsi="Arial"/>
          <w:i/>
          <w:iCs/>
          <w:color w:val="145C37"/>
          <w:sz w:val="18"/>
          <w:szCs w:val="18"/>
        </w:rPr>
        <w:t xml:space="preserve">DOCUMENT END — Carbon Credits Master Documentation | April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 w:before="6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45C37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2E8B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2026-04-29T19:36:14.440Z</dcterms:created>
  <dcterms:modified xsi:type="dcterms:W3CDTF">2026-04-29T19:36:14.441Z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