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E9BCA" w14:textId="665C4B79" w:rsidR="00381CA9" w:rsidRDefault="00A2274E" w:rsidP="00A2274E">
      <w:pPr>
        <w:jc w:val="center"/>
        <w:rPr>
          <w:rFonts w:ascii="Times New Roman" w:hAnsi="Times New Roman" w:cs="Times New Roman"/>
        </w:rPr>
      </w:pPr>
      <w:r>
        <w:rPr>
          <w:rFonts w:ascii="Times New Roman" w:hAnsi="Times New Roman" w:cs="Times New Roman"/>
        </w:rPr>
        <w:t>SECURITIES AND EXCH</w:t>
      </w:r>
      <w:r w:rsidR="004D101F">
        <w:rPr>
          <w:rFonts w:ascii="Times New Roman" w:hAnsi="Times New Roman" w:cs="Times New Roman"/>
        </w:rPr>
        <w:t xml:space="preserve">ANGE </w:t>
      </w:r>
      <w:r>
        <w:rPr>
          <w:rFonts w:ascii="Times New Roman" w:hAnsi="Times New Roman" w:cs="Times New Roman"/>
        </w:rPr>
        <w:t>RULING ON SLOCK.IT UG</w:t>
      </w:r>
    </w:p>
    <w:p w14:paraId="5F4B3ABF" w14:textId="77777777" w:rsidR="00A2274E" w:rsidRDefault="00A2274E" w:rsidP="00A2274E">
      <w:pPr>
        <w:jc w:val="center"/>
        <w:rPr>
          <w:rFonts w:ascii="Times New Roman" w:hAnsi="Times New Roman" w:cs="Times New Roman"/>
        </w:rPr>
      </w:pPr>
      <w:r>
        <w:rPr>
          <w:rFonts w:ascii="Times New Roman" w:hAnsi="Times New Roman" w:cs="Times New Roman"/>
        </w:rPr>
        <w:t>Release No. 81207/July 25, 2017-11-12</w:t>
      </w:r>
    </w:p>
    <w:p w14:paraId="64198B39" w14:textId="77777777" w:rsidR="00A2274E" w:rsidRDefault="00A2274E">
      <w:pPr>
        <w:rPr>
          <w:rFonts w:ascii="Times New Roman" w:hAnsi="Times New Roman" w:cs="Times New Roman"/>
        </w:rPr>
      </w:pPr>
    </w:p>
    <w:p w14:paraId="42FF01BE" w14:textId="20CAD87F" w:rsidR="00A2274E" w:rsidRPr="00CB3121" w:rsidRDefault="00CB3121" w:rsidP="00CB3121">
      <w:pPr>
        <w:jc w:val="both"/>
        <w:rPr>
          <w:rFonts w:ascii="Times New Roman" w:hAnsi="Times New Roman" w:cs="Times New Roman"/>
          <w:i/>
        </w:rPr>
      </w:pPr>
      <w:r w:rsidRPr="00CB3121">
        <w:rPr>
          <w:rFonts w:ascii="Times New Roman" w:hAnsi="Times New Roman" w:cs="Times New Roman"/>
          <w:i/>
        </w:rPr>
        <w:t>Preliminary Note: This article is part of my Biased Journalism series. The views are mine based upon a reading and interpretation of the SEC Ruling Release No. 81207/ 25 July 2017.</w:t>
      </w:r>
      <w:r>
        <w:rPr>
          <w:rFonts w:ascii="Times New Roman" w:hAnsi="Times New Roman" w:cs="Times New Roman"/>
          <w:i/>
        </w:rPr>
        <w:t xml:space="preserve"> I omitted citations to law in this piece</w:t>
      </w:r>
      <w:r w:rsidR="00700F96">
        <w:rPr>
          <w:rFonts w:ascii="Times New Roman" w:hAnsi="Times New Roman" w:cs="Times New Roman"/>
          <w:i/>
        </w:rPr>
        <w:t>, but may add them later</w:t>
      </w:r>
      <w:r>
        <w:rPr>
          <w:rFonts w:ascii="Times New Roman" w:hAnsi="Times New Roman" w:cs="Times New Roman"/>
          <w:i/>
        </w:rPr>
        <w:t>.</w:t>
      </w:r>
      <w:r w:rsidRPr="00CB3121">
        <w:rPr>
          <w:rFonts w:ascii="Times New Roman" w:hAnsi="Times New Roman" w:cs="Times New Roman"/>
          <w:i/>
        </w:rPr>
        <w:t xml:space="preserve"> </w:t>
      </w:r>
    </w:p>
    <w:p w14:paraId="03C2CD28" w14:textId="77777777" w:rsidR="00CB3121" w:rsidRDefault="00CB3121">
      <w:pPr>
        <w:rPr>
          <w:rFonts w:ascii="Times New Roman" w:hAnsi="Times New Roman" w:cs="Times New Roman"/>
        </w:rPr>
      </w:pPr>
    </w:p>
    <w:p w14:paraId="6345398B" w14:textId="77777777" w:rsidR="00CB3121" w:rsidRDefault="00CB3121">
      <w:pPr>
        <w:rPr>
          <w:rFonts w:ascii="Times New Roman" w:hAnsi="Times New Roman" w:cs="Times New Roman"/>
        </w:rPr>
      </w:pPr>
    </w:p>
    <w:p w14:paraId="4BF2AF6A" w14:textId="77777777" w:rsidR="00A2274E" w:rsidRPr="00FD52A5" w:rsidRDefault="00A2274E">
      <w:pPr>
        <w:rPr>
          <w:rFonts w:ascii="Times New Roman" w:hAnsi="Times New Roman" w:cs="Times New Roman"/>
          <w:b/>
        </w:rPr>
      </w:pPr>
      <w:r w:rsidRPr="00FD52A5">
        <w:rPr>
          <w:rFonts w:ascii="Times New Roman" w:hAnsi="Times New Roman" w:cs="Times New Roman"/>
          <w:b/>
        </w:rPr>
        <w:t>Executive Summary</w:t>
      </w:r>
    </w:p>
    <w:p w14:paraId="384043BC" w14:textId="77777777" w:rsidR="00A2274E" w:rsidRDefault="00A2274E">
      <w:pPr>
        <w:rPr>
          <w:rFonts w:ascii="Times New Roman" w:hAnsi="Times New Roman" w:cs="Times New Roman"/>
        </w:rPr>
      </w:pPr>
    </w:p>
    <w:p w14:paraId="4871B7A5" w14:textId="089BD3D1" w:rsidR="00FD52A5" w:rsidRDefault="00A2274E" w:rsidP="00F01999">
      <w:pPr>
        <w:jc w:val="both"/>
        <w:rPr>
          <w:rFonts w:ascii="Times New Roman" w:hAnsi="Times New Roman" w:cs="Times New Roman"/>
        </w:rPr>
      </w:pPr>
      <w:r>
        <w:rPr>
          <w:rFonts w:ascii="Times New Roman" w:hAnsi="Times New Roman" w:cs="Times New Roman"/>
        </w:rPr>
        <w:t xml:space="preserve">The Securities and Exchange Commission [SEC] </w:t>
      </w:r>
      <w:r w:rsidR="006E4FDD">
        <w:rPr>
          <w:rFonts w:ascii="Times New Roman" w:hAnsi="Times New Roman" w:cs="Times New Roman"/>
        </w:rPr>
        <w:t>issued a Report, under 21(a) of the Securities and Exch</w:t>
      </w:r>
      <w:r w:rsidR="00E907B2">
        <w:rPr>
          <w:rFonts w:ascii="Times New Roman" w:hAnsi="Times New Roman" w:cs="Times New Roman"/>
        </w:rPr>
        <w:t xml:space="preserve">ange </w:t>
      </w:r>
      <w:r w:rsidR="006E4FDD">
        <w:rPr>
          <w:rFonts w:ascii="Times New Roman" w:hAnsi="Times New Roman" w:cs="Times New Roman"/>
        </w:rPr>
        <w:t>Act of 1934</w:t>
      </w:r>
      <w:r w:rsidR="00E907B2">
        <w:rPr>
          <w:rFonts w:ascii="Times New Roman" w:hAnsi="Times New Roman" w:cs="Times New Roman"/>
        </w:rPr>
        <w:t xml:space="preserve">, finding that </w:t>
      </w:r>
      <w:r w:rsidR="00FF41C0">
        <w:rPr>
          <w:rFonts w:ascii="Times New Roman" w:hAnsi="Times New Roman" w:cs="Times New Roman"/>
        </w:rPr>
        <w:t xml:space="preserve">the </w:t>
      </w:r>
      <w:r w:rsidR="00FF41C0">
        <w:rPr>
          <w:rFonts w:ascii="Times New Roman" w:hAnsi="Times New Roman" w:cs="Times New Roman"/>
        </w:rPr>
        <w:t>Decentralised Autonomous Organisation [DAO]</w:t>
      </w:r>
      <w:r w:rsidR="00FF41C0">
        <w:rPr>
          <w:rFonts w:ascii="Times New Roman" w:hAnsi="Times New Roman" w:cs="Times New Roman"/>
        </w:rPr>
        <w:t xml:space="preserve">, established by </w:t>
      </w:r>
      <w:r w:rsidR="00F01999">
        <w:rPr>
          <w:rFonts w:ascii="Times New Roman" w:hAnsi="Times New Roman" w:cs="Times New Roman"/>
        </w:rPr>
        <w:t xml:space="preserve">Slock.it UG, a German corporation, violated the Securities </w:t>
      </w:r>
      <w:r w:rsidR="00FF41C0">
        <w:rPr>
          <w:rFonts w:ascii="Times New Roman" w:hAnsi="Times New Roman" w:cs="Times New Roman"/>
        </w:rPr>
        <w:t xml:space="preserve">laws of the US </w:t>
      </w:r>
      <w:r w:rsidR="00F01999">
        <w:rPr>
          <w:rFonts w:ascii="Times New Roman" w:hAnsi="Times New Roman" w:cs="Times New Roman"/>
        </w:rPr>
        <w:t xml:space="preserve">by failing to register the offer and sale </w:t>
      </w:r>
      <w:r w:rsidR="00713485">
        <w:rPr>
          <w:rFonts w:ascii="Times New Roman" w:hAnsi="Times New Roman" w:cs="Times New Roman"/>
        </w:rPr>
        <w:t xml:space="preserve">to the public of </w:t>
      </w:r>
      <w:r w:rsidR="00FF41C0">
        <w:rPr>
          <w:rFonts w:ascii="Times New Roman" w:hAnsi="Times New Roman" w:cs="Times New Roman"/>
        </w:rPr>
        <w:t>DAO Tokens</w:t>
      </w:r>
      <w:r w:rsidR="00E76A2A">
        <w:rPr>
          <w:rFonts w:ascii="Times New Roman" w:hAnsi="Times New Roman" w:cs="Times New Roman"/>
        </w:rPr>
        <w:t xml:space="preserve">, designed to raise capital to fund “projects” </w:t>
      </w:r>
      <w:r w:rsidR="0008226B">
        <w:rPr>
          <w:rFonts w:ascii="Times New Roman" w:hAnsi="Times New Roman" w:cs="Times New Roman"/>
        </w:rPr>
        <w:t>expected to generate a return on investment</w:t>
      </w:r>
      <w:r w:rsidR="00713485">
        <w:rPr>
          <w:rFonts w:ascii="Times New Roman" w:hAnsi="Times New Roman" w:cs="Times New Roman"/>
        </w:rPr>
        <w:t xml:space="preserve">. </w:t>
      </w:r>
      <w:r w:rsidR="001A1651">
        <w:rPr>
          <w:rFonts w:ascii="Times New Roman" w:hAnsi="Times New Roman" w:cs="Times New Roman"/>
        </w:rPr>
        <w:t>The SEC found that DAO tokens were an “investment contract” and thus a security</w:t>
      </w:r>
      <w:r w:rsidR="007268C7">
        <w:rPr>
          <w:rFonts w:ascii="Times New Roman" w:hAnsi="Times New Roman" w:cs="Times New Roman"/>
        </w:rPr>
        <w:t xml:space="preserve"> within the meaning of the Securities Act</w:t>
      </w:r>
      <w:r w:rsidR="00FF41C0">
        <w:rPr>
          <w:rFonts w:ascii="Times New Roman" w:hAnsi="Times New Roman" w:cs="Times New Roman"/>
        </w:rPr>
        <w:t>s</w:t>
      </w:r>
      <w:r w:rsidR="007268C7">
        <w:rPr>
          <w:rFonts w:ascii="Times New Roman" w:hAnsi="Times New Roman" w:cs="Times New Roman"/>
        </w:rPr>
        <w:t xml:space="preserve"> of 1933</w:t>
      </w:r>
      <w:r w:rsidR="00FF41C0">
        <w:rPr>
          <w:rFonts w:ascii="Times New Roman" w:hAnsi="Times New Roman" w:cs="Times New Roman"/>
        </w:rPr>
        <w:t xml:space="preserve"> and 1934</w:t>
      </w:r>
      <w:r w:rsidR="007268C7">
        <w:rPr>
          <w:rFonts w:ascii="Times New Roman" w:hAnsi="Times New Roman" w:cs="Times New Roman"/>
        </w:rPr>
        <w:t xml:space="preserve"> thereby requiring </w:t>
      </w:r>
      <w:r w:rsidR="001A1651">
        <w:rPr>
          <w:rFonts w:ascii="Times New Roman" w:hAnsi="Times New Roman" w:cs="Times New Roman"/>
        </w:rPr>
        <w:t xml:space="preserve">registration </w:t>
      </w:r>
      <w:r w:rsidR="0008226B">
        <w:rPr>
          <w:rFonts w:ascii="Times New Roman" w:hAnsi="Times New Roman" w:cs="Times New Roman"/>
        </w:rPr>
        <w:t xml:space="preserve">of the security </w:t>
      </w:r>
      <w:r w:rsidR="001A1651">
        <w:rPr>
          <w:rFonts w:ascii="Times New Roman" w:hAnsi="Times New Roman" w:cs="Times New Roman"/>
        </w:rPr>
        <w:t xml:space="preserve">prior to </w:t>
      </w:r>
      <w:r w:rsidR="00FF41C0">
        <w:rPr>
          <w:rFonts w:ascii="Times New Roman" w:hAnsi="Times New Roman" w:cs="Times New Roman"/>
        </w:rPr>
        <w:t xml:space="preserve">the </w:t>
      </w:r>
      <w:r w:rsidR="001A1651">
        <w:rPr>
          <w:rFonts w:ascii="Times New Roman" w:hAnsi="Times New Roman" w:cs="Times New Roman"/>
        </w:rPr>
        <w:t>offer and sale to the public</w:t>
      </w:r>
      <w:r w:rsidR="00FF41C0">
        <w:rPr>
          <w:rFonts w:ascii="Times New Roman" w:hAnsi="Times New Roman" w:cs="Times New Roman"/>
        </w:rPr>
        <w:t>.</w:t>
      </w:r>
      <w:r w:rsidR="001A1651">
        <w:rPr>
          <w:rFonts w:ascii="Times New Roman" w:hAnsi="Times New Roman" w:cs="Times New Roman"/>
        </w:rPr>
        <w:t xml:space="preserve"> The SEC found that trading of DAO tokens on the secondary market did not violate the Securities and Exchange Act of 1934, because the platforms that traded DAO Tokens </w:t>
      </w:r>
      <w:r w:rsidR="00FD52A5">
        <w:rPr>
          <w:rFonts w:ascii="Times New Roman" w:hAnsi="Times New Roman" w:cs="Times New Roman"/>
        </w:rPr>
        <w:t xml:space="preserve">met the requirements of Rule 3b-16(a). The SEC </w:t>
      </w:r>
      <w:r w:rsidR="00692D34">
        <w:rPr>
          <w:rFonts w:ascii="Times New Roman" w:hAnsi="Times New Roman" w:cs="Times New Roman"/>
        </w:rPr>
        <w:t xml:space="preserve">elected </w:t>
      </w:r>
      <w:r w:rsidR="00FD52A5">
        <w:rPr>
          <w:rFonts w:ascii="Times New Roman" w:hAnsi="Times New Roman" w:cs="Times New Roman"/>
        </w:rPr>
        <w:t xml:space="preserve">not to pursue an enforcement proceeding against </w:t>
      </w:r>
      <w:r w:rsidR="0008226B">
        <w:rPr>
          <w:rFonts w:ascii="Times New Roman" w:hAnsi="Times New Roman" w:cs="Times New Roman"/>
        </w:rPr>
        <w:t>the DAO or Slock.it</w:t>
      </w:r>
      <w:r w:rsidR="00FD52A5">
        <w:rPr>
          <w:rFonts w:ascii="Times New Roman" w:hAnsi="Times New Roman" w:cs="Times New Roman"/>
        </w:rPr>
        <w:t>, preferring</w:t>
      </w:r>
      <w:r w:rsidR="00D34A85">
        <w:rPr>
          <w:rFonts w:ascii="Times New Roman" w:hAnsi="Times New Roman" w:cs="Times New Roman"/>
        </w:rPr>
        <w:t xml:space="preserve">, alternatively, </w:t>
      </w:r>
      <w:r w:rsidR="007268C7">
        <w:rPr>
          <w:rFonts w:ascii="Times New Roman" w:hAnsi="Times New Roman" w:cs="Times New Roman"/>
        </w:rPr>
        <w:t xml:space="preserve">to </w:t>
      </w:r>
      <w:r w:rsidR="00FD52A5">
        <w:rPr>
          <w:rFonts w:ascii="Times New Roman" w:hAnsi="Times New Roman" w:cs="Times New Roman"/>
        </w:rPr>
        <w:t>clarify the application of SEC legislation</w:t>
      </w:r>
      <w:r w:rsidR="007268C7">
        <w:rPr>
          <w:rFonts w:ascii="Times New Roman" w:hAnsi="Times New Roman" w:cs="Times New Roman"/>
        </w:rPr>
        <w:t xml:space="preserve"> to virtual organisations and</w:t>
      </w:r>
      <w:r w:rsidR="00FD52A5">
        <w:rPr>
          <w:rFonts w:ascii="Times New Roman" w:hAnsi="Times New Roman" w:cs="Times New Roman"/>
        </w:rPr>
        <w:t xml:space="preserve"> initial coin offerings.</w:t>
      </w:r>
    </w:p>
    <w:p w14:paraId="67EA78A4" w14:textId="77777777" w:rsidR="00FD52A5" w:rsidRDefault="00FD52A5" w:rsidP="00F01999">
      <w:pPr>
        <w:jc w:val="both"/>
        <w:rPr>
          <w:rFonts w:ascii="Times New Roman" w:hAnsi="Times New Roman" w:cs="Times New Roman"/>
        </w:rPr>
      </w:pPr>
    </w:p>
    <w:p w14:paraId="1D03AE9C" w14:textId="77777777" w:rsidR="00FD52A5" w:rsidRPr="00FD52A5" w:rsidRDefault="00FD52A5" w:rsidP="00F01999">
      <w:pPr>
        <w:jc w:val="both"/>
        <w:rPr>
          <w:rFonts w:ascii="Times New Roman" w:hAnsi="Times New Roman" w:cs="Times New Roman"/>
          <w:b/>
        </w:rPr>
      </w:pPr>
      <w:r w:rsidRPr="00FD52A5">
        <w:rPr>
          <w:rFonts w:ascii="Times New Roman" w:hAnsi="Times New Roman" w:cs="Times New Roman"/>
          <w:b/>
        </w:rPr>
        <w:t>Facts</w:t>
      </w:r>
    </w:p>
    <w:p w14:paraId="701776F3" w14:textId="77777777" w:rsidR="00BC22F2" w:rsidRDefault="00BC22F2" w:rsidP="00F01999">
      <w:pPr>
        <w:jc w:val="both"/>
        <w:rPr>
          <w:rFonts w:ascii="Times New Roman" w:hAnsi="Times New Roman" w:cs="Times New Roman"/>
        </w:rPr>
      </w:pPr>
    </w:p>
    <w:p w14:paraId="78B28EFC" w14:textId="32989725" w:rsidR="00134A71" w:rsidRDefault="00BC22F2" w:rsidP="00F01999">
      <w:pPr>
        <w:jc w:val="both"/>
        <w:rPr>
          <w:rFonts w:ascii="Times New Roman" w:hAnsi="Times New Roman" w:cs="Times New Roman"/>
        </w:rPr>
      </w:pPr>
      <w:r>
        <w:rPr>
          <w:rFonts w:ascii="Times New Roman" w:hAnsi="Times New Roman" w:cs="Times New Roman"/>
        </w:rPr>
        <w:t>I</w:t>
      </w:r>
      <w:r w:rsidR="00134A71">
        <w:rPr>
          <w:rFonts w:ascii="Times New Roman" w:hAnsi="Times New Roman" w:cs="Times New Roman"/>
        </w:rPr>
        <w:t xml:space="preserve">n 2016, </w:t>
      </w:r>
      <w:r w:rsidR="00717057">
        <w:rPr>
          <w:rFonts w:ascii="Times New Roman" w:hAnsi="Times New Roman" w:cs="Times New Roman"/>
        </w:rPr>
        <w:t>“</w:t>
      </w:r>
      <w:r w:rsidR="00134A71">
        <w:rPr>
          <w:rFonts w:ascii="Times New Roman" w:hAnsi="Times New Roman" w:cs="Times New Roman"/>
        </w:rPr>
        <w:t>Slock.it</w:t>
      </w:r>
      <w:r w:rsidR="00717057">
        <w:rPr>
          <w:rFonts w:ascii="Times New Roman" w:hAnsi="Times New Roman" w:cs="Times New Roman"/>
        </w:rPr>
        <w:t>”</w:t>
      </w:r>
      <w:r w:rsidR="00134A71">
        <w:rPr>
          <w:rFonts w:ascii="Times New Roman" w:hAnsi="Times New Roman" w:cs="Times New Roman"/>
        </w:rPr>
        <w:t xml:space="preserve"> established a Decentralised Autonomous O</w:t>
      </w:r>
      <w:r>
        <w:rPr>
          <w:rFonts w:ascii="Times New Roman" w:hAnsi="Times New Roman" w:cs="Times New Roman"/>
        </w:rPr>
        <w:t>rganisation [DAO]</w:t>
      </w:r>
      <w:r w:rsidR="002373CD">
        <w:rPr>
          <w:rFonts w:ascii="Times New Roman" w:hAnsi="Times New Roman" w:cs="Times New Roman"/>
        </w:rPr>
        <w:t>, an unincorporated organisation,</w:t>
      </w:r>
      <w:r>
        <w:rPr>
          <w:rFonts w:ascii="Times New Roman" w:hAnsi="Times New Roman" w:cs="Times New Roman"/>
        </w:rPr>
        <w:t xml:space="preserve"> on the Ethereum </w:t>
      </w:r>
      <w:r w:rsidR="002373CD">
        <w:rPr>
          <w:rFonts w:ascii="Times New Roman" w:hAnsi="Times New Roman" w:cs="Times New Roman"/>
        </w:rPr>
        <w:t xml:space="preserve">blockchain with the aim of operating a for-profit entity </w:t>
      </w:r>
      <w:r w:rsidR="002A3CD1">
        <w:rPr>
          <w:rFonts w:ascii="Times New Roman" w:hAnsi="Times New Roman" w:cs="Times New Roman"/>
        </w:rPr>
        <w:t xml:space="preserve">by selling DAO Tokens to the public and using the proceeds of the sale to fund “projects”. </w:t>
      </w:r>
      <w:r w:rsidR="009B2D77">
        <w:rPr>
          <w:rFonts w:ascii="Times New Roman" w:hAnsi="Times New Roman" w:cs="Times New Roman"/>
        </w:rPr>
        <w:t>No restrictions were placed on potential purchasers of the tokens; any person</w:t>
      </w:r>
      <w:r w:rsidR="0052065D">
        <w:rPr>
          <w:rFonts w:ascii="Times New Roman" w:hAnsi="Times New Roman" w:cs="Times New Roman"/>
        </w:rPr>
        <w:t xml:space="preserve">, despite financial experience or place of residence, could purchase the DAO Tokens.  </w:t>
      </w:r>
      <w:r w:rsidR="009B2D77">
        <w:rPr>
          <w:rFonts w:ascii="Times New Roman" w:hAnsi="Times New Roman" w:cs="Times New Roman"/>
        </w:rPr>
        <w:t xml:space="preserve"> </w:t>
      </w:r>
      <w:r w:rsidR="002A3CD1">
        <w:rPr>
          <w:rFonts w:ascii="Times New Roman" w:hAnsi="Times New Roman" w:cs="Times New Roman"/>
        </w:rPr>
        <w:t>Purchase</w:t>
      </w:r>
      <w:r w:rsidR="009F3908">
        <w:rPr>
          <w:rFonts w:ascii="Times New Roman" w:hAnsi="Times New Roman" w:cs="Times New Roman"/>
        </w:rPr>
        <w:t>r</w:t>
      </w:r>
      <w:r w:rsidR="002A3CD1">
        <w:rPr>
          <w:rFonts w:ascii="Times New Roman" w:hAnsi="Times New Roman" w:cs="Times New Roman"/>
        </w:rPr>
        <w:t xml:space="preserve">s of the DAO Tokens </w:t>
      </w:r>
      <w:r w:rsidR="009F3908">
        <w:rPr>
          <w:rFonts w:ascii="Times New Roman" w:hAnsi="Times New Roman" w:cs="Times New Roman"/>
        </w:rPr>
        <w:t xml:space="preserve">had the right </w:t>
      </w:r>
      <w:r w:rsidR="002A3CD1">
        <w:rPr>
          <w:rFonts w:ascii="Times New Roman" w:hAnsi="Times New Roman" w:cs="Times New Roman"/>
        </w:rPr>
        <w:t xml:space="preserve">to share in the earnings of the “projects” as a return on their investment in DAO Tokens. </w:t>
      </w:r>
      <w:r w:rsidR="009F3908">
        <w:rPr>
          <w:rFonts w:ascii="Times New Roman" w:hAnsi="Times New Roman" w:cs="Times New Roman"/>
        </w:rPr>
        <w:t>Alternatively, purchasers of DAO Tokens could monetise their holdings by selling DAO Tokens on the secondary market for cryptocurrency or fiat currency.</w:t>
      </w:r>
    </w:p>
    <w:p w14:paraId="0D073E59" w14:textId="77777777" w:rsidR="00134A71" w:rsidRDefault="00134A71" w:rsidP="00F01999">
      <w:pPr>
        <w:jc w:val="both"/>
        <w:rPr>
          <w:rFonts w:ascii="Times New Roman" w:hAnsi="Times New Roman" w:cs="Times New Roman"/>
        </w:rPr>
      </w:pPr>
    </w:p>
    <w:p w14:paraId="4F975205" w14:textId="7D8C9A16" w:rsidR="000447FD" w:rsidRDefault="00717057" w:rsidP="00F01999">
      <w:pPr>
        <w:jc w:val="both"/>
        <w:rPr>
          <w:rFonts w:ascii="Times New Roman" w:hAnsi="Times New Roman" w:cs="Times New Roman"/>
        </w:rPr>
      </w:pPr>
      <w:r>
        <w:rPr>
          <w:rFonts w:ascii="Times New Roman" w:hAnsi="Times New Roman" w:cs="Times New Roman"/>
        </w:rPr>
        <w:t xml:space="preserve">During the period 30 April 2016 through 28 May 2016, </w:t>
      </w:r>
      <w:r w:rsidR="0052065D">
        <w:rPr>
          <w:rFonts w:ascii="Times New Roman" w:hAnsi="Times New Roman" w:cs="Times New Roman"/>
        </w:rPr>
        <w:t>the DAO</w:t>
      </w:r>
      <w:r w:rsidR="00E27B53">
        <w:rPr>
          <w:rFonts w:ascii="Times New Roman" w:hAnsi="Times New Roman" w:cs="Times New Roman"/>
        </w:rPr>
        <w:t xml:space="preserve"> offered and sold approximately 1.15 billion DAO Tokens in exchange for approximately 12 million Ether, the virtual currency used on the Ethereum blockchain</w:t>
      </w:r>
      <w:r w:rsidR="0052065D">
        <w:rPr>
          <w:rFonts w:ascii="Times New Roman" w:hAnsi="Times New Roman" w:cs="Times New Roman"/>
        </w:rPr>
        <w:t xml:space="preserve">, </w:t>
      </w:r>
      <w:r w:rsidR="001406F7">
        <w:rPr>
          <w:rFonts w:ascii="Times New Roman" w:hAnsi="Times New Roman" w:cs="Times New Roman"/>
        </w:rPr>
        <w:t xml:space="preserve">and </w:t>
      </w:r>
      <w:r w:rsidR="0052065D">
        <w:rPr>
          <w:rFonts w:ascii="Times New Roman" w:hAnsi="Times New Roman" w:cs="Times New Roman"/>
        </w:rPr>
        <w:t xml:space="preserve">the </w:t>
      </w:r>
      <w:r w:rsidR="001406F7">
        <w:rPr>
          <w:rFonts w:ascii="Times New Roman" w:hAnsi="Times New Roman" w:cs="Times New Roman"/>
        </w:rPr>
        <w:t xml:space="preserve">digital </w:t>
      </w:r>
      <w:r w:rsidR="0052065D">
        <w:rPr>
          <w:rFonts w:ascii="Times New Roman" w:hAnsi="Times New Roman" w:cs="Times New Roman"/>
        </w:rPr>
        <w:t>currency required for purchase</w:t>
      </w:r>
      <w:r w:rsidR="00E27B53">
        <w:rPr>
          <w:rFonts w:ascii="Times New Roman" w:hAnsi="Times New Roman" w:cs="Times New Roman"/>
        </w:rPr>
        <w:t xml:space="preserve">. </w:t>
      </w:r>
      <w:r w:rsidR="0052065D">
        <w:rPr>
          <w:rFonts w:ascii="Times New Roman" w:hAnsi="Times New Roman" w:cs="Times New Roman"/>
        </w:rPr>
        <w:t xml:space="preserve">At the close of the offer, </w:t>
      </w:r>
      <w:r w:rsidR="00E27B53">
        <w:rPr>
          <w:rFonts w:ascii="Times New Roman" w:hAnsi="Times New Roman" w:cs="Times New Roman"/>
        </w:rPr>
        <w:t>Slock.it had raised, as measured in US dollars, a total amount of $150 million.</w:t>
      </w:r>
      <w:r w:rsidR="00F47752">
        <w:rPr>
          <w:rFonts w:ascii="Times New Roman" w:hAnsi="Times New Roman" w:cs="Times New Roman"/>
        </w:rPr>
        <w:t xml:space="preserve"> The </w:t>
      </w:r>
      <w:r w:rsidR="000447FD">
        <w:rPr>
          <w:rFonts w:ascii="Times New Roman" w:hAnsi="Times New Roman" w:cs="Times New Roman"/>
        </w:rPr>
        <w:t>funds were held at an Ethereum Blockchain addr</w:t>
      </w:r>
      <w:r w:rsidR="0052065D">
        <w:rPr>
          <w:rFonts w:ascii="Times New Roman" w:hAnsi="Times New Roman" w:cs="Times New Roman"/>
        </w:rPr>
        <w:t>ess; DAO Token holders were to v</w:t>
      </w:r>
      <w:r w:rsidR="000447FD">
        <w:rPr>
          <w:rFonts w:ascii="Times New Roman" w:hAnsi="Times New Roman" w:cs="Times New Roman"/>
        </w:rPr>
        <w:t xml:space="preserve">ote on </w:t>
      </w:r>
      <w:r w:rsidR="001406F7">
        <w:rPr>
          <w:rFonts w:ascii="Times New Roman" w:hAnsi="Times New Roman" w:cs="Times New Roman"/>
        </w:rPr>
        <w:t xml:space="preserve">Contractor </w:t>
      </w:r>
      <w:r w:rsidR="000447FD">
        <w:rPr>
          <w:rFonts w:ascii="Times New Roman" w:hAnsi="Times New Roman" w:cs="Times New Roman"/>
        </w:rPr>
        <w:t xml:space="preserve">proposals to fund projects; and the DAO would distribute </w:t>
      </w:r>
      <w:r w:rsidR="001406F7">
        <w:rPr>
          <w:rFonts w:ascii="Times New Roman" w:hAnsi="Times New Roman" w:cs="Times New Roman"/>
        </w:rPr>
        <w:t xml:space="preserve">any </w:t>
      </w:r>
      <w:r w:rsidR="000447FD">
        <w:rPr>
          <w:rFonts w:ascii="Times New Roman" w:hAnsi="Times New Roman" w:cs="Times New Roman"/>
        </w:rPr>
        <w:t>earnings to DAO Token holders.</w:t>
      </w:r>
    </w:p>
    <w:p w14:paraId="58F1E103" w14:textId="77777777" w:rsidR="000447FD" w:rsidRDefault="000447FD" w:rsidP="00F01999">
      <w:pPr>
        <w:jc w:val="both"/>
        <w:rPr>
          <w:rFonts w:ascii="Times New Roman" w:hAnsi="Times New Roman" w:cs="Times New Roman"/>
        </w:rPr>
      </w:pPr>
    </w:p>
    <w:p w14:paraId="5B5B467D" w14:textId="12980929" w:rsidR="00F41B38" w:rsidRDefault="00A316E3" w:rsidP="00F01999">
      <w:pPr>
        <w:jc w:val="both"/>
        <w:rPr>
          <w:rFonts w:ascii="Times New Roman" w:hAnsi="Times New Roman" w:cs="Times New Roman"/>
        </w:rPr>
      </w:pPr>
      <w:r>
        <w:rPr>
          <w:rFonts w:ascii="Times New Roman" w:hAnsi="Times New Roman" w:cs="Times New Roman"/>
        </w:rPr>
        <w:t xml:space="preserve">The DAO Token granted certain voting and ownership rights to </w:t>
      </w:r>
      <w:r w:rsidR="001406F7">
        <w:rPr>
          <w:rFonts w:ascii="Times New Roman" w:hAnsi="Times New Roman" w:cs="Times New Roman"/>
        </w:rPr>
        <w:t xml:space="preserve">Token </w:t>
      </w:r>
      <w:r>
        <w:rPr>
          <w:rFonts w:ascii="Times New Roman" w:hAnsi="Times New Roman" w:cs="Times New Roman"/>
        </w:rPr>
        <w:t>holder</w:t>
      </w:r>
      <w:r w:rsidR="001406F7">
        <w:rPr>
          <w:rFonts w:ascii="Times New Roman" w:hAnsi="Times New Roman" w:cs="Times New Roman"/>
        </w:rPr>
        <w:t xml:space="preserve">s </w:t>
      </w:r>
      <w:r w:rsidR="009B2D77">
        <w:rPr>
          <w:rFonts w:ascii="Times New Roman" w:hAnsi="Times New Roman" w:cs="Times New Roman"/>
        </w:rPr>
        <w:t>in DAO funded projects</w:t>
      </w:r>
      <w:r>
        <w:rPr>
          <w:rFonts w:ascii="Times New Roman" w:hAnsi="Times New Roman" w:cs="Times New Roman"/>
        </w:rPr>
        <w:t>.</w:t>
      </w:r>
      <w:r w:rsidR="0052065D">
        <w:rPr>
          <w:rFonts w:ascii="Times New Roman" w:hAnsi="Times New Roman" w:cs="Times New Roman"/>
        </w:rPr>
        <w:t xml:space="preserve"> However, the </w:t>
      </w:r>
      <w:r w:rsidR="001406F7">
        <w:rPr>
          <w:rFonts w:ascii="Times New Roman" w:hAnsi="Times New Roman" w:cs="Times New Roman"/>
        </w:rPr>
        <w:t xml:space="preserve">method </w:t>
      </w:r>
      <w:r w:rsidR="0052065D">
        <w:rPr>
          <w:rFonts w:ascii="Times New Roman" w:hAnsi="Times New Roman" w:cs="Times New Roman"/>
        </w:rPr>
        <w:t xml:space="preserve">established to vet project proposals rendered voting rights of DAO Token holders virtually meaningless. </w:t>
      </w:r>
      <w:r w:rsidR="00AF3A27">
        <w:rPr>
          <w:rFonts w:ascii="Times New Roman" w:hAnsi="Times New Roman" w:cs="Times New Roman"/>
        </w:rPr>
        <w:t>Contractors submitted project proposals to one or more of DAO’s Curators. The Curators were individuals appointed by Slock.it</w:t>
      </w:r>
      <w:r w:rsidR="00D569F9">
        <w:rPr>
          <w:rFonts w:ascii="Times New Roman" w:hAnsi="Times New Roman" w:cs="Times New Roman"/>
        </w:rPr>
        <w:t xml:space="preserve">. In the event a Contractor proposal met pre-defined criteria, Curators could add the proposal to a “whitelist” of projects, and Curators, in their sole discretion, could decide to submit a project proposal for voting by DAO Token holders. </w:t>
      </w:r>
    </w:p>
    <w:p w14:paraId="7DE2D5F6" w14:textId="77777777" w:rsidR="00F41B38" w:rsidRDefault="00F41B38" w:rsidP="00F01999">
      <w:pPr>
        <w:jc w:val="both"/>
        <w:rPr>
          <w:rFonts w:ascii="Times New Roman" w:hAnsi="Times New Roman" w:cs="Times New Roman"/>
        </w:rPr>
      </w:pPr>
    </w:p>
    <w:p w14:paraId="2BCD7EA2" w14:textId="26B0D21B" w:rsidR="009F3908" w:rsidRPr="0090481C" w:rsidRDefault="0039139D" w:rsidP="00F01999">
      <w:pPr>
        <w:jc w:val="both"/>
        <w:rPr>
          <w:rFonts w:ascii="Times New Roman" w:hAnsi="Times New Roman" w:cs="Times New Roman"/>
        </w:rPr>
      </w:pPr>
      <w:r>
        <w:rPr>
          <w:rFonts w:ascii="Times New Roman" w:hAnsi="Times New Roman" w:cs="Times New Roman"/>
        </w:rPr>
        <w:t xml:space="preserve">Curators </w:t>
      </w:r>
      <w:r w:rsidR="00655EB9">
        <w:rPr>
          <w:rFonts w:ascii="Times New Roman" w:hAnsi="Times New Roman" w:cs="Times New Roman"/>
        </w:rPr>
        <w:t>determine</w:t>
      </w:r>
      <w:r w:rsidR="001406F7">
        <w:rPr>
          <w:rFonts w:ascii="Times New Roman" w:hAnsi="Times New Roman" w:cs="Times New Roman"/>
        </w:rPr>
        <w:t>d</w:t>
      </w:r>
      <w:r w:rsidR="00655EB9">
        <w:rPr>
          <w:rFonts w:ascii="Times New Roman" w:hAnsi="Times New Roman" w:cs="Times New Roman"/>
        </w:rPr>
        <w:t xml:space="preserve"> whether any particular project proposal should be submitted for vote by DAO Token holders. </w:t>
      </w:r>
      <w:r w:rsidR="001406F7">
        <w:rPr>
          <w:rFonts w:ascii="Times New Roman" w:hAnsi="Times New Roman" w:cs="Times New Roman"/>
        </w:rPr>
        <w:t xml:space="preserve">Curator’s </w:t>
      </w:r>
      <w:r w:rsidR="00655EB9">
        <w:rPr>
          <w:rFonts w:ascii="Times New Roman" w:hAnsi="Times New Roman" w:cs="Times New Roman"/>
        </w:rPr>
        <w:t>powers included</w:t>
      </w:r>
      <w:r w:rsidR="00AA18A3">
        <w:rPr>
          <w:rFonts w:ascii="Times New Roman" w:hAnsi="Times New Roman" w:cs="Times New Roman"/>
        </w:rPr>
        <w:t xml:space="preserve">: </w:t>
      </w:r>
      <w:r w:rsidR="00655EB9">
        <w:rPr>
          <w:rFonts w:ascii="Times New Roman" w:hAnsi="Times New Roman" w:cs="Times New Roman"/>
        </w:rPr>
        <w:t>criteria set forth in the “White Paper”</w:t>
      </w:r>
      <w:r w:rsidR="00AA18A3">
        <w:rPr>
          <w:rFonts w:ascii="Times New Roman" w:hAnsi="Times New Roman" w:cs="Times New Roman"/>
        </w:rPr>
        <w:t xml:space="preserve">, </w:t>
      </w:r>
      <w:r w:rsidR="00655EB9">
        <w:rPr>
          <w:rFonts w:ascii="Times New Roman" w:hAnsi="Times New Roman" w:cs="Times New Roman"/>
        </w:rPr>
        <w:t>subjective criteria</w:t>
      </w:r>
      <w:r w:rsidR="001406F7">
        <w:rPr>
          <w:rFonts w:ascii="Times New Roman" w:hAnsi="Times New Roman" w:cs="Times New Roman"/>
        </w:rPr>
        <w:t xml:space="preserve"> of an individual Curator</w:t>
      </w:r>
      <w:r w:rsidR="00AA18A3">
        <w:rPr>
          <w:rFonts w:ascii="Times New Roman" w:hAnsi="Times New Roman" w:cs="Times New Roman"/>
        </w:rPr>
        <w:t xml:space="preserve">, total control over projects posted to the “whitelist”, and authority to reduce the voting quorum requirement by 50% every other week. </w:t>
      </w:r>
      <w:r w:rsidR="002B07B0">
        <w:rPr>
          <w:rFonts w:ascii="Times New Roman" w:hAnsi="Times New Roman" w:cs="Times New Roman"/>
        </w:rPr>
        <w:t xml:space="preserve">No project ever was submitted to vote or funded under the </w:t>
      </w:r>
      <w:r w:rsidR="001406F7">
        <w:rPr>
          <w:rFonts w:ascii="Times New Roman" w:hAnsi="Times New Roman" w:cs="Times New Roman"/>
        </w:rPr>
        <w:t>DAO/</w:t>
      </w:r>
      <w:r w:rsidR="002B07B0">
        <w:rPr>
          <w:rFonts w:ascii="Times New Roman" w:hAnsi="Times New Roman" w:cs="Times New Roman"/>
        </w:rPr>
        <w:t>Slock.it scheme. [The theft of approximately one-third of ETH raised is not discussed here as irrelevant to question</w:t>
      </w:r>
      <w:r w:rsidR="003A4B3B">
        <w:rPr>
          <w:rFonts w:ascii="Times New Roman" w:hAnsi="Times New Roman" w:cs="Times New Roman"/>
        </w:rPr>
        <w:t>; the stolen funds also were recovered</w:t>
      </w:r>
      <w:r w:rsidR="002B07B0">
        <w:rPr>
          <w:rFonts w:ascii="Times New Roman" w:hAnsi="Times New Roman" w:cs="Times New Roman"/>
        </w:rPr>
        <w:t>]</w:t>
      </w:r>
    </w:p>
    <w:p w14:paraId="13FBE5EB" w14:textId="77777777" w:rsidR="009F3908" w:rsidRDefault="009F3908" w:rsidP="00F01999">
      <w:pPr>
        <w:jc w:val="both"/>
        <w:rPr>
          <w:rFonts w:ascii="Times New Roman" w:hAnsi="Times New Roman" w:cs="Times New Roman"/>
        </w:rPr>
      </w:pPr>
    </w:p>
    <w:p w14:paraId="2708DCBE" w14:textId="057FD430" w:rsidR="00FD52A5" w:rsidRDefault="002373CD" w:rsidP="00F01999">
      <w:pPr>
        <w:jc w:val="both"/>
        <w:rPr>
          <w:rFonts w:ascii="Times New Roman" w:hAnsi="Times New Roman" w:cs="Times New Roman"/>
        </w:rPr>
      </w:pPr>
      <w:r>
        <w:rPr>
          <w:rFonts w:ascii="Times New Roman" w:hAnsi="Times New Roman" w:cs="Times New Roman"/>
        </w:rPr>
        <w:t xml:space="preserve">  </w:t>
      </w:r>
    </w:p>
    <w:p w14:paraId="47E417F9" w14:textId="0FB87178" w:rsidR="00FC747A" w:rsidRPr="00321951" w:rsidRDefault="00FC747A" w:rsidP="00F01999">
      <w:pPr>
        <w:jc w:val="both"/>
        <w:rPr>
          <w:rFonts w:ascii="Times New Roman" w:hAnsi="Times New Roman" w:cs="Times New Roman"/>
          <w:b/>
        </w:rPr>
      </w:pPr>
      <w:r w:rsidRPr="00321951">
        <w:rPr>
          <w:rFonts w:ascii="Times New Roman" w:hAnsi="Times New Roman" w:cs="Times New Roman"/>
          <w:b/>
        </w:rPr>
        <w:t>Question</w:t>
      </w:r>
    </w:p>
    <w:p w14:paraId="6FD4F850" w14:textId="77777777" w:rsidR="00FC747A" w:rsidRDefault="00FC747A" w:rsidP="00F01999">
      <w:pPr>
        <w:jc w:val="both"/>
        <w:rPr>
          <w:rFonts w:ascii="Times New Roman" w:hAnsi="Times New Roman" w:cs="Times New Roman"/>
        </w:rPr>
      </w:pPr>
    </w:p>
    <w:p w14:paraId="14734F0D" w14:textId="79D23057" w:rsidR="00A2274E" w:rsidRDefault="0090481C" w:rsidP="00F01999">
      <w:pPr>
        <w:jc w:val="both"/>
        <w:rPr>
          <w:rFonts w:ascii="Times New Roman" w:hAnsi="Times New Roman" w:cs="Times New Roman"/>
        </w:rPr>
      </w:pPr>
      <w:r>
        <w:rPr>
          <w:rFonts w:ascii="Times New Roman" w:hAnsi="Times New Roman" w:cs="Times New Roman"/>
        </w:rPr>
        <w:t xml:space="preserve">Did </w:t>
      </w:r>
      <w:r w:rsidR="00BE5148">
        <w:rPr>
          <w:rFonts w:ascii="Times New Roman" w:hAnsi="Times New Roman" w:cs="Times New Roman"/>
        </w:rPr>
        <w:t xml:space="preserve">the DAO </w:t>
      </w:r>
      <w:r>
        <w:rPr>
          <w:rFonts w:ascii="Times New Roman" w:hAnsi="Times New Roman" w:cs="Times New Roman"/>
        </w:rPr>
        <w:t xml:space="preserve">offer and sale of DAO Tokens to </w:t>
      </w:r>
      <w:r w:rsidR="00FC747A">
        <w:rPr>
          <w:rFonts w:ascii="Times New Roman" w:hAnsi="Times New Roman" w:cs="Times New Roman"/>
        </w:rPr>
        <w:t xml:space="preserve">the public for the purpose of </w:t>
      </w:r>
      <w:r>
        <w:rPr>
          <w:rFonts w:ascii="Times New Roman" w:hAnsi="Times New Roman" w:cs="Times New Roman"/>
        </w:rPr>
        <w:t>rais</w:t>
      </w:r>
      <w:r w:rsidR="00FC747A">
        <w:rPr>
          <w:rFonts w:ascii="Times New Roman" w:hAnsi="Times New Roman" w:cs="Times New Roman"/>
        </w:rPr>
        <w:t xml:space="preserve">ing </w:t>
      </w:r>
      <w:r>
        <w:rPr>
          <w:rFonts w:ascii="Times New Roman" w:hAnsi="Times New Roman" w:cs="Times New Roman"/>
        </w:rPr>
        <w:t xml:space="preserve">capital to fund “projects” </w:t>
      </w:r>
      <w:r w:rsidR="00FC747A">
        <w:rPr>
          <w:rFonts w:ascii="Times New Roman" w:hAnsi="Times New Roman" w:cs="Times New Roman"/>
        </w:rPr>
        <w:t xml:space="preserve">constitute the offer and sale of a “security” and violate the 1933 </w:t>
      </w:r>
      <w:r w:rsidR="00D3443F">
        <w:rPr>
          <w:rFonts w:ascii="Times New Roman" w:hAnsi="Times New Roman" w:cs="Times New Roman"/>
        </w:rPr>
        <w:t xml:space="preserve">and 1934 </w:t>
      </w:r>
      <w:r w:rsidR="00FC747A">
        <w:rPr>
          <w:rFonts w:ascii="Times New Roman" w:hAnsi="Times New Roman" w:cs="Times New Roman"/>
        </w:rPr>
        <w:t>Securities Act</w:t>
      </w:r>
      <w:r w:rsidR="00D3443F">
        <w:rPr>
          <w:rFonts w:ascii="Times New Roman" w:hAnsi="Times New Roman" w:cs="Times New Roman"/>
        </w:rPr>
        <w:t>s</w:t>
      </w:r>
      <w:r w:rsidR="00FC747A">
        <w:rPr>
          <w:rFonts w:ascii="Times New Roman" w:hAnsi="Times New Roman" w:cs="Times New Roman"/>
        </w:rPr>
        <w:t>?</w:t>
      </w:r>
    </w:p>
    <w:p w14:paraId="772F8E48" w14:textId="77777777" w:rsidR="00321951" w:rsidRDefault="00321951" w:rsidP="00F01999">
      <w:pPr>
        <w:jc w:val="both"/>
        <w:rPr>
          <w:rFonts w:ascii="Times New Roman" w:hAnsi="Times New Roman" w:cs="Times New Roman"/>
        </w:rPr>
      </w:pPr>
    </w:p>
    <w:p w14:paraId="5640F017" w14:textId="77777777" w:rsidR="00321951" w:rsidRDefault="00321951" w:rsidP="00F01999">
      <w:pPr>
        <w:jc w:val="both"/>
        <w:rPr>
          <w:rFonts w:ascii="Times New Roman" w:hAnsi="Times New Roman" w:cs="Times New Roman"/>
        </w:rPr>
      </w:pPr>
      <w:r>
        <w:rPr>
          <w:rFonts w:ascii="Times New Roman" w:hAnsi="Times New Roman" w:cs="Times New Roman"/>
        </w:rPr>
        <w:t>[Note that the SEC did not consider whether a Decentralised Autonomous Organisation is an investment company as defined by the Investment Company Act of 1940.]</w:t>
      </w:r>
    </w:p>
    <w:p w14:paraId="1634F32D" w14:textId="77777777" w:rsidR="00321951" w:rsidRDefault="00321951" w:rsidP="00F01999">
      <w:pPr>
        <w:jc w:val="both"/>
        <w:rPr>
          <w:rFonts w:ascii="Times New Roman" w:hAnsi="Times New Roman" w:cs="Times New Roman"/>
        </w:rPr>
      </w:pPr>
    </w:p>
    <w:p w14:paraId="0861B0CF" w14:textId="77777777" w:rsidR="00321951" w:rsidRPr="00321951" w:rsidRDefault="00321951" w:rsidP="00F01999">
      <w:pPr>
        <w:jc w:val="both"/>
        <w:rPr>
          <w:rFonts w:ascii="Times New Roman" w:hAnsi="Times New Roman" w:cs="Times New Roman"/>
          <w:b/>
        </w:rPr>
      </w:pPr>
      <w:r w:rsidRPr="00321951">
        <w:rPr>
          <w:rFonts w:ascii="Times New Roman" w:hAnsi="Times New Roman" w:cs="Times New Roman"/>
          <w:b/>
        </w:rPr>
        <w:t>Short Answer</w:t>
      </w:r>
    </w:p>
    <w:p w14:paraId="7D012F3D" w14:textId="77777777" w:rsidR="00321951" w:rsidRDefault="00321951" w:rsidP="00F01999">
      <w:pPr>
        <w:jc w:val="both"/>
        <w:rPr>
          <w:rFonts w:ascii="Times New Roman" w:hAnsi="Times New Roman" w:cs="Times New Roman"/>
        </w:rPr>
      </w:pPr>
    </w:p>
    <w:p w14:paraId="76725498" w14:textId="5CC83FAB" w:rsidR="00321951" w:rsidRDefault="00321951" w:rsidP="00F01999">
      <w:pPr>
        <w:jc w:val="both"/>
        <w:rPr>
          <w:rFonts w:ascii="Times New Roman" w:hAnsi="Times New Roman" w:cs="Times New Roman"/>
        </w:rPr>
      </w:pPr>
      <w:r>
        <w:rPr>
          <w:rFonts w:ascii="Times New Roman" w:hAnsi="Times New Roman" w:cs="Times New Roman"/>
        </w:rPr>
        <w:t xml:space="preserve">Yes, because the offer and sale of DAO Tokens were “investment contracts” under US securities law. Therefore, in the absence of exemption, </w:t>
      </w:r>
      <w:r w:rsidR="00BE5148">
        <w:rPr>
          <w:rFonts w:ascii="Times New Roman" w:hAnsi="Times New Roman" w:cs="Times New Roman"/>
        </w:rPr>
        <w:t xml:space="preserve">DAO </w:t>
      </w:r>
      <w:r>
        <w:rPr>
          <w:rFonts w:ascii="Times New Roman" w:hAnsi="Times New Roman" w:cs="Times New Roman"/>
        </w:rPr>
        <w:t xml:space="preserve">was required to file a registration statement with the SEC, prior to the offer and sale of DAO Tokens. </w:t>
      </w:r>
    </w:p>
    <w:p w14:paraId="6CC31AE9" w14:textId="77777777" w:rsidR="00321951" w:rsidRDefault="00321951" w:rsidP="00F01999">
      <w:pPr>
        <w:jc w:val="both"/>
        <w:rPr>
          <w:rFonts w:ascii="Times New Roman" w:hAnsi="Times New Roman" w:cs="Times New Roman"/>
        </w:rPr>
      </w:pPr>
    </w:p>
    <w:p w14:paraId="13EC5CDA" w14:textId="7DDF881F" w:rsidR="00321951" w:rsidRPr="00321951" w:rsidRDefault="00321951" w:rsidP="00F01999">
      <w:pPr>
        <w:jc w:val="both"/>
        <w:rPr>
          <w:rFonts w:ascii="Times New Roman" w:hAnsi="Times New Roman" w:cs="Times New Roman"/>
          <w:b/>
        </w:rPr>
      </w:pPr>
      <w:r w:rsidRPr="00321951">
        <w:rPr>
          <w:rFonts w:ascii="Times New Roman" w:hAnsi="Times New Roman" w:cs="Times New Roman"/>
          <w:b/>
        </w:rPr>
        <w:t>SEC Analysis</w:t>
      </w:r>
    </w:p>
    <w:p w14:paraId="6DB2C294" w14:textId="77777777" w:rsidR="00321951" w:rsidRDefault="00321951" w:rsidP="00F01999">
      <w:pPr>
        <w:jc w:val="both"/>
        <w:rPr>
          <w:rFonts w:ascii="Times New Roman" w:hAnsi="Times New Roman" w:cs="Times New Roman"/>
        </w:rPr>
      </w:pPr>
    </w:p>
    <w:p w14:paraId="2A7D234C" w14:textId="0A2C7775" w:rsidR="007D76F7" w:rsidRPr="007D76F7" w:rsidRDefault="007D76F7" w:rsidP="007D76F7">
      <w:pPr>
        <w:pStyle w:val="ListParagraph"/>
        <w:numPr>
          <w:ilvl w:val="0"/>
          <w:numId w:val="1"/>
        </w:numPr>
        <w:jc w:val="both"/>
        <w:rPr>
          <w:rFonts w:ascii="Times New Roman" w:hAnsi="Times New Roman" w:cs="Times New Roman"/>
          <w:i/>
        </w:rPr>
      </w:pPr>
      <w:r w:rsidRPr="007D76F7">
        <w:rPr>
          <w:rFonts w:ascii="Times New Roman" w:hAnsi="Times New Roman" w:cs="Times New Roman"/>
          <w:i/>
        </w:rPr>
        <w:t>The offer and sale of DAO Tokens were “investment contracts”</w:t>
      </w:r>
    </w:p>
    <w:p w14:paraId="1DBFE0F8" w14:textId="77777777" w:rsidR="007D76F7" w:rsidRDefault="007D76F7" w:rsidP="00F01999">
      <w:pPr>
        <w:jc w:val="both"/>
        <w:rPr>
          <w:rFonts w:ascii="Times New Roman" w:hAnsi="Times New Roman" w:cs="Times New Roman"/>
        </w:rPr>
      </w:pPr>
    </w:p>
    <w:p w14:paraId="0375FDE2" w14:textId="636FCF0A" w:rsidR="00321951" w:rsidRDefault="001A2E4D" w:rsidP="00F01999">
      <w:pPr>
        <w:jc w:val="both"/>
        <w:rPr>
          <w:rFonts w:ascii="Times New Roman" w:hAnsi="Times New Roman" w:cs="Times New Roman"/>
        </w:rPr>
      </w:pPr>
      <w:r>
        <w:rPr>
          <w:rFonts w:ascii="Times New Roman" w:hAnsi="Times New Roman" w:cs="Times New Roman"/>
        </w:rPr>
        <w:t xml:space="preserve">The SEC </w:t>
      </w:r>
      <w:r w:rsidR="00E2352A">
        <w:rPr>
          <w:rFonts w:ascii="Times New Roman" w:hAnsi="Times New Roman" w:cs="Times New Roman"/>
        </w:rPr>
        <w:t>found that the US “Securities laws apply to virtual organisations or capital raising entities making use of Distributed Ledger Technology”</w:t>
      </w:r>
      <w:r w:rsidR="00D3443F">
        <w:rPr>
          <w:rFonts w:ascii="Times New Roman" w:hAnsi="Times New Roman" w:cs="Times New Roman"/>
        </w:rPr>
        <w:t>, that is, the Blockchain</w:t>
      </w:r>
      <w:r w:rsidR="00E2352A">
        <w:rPr>
          <w:rFonts w:ascii="Times New Roman" w:hAnsi="Times New Roman" w:cs="Times New Roman"/>
        </w:rPr>
        <w:t>. This conclusion followed from the definition of security to encompass “an investment contract”. An investment contract “is an investment of money in a common enterprise with a reasonable expectat</w:t>
      </w:r>
      <w:r w:rsidR="00D3443F">
        <w:rPr>
          <w:rFonts w:ascii="Times New Roman" w:hAnsi="Times New Roman" w:cs="Times New Roman"/>
        </w:rPr>
        <w:t>ion of profit</w:t>
      </w:r>
      <w:r w:rsidR="00E2352A">
        <w:rPr>
          <w:rFonts w:ascii="Times New Roman" w:hAnsi="Times New Roman" w:cs="Times New Roman"/>
        </w:rPr>
        <w:t xml:space="preserve"> to be derived from the entrepreneurial or managerial efforts of others”. This test first enunciated in </w:t>
      </w:r>
      <w:r w:rsidR="00E2352A" w:rsidRPr="00E2352A">
        <w:rPr>
          <w:rFonts w:ascii="Times New Roman" w:hAnsi="Times New Roman" w:cs="Times New Roman"/>
          <w:i/>
        </w:rPr>
        <w:t>SEC v W.J. Howey, Co</w:t>
      </w:r>
      <w:r w:rsidR="00E2352A">
        <w:rPr>
          <w:rFonts w:ascii="Times New Roman" w:hAnsi="Times New Roman" w:cs="Times New Roman"/>
        </w:rPr>
        <w:t>., 328 U.S. 293, 301 (1946) was intended to implement the “statutory purpose of compelling full and fair disclosure relative to the issuance of the ‘many types of instruments that in our commercial world fall within the ordinary concept of a security’”.</w:t>
      </w:r>
      <w:r w:rsidR="004170D0">
        <w:rPr>
          <w:rFonts w:ascii="Times New Roman" w:hAnsi="Times New Roman" w:cs="Times New Roman"/>
        </w:rPr>
        <w:t xml:space="preserve"> The economic reality of the transaction primes the formal name of the instrument.</w:t>
      </w:r>
    </w:p>
    <w:p w14:paraId="313C3BC6" w14:textId="77777777" w:rsidR="00FD20C7" w:rsidRDefault="00FD20C7" w:rsidP="00F01999">
      <w:pPr>
        <w:jc w:val="both"/>
        <w:rPr>
          <w:rFonts w:ascii="Times New Roman" w:hAnsi="Times New Roman" w:cs="Times New Roman"/>
        </w:rPr>
      </w:pPr>
    </w:p>
    <w:p w14:paraId="66EF80F1" w14:textId="6DA0BE1A" w:rsidR="007D76F7" w:rsidRPr="007D76F7" w:rsidRDefault="007D76F7" w:rsidP="007D76F7">
      <w:pPr>
        <w:pStyle w:val="ListParagraph"/>
        <w:numPr>
          <w:ilvl w:val="0"/>
          <w:numId w:val="1"/>
        </w:numPr>
        <w:jc w:val="both"/>
        <w:rPr>
          <w:rFonts w:ascii="Times New Roman" w:hAnsi="Times New Roman" w:cs="Times New Roman"/>
          <w:i/>
        </w:rPr>
      </w:pPr>
      <w:r w:rsidRPr="007D76F7">
        <w:rPr>
          <w:rFonts w:ascii="Times New Roman" w:hAnsi="Times New Roman" w:cs="Times New Roman"/>
          <w:i/>
        </w:rPr>
        <w:t>Digital currency is money</w:t>
      </w:r>
      <w:r>
        <w:rPr>
          <w:rFonts w:ascii="Times New Roman" w:hAnsi="Times New Roman" w:cs="Times New Roman"/>
          <w:i/>
        </w:rPr>
        <w:t xml:space="preserve"> and investors had reasonable expectation of profits </w:t>
      </w:r>
    </w:p>
    <w:p w14:paraId="0D329BA9" w14:textId="77777777" w:rsidR="007D76F7" w:rsidRDefault="007D76F7" w:rsidP="00F01999">
      <w:pPr>
        <w:jc w:val="both"/>
        <w:rPr>
          <w:rFonts w:ascii="Times New Roman" w:hAnsi="Times New Roman" w:cs="Times New Roman"/>
        </w:rPr>
      </w:pPr>
    </w:p>
    <w:p w14:paraId="3BA9E900" w14:textId="7D07A2AE" w:rsidR="00FD20C7" w:rsidRDefault="00FD20C7" w:rsidP="00F01999">
      <w:pPr>
        <w:jc w:val="both"/>
        <w:rPr>
          <w:rFonts w:ascii="Times New Roman" w:hAnsi="Times New Roman" w:cs="Times New Roman"/>
        </w:rPr>
      </w:pPr>
      <w:r>
        <w:rPr>
          <w:rFonts w:ascii="Times New Roman" w:hAnsi="Times New Roman" w:cs="Times New Roman"/>
        </w:rPr>
        <w:t xml:space="preserve">Purchasers of DAO Tokens invested money, since money need not take the form of cash or fiat currency. Buying DAO Tokens with ETH, the Ethereum digital currency, was a sufficient contribution of value to satisfy the requirements of the </w:t>
      </w:r>
      <w:r w:rsidRPr="00FD20C7">
        <w:rPr>
          <w:rFonts w:ascii="Times New Roman" w:hAnsi="Times New Roman" w:cs="Times New Roman"/>
          <w:i/>
        </w:rPr>
        <w:t>Howey</w:t>
      </w:r>
      <w:r>
        <w:rPr>
          <w:rFonts w:ascii="Times New Roman" w:hAnsi="Times New Roman" w:cs="Times New Roman"/>
        </w:rPr>
        <w:t xml:space="preserve"> test. In addition, purchasers of DAO Tokens invested in a common enterprise, the DAO, that pooled all funds</w:t>
      </w:r>
      <w:r w:rsidR="004D5CE9">
        <w:rPr>
          <w:rFonts w:ascii="Times New Roman" w:hAnsi="Times New Roman" w:cs="Times New Roman"/>
        </w:rPr>
        <w:t>,</w:t>
      </w:r>
      <w:r>
        <w:rPr>
          <w:rFonts w:ascii="Times New Roman" w:hAnsi="Times New Roman" w:cs="Times New Roman"/>
        </w:rPr>
        <w:t xml:space="preserve"> parking them at an Ethereum blockchain address</w:t>
      </w:r>
      <w:r w:rsidR="004D5CE9">
        <w:rPr>
          <w:rFonts w:ascii="Times New Roman" w:hAnsi="Times New Roman" w:cs="Times New Roman"/>
        </w:rPr>
        <w:t xml:space="preserve">, to be used </w:t>
      </w:r>
      <w:r w:rsidR="00D01B45">
        <w:rPr>
          <w:rFonts w:ascii="Times New Roman" w:hAnsi="Times New Roman" w:cs="Times New Roman"/>
        </w:rPr>
        <w:t xml:space="preserve">later </w:t>
      </w:r>
      <w:r w:rsidR="004D5CE9">
        <w:rPr>
          <w:rFonts w:ascii="Times New Roman" w:hAnsi="Times New Roman" w:cs="Times New Roman"/>
        </w:rPr>
        <w:t>for investments in approved projects</w:t>
      </w:r>
      <w:r>
        <w:rPr>
          <w:rFonts w:ascii="Times New Roman" w:hAnsi="Times New Roman" w:cs="Times New Roman"/>
        </w:rPr>
        <w:t xml:space="preserve">. “The DAO was a for-profit entity whose objective was to fund projects in exchange for a return on investment”. The SEC stated that, a reasonable investor would have been motivated, in part, by the prospect of receiving profits on its investment. </w:t>
      </w:r>
    </w:p>
    <w:p w14:paraId="77E80ADC" w14:textId="77777777" w:rsidR="00FD20C7" w:rsidRDefault="00FD20C7" w:rsidP="00F01999">
      <w:pPr>
        <w:jc w:val="both"/>
        <w:rPr>
          <w:rFonts w:ascii="Times New Roman" w:hAnsi="Times New Roman" w:cs="Times New Roman"/>
        </w:rPr>
      </w:pPr>
    </w:p>
    <w:p w14:paraId="6ECDE3D5" w14:textId="4FC2BBE6" w:rsidR="00FD20C7" w:rsidRPr="00CE25CB" w:rsidRDefault="007D76F7" w:rsidP="007D76F7">
      <w:pPr>
        <w:pStyle w:val="ListParagraph"/>
        <w:numPr>
          <w:ilvl w:val="0"/>
          <w:numId w:val="1"/>
        </w:numPr>
        <w:jc w:val="both"/>
        <w:rPr>
          <w:rFonts w:ascii="Times New Roman" w:hAnsi="Times New Roman" w:cs="Times New Roman"/>
          <w:i/>
        </w:rPr>
      </w:pPr>
      <w:r w:rsidRPr="00CE25CB">
        <w:rPr>
          <w:rFonts w:ascii="Times New Roman" w:hAnsi="Times New Roman" w:cs="Times New Roman"/>
          <w:i/>
        </w:rPr>
        <w:t>Profits were to be derived from efforts of others</w:t>
      </w:r>
      <w:r w:rsidR="00FD20C7" w:rsidRPr="00CE25CB">
        <w:rPr>
          <w:rFonts w:ascii="Times New Roman" w:hAnsi="Times New Roman" w:cs="Times New Roman"/>
          <w:i/>
        </w:rPr>
        <w:t xml:space="preserve">  </w:t>
      </w:r>
    </w:p>
    <w:p w14:paraId="7CAF4376" w14:textId="77777777" w:rsidR="007D76F7" w:rsidRDefault="007D76F7" w:rsidP="007D76F7">
      <w:pPr>
        <w:jc w:val="both"/>
        <w:rPr>
          <w:rFonts w:ascii="Times New Roman" w:hAnsi="Times New Roman" w:cs="Times New Roman"/>
        </w:rPr>
      </w:pPr>
    </w:p>
    <w:p w14:paraId="688F4FD2" w14:textId="2D19C0D3" w:rsidR="0027124B" w:rsidRDefault="00CE25CB" w:rsidP="007D76F7">
      <w:pPr>
        <w:jc w:val="both"/>
        <w:rPr>
          <w:rFonts w:ascii="Times New Roman" w:hAnsi="Times New Roman" w:cs="Times New Roman"/>
        </w:rPr>
      </w:pPr>
      <w:r>
        <w:rPr>
          <w:rFonts w:ascii="Times New Roman" w:hAnsi="Times New Roman" w:cs="Times New Roman"/>
        </w:rPr>
        <w:t xml:space="preserve">The DAO’s Curators exercised a virtual monopoly of power over receiving proposals submitted by ‘Contractors’, vetting the proposals, and applying criteria </w:t>
      </w:r>
      <w:r w:rsidR="004D5CE9">
        <w:rPr>
          <w:rFonts w:ascii="Times New Roman" w:hAnsi="Times New Roman" w:cs="Times New Roman"/>
        </w:rPr>
        <w:t xml:space="preserve">[subjective criteria inclusive] </w:t>
      </w:r>
      <w:r>
        <w:rPr>
          <w:rFonts w:ascii="Times New Roman" w:hAnsi="Times New Roman" w:cs="Times New Roman"/>
        </w:rPr>
        <w:t xml:space="preserve">to determine whether to place a project on the “whitelist”, the list of projects approved for investment. Investors were totally cut out of the process, despite their </w:t>
      </w:r>
      <w:r w:rsidR="004D5CE9">
        <w:rPr>
          <w:rFonts w:ascii="Times New Roman" w:hAnsi="Times New Roman" w:cs="Times New Roman"/>
        </w:rPr>
        <w:t xml:space="preserve">purported </w:t>
      </w:r>
      <w:r>
        <w:rPr>
          <w:rFonts w:ascii="Times New Roman" w:hAnsi="Times New Roman" w:cs="Times New Roman"/>
        </w:rPr>
        <w:t xml:space="preserve">voting and ownership rights. Investors had to rely on the expertise of the Curators. </w:t>
      </w:r>
      <w:r w:rsidR="000B451D">
        <w:rPr>
          <w:rFonts w:ascii="Times New Roman" w:hAnsi="Times New Roman" w:cs="Times New Roman"/>
        </w:rPr>
        <w:t>Investors lacked the authority t</w:t>
      </w:r>
      <w:r w:rsidR="004D5CE9">
        <w:rPr>
          <w:rFonts w:ascii="Times New Roman" w:hAnsi="Times New Roman" w:cs="Times New Roman"/>
        </w:rPr>
        <w:t>o remove a Curator, as Curators</w:t>
      </w:r>
      <w:r w:rsidR="000B451D">
        <w:rPr>
          <w:rFonts w:ascii="Times New Roman" w:hAnsi="Times New Roman" w:cs="Times New Roman"/>
        </w:rPr>
        <w:t xml:space="preserve"> alone</w:t>
      </w:r>
      <w:r w:rsidR="004D5CE9">
        <w:rPr>
          <w:rFonts w:ascii="Times New Roman" w:hAnsi="Times New Roman" w:cs="Times New Roman"/>
        </w:rPr>
        <w:t>,</w:t>
      </w:r>
      <w:r w:rsidR="000B451D">
        <w:rPr>
          <w:rFonts w:ascii="Times New Roman" w:hAnsi="Times New Roman" w:cs="Times New Roman"/>
        </w:rPr>
        <w:t xml:space="preserve"> determined whether a proposal of removal would be put to vote. </w:t>
      </w:r>
      <w:r w:rsidR="00AA4870">
        <w:rPr>
          <w:rFonts w:ascii="Times New Roman" w:hAnsi="Times New Roman" w:cs="Times New Roman"/>
        </w:rPr>
        <w:t xml:space="preserve">“The voting rights afforded DAO Token holders did not provide them with meaningful control over the enterprise”. </w:t>
      </w:r>
      <w:r w:rsidR="0027124B">
        <w:rPr>
          <w:rFonts w:ascii="Times New Roman" w:hAnsi="Times New Roman" w:cs="Times New Roman"/>
        </w:rPr>
        <w:t xml:space="preserve">Consequently, DAO Token holders relied upon the efforts of the DAO, and its Curators to exercise managerial expertise to produce profits and any return on their investment. </w:t>
      </w:r>
    </w:p>
    <w:p w14:paraId="668E44E1" w14:textId="77777777" w:rsidR="0027124B" w:rsidRDefault="0027124B" w:rsidP="007D76F7">
      <w:pPr>
        <w:jc w:val="both"/>
        <w:rPr>
          <w:rFonts w:ascii="Times New Roman" w:hAnsi="Times New Roman" w:cs="Times New Roman"/>
        </w:rPr>
      </w:pPr>
    </w:p>
    <w:p w14:paraId="447048E6" w14:textId="28F8E732" w:rsidR="005A4864" w:rsidRDefault="004D5CE9" w:rsidP="007D76F7">
      <w:pPr>
        <w:jc w:val="both"/>
        <w:rPr>
          <w:rFonts w:ascii="Times New Roman" w:hAnsi="Times New Roman" w:cs="Times New Roman"/>
        </w:rPr>
      </w:pPr>
      <w:r>
        <w:rPr>
          <w:rFonts w:ascii="Times New Roman" w:hAnsi="Times New Roman" w:cs="Times New Roman"/>
        </w:rPr>
        <w:t>T</w:t>
      </w:r>
      <w:r w:rsidR="005A4864">
        <w:rPr>
          <w:rFonts w:ascii="Times New Roman" w:hAnsi="Times New Roman" w:cs="Times New Roman"/>
        </w:rPr>
        <w:t xml:space="preserve">he definition of “issuer” </w:t>
      </w:r>
      <w:bookmarkStart w:id="0" w:name="_GoBack"/>
      <w:bookmarkEnd w:id="0"/>
      <w:r w:rsidR="005A4864">
        <w:rPr>
          <w:rFonts w:ascii="Times New Roman" w:hAnsi="Times New Roman" w:cs="Times New Roman"/>
        </w:rPr>
        <w:t xml:space="preserve">includes, “every person who issues or proposes to issue any security, and the term “person” comprises unincorporated associations. Therefore, DAO was an issuer within the meaning of the securities law. </w:t>
      </w:r>
      <w:r w:rsidR="0027124B">
        <w:rPr>
          <w:rFonts w:ascii="Times New Roman" w:hAnsi="Times New Roman" w:cs="Times New Roman"/>
        </w:rPr>
        <w:t xml:space="preserve">Since the offer and sale of DAO Tokens fell within the definition of an investment contract, and the DAO was the issuer of the security, the SEC found that </w:t>
      </w:r>
      <w:r w:rsidR="005A4864">
        <w:rPr>
          <w:rFonts w:ascii="Times New Roman" w:hAnsi="Times New Roman" w:cs="Times New Roman"/>
        </w:rPr>
        <w:t>DAO was required to file a registration statement with the SEC, prior to making an offer and sale of D</w:t>
      </w:r>
      <w:r w:rsidR="002E62DE">
        <w:rPr>
          <w:rFonts w:ascii="Times New Roman" w:hAnsi="Times New Roman" w:cs="Times New Roman"/>
        </w:rPr>
        <w:t>AO</w:t>
      </w:r>
      <w:r w:rsidR="005A4864">
        <w:rPr>
          <w:rFonts w:ascii="Times New Roman" w:hAnsi="Times New Roman" w:cs="Times New Roman"/>
        </w:rPr>
        <w:t xml:space="preserve"> Tokens. Consequently, the unregistered offer and sale of DAO Tokens violated the securities laws of the United States.</w:t>
      </w:r>
    </w:p>
    <w:p w14:paraId="5C91531E" w14:textId="77777777" w:rsidR="005A4864" w:rsidRDefault="005A4864" w:rsidP="007D76F7">
      <w:pPr>
        <w:jc w:val="both"/>
        <w:rPr>
          <w:rFonts w:ascii="Times New Roman" w:hAnsi="Times New Roman" w:cs="Times New Roman"/>
        </w:rPr>
      </w:pPr>
    </w:p>
    <w:p w14:paraId="648D7A9D" w14:textId="77777777" w:rsidR="00FE0E35" w:rsidRPr="00FE0E35" w:rsidRDefault="00FE0E35" w:rsidP="007D76F7">
      <w:pPr>
        <w:jc w:val="both"/>
        <w:rPr>
          <w:rFonts w:ascii="Times New Roman" w:hAnsi="Times New Roman" w:cs="Times New Roman"/>
          <w:b/>
        </w:rPr>
      </w:pPr>
      <w:r w:rsidRPr="00FE0E35">
        <w:rPr>
          <w:rFonts w:ascii="Times New Roman" w:hAnsi="Times New Roman" w:cs="Times New Roman"/>
          <w:b/>
        </w:rPr>
        <w:t>Conclusion</w:t>
      </w:r>
    </w:p>
    <w:p w14:paraId="4A13E9D0" w14:textId="77777777" w:rsidR="00FE0E35" w:rsidRDefault="00FE0E35" w:rsidP="007D76F7">
      <w:pPr>
        <w:jc w:val="both"/>
        <w:rPr>
          <w:rFonts w:ascii="Times New Roman" w:hAnsi="Times New Roman" w:cs="Times New Roman"/>
        </w:rPr>
      </w:pPr>
    </w:p>
    <w:p w14:paraId="1790433B" w14:textId="440FF432" w:rsidR="007D76F7" w:rsidRPr="007D76F7" w:rsidRDefault="00FE0E35" w:rsidP="007D76F7">
      <w:pPr>
        <w:jc w:val="both"/>
        <w:rPr>
          <w:rFonts w:ascii="Times New Roman" w:hAnsi="Times New Roman" w:cs="Times New Roman"/>
        </w:rPr>
      </w:pPr>
      <w:r>
        <w:rPr>
          <w:rFonts w:ascii="Times New Roman" w:hAnsi="Times New Roman" w:cs="Times New Roman"/>
        </w:rPr>
        <w:t xml:space="preserve">The SEC declined to pursue an enforcement proceeding against the DAO or Slock.it. Rather, the SEC Ruling </w:t>
      </w:r>
      <w:r w:rsidR="00BA2A6A">
        <w:rPr>
          <w:rFonts w:ascii="Times New Roman" w:hAnsi="Times New Roman" w:cs="Times New Roman"/>
        </w:rPr>
        <w:t>sends</w:t>
      </w:r>
      <w:r w:rsidR="004D5CE9">
        <w:rPr>
          <w:rFonts w:ascii="Times New Roman" w:hAnsi="Times New Roman" w:cs="Times New Roman"/>
        </w:rPr>
        <w:t xml:space="preserve"> </w:t>
      </w:r>
      <w:r>
        <w:rPr>
          <w:rFonts w:ascii="Times New Roman" w:hAnsi="Times New Roman" w:cs="Times New Roman"/>
        </w:rPr>
        <w:t xml:space="preserve">a signal to </w:t>
      </w:r>
      <w:r w:rsidR="008F7053">
        <w:rPr>
          <w:rFonts w:ascii="Times New Roman" w:hAnsi="Times New Roman" w:cs="Times New Roman"/>
        </w:rPr>
        <w:t xml:space="preserve">proprietors of disruptive technology in the financial </w:t>
      </w:r>
      <w:r w:rsidR="00BA2A6A">
        <w:rPr>
          <w:rFonts w:ascii="Times New Roman" w:hAnsi="Times New Roman" w:cs="Times New Roman"/>
        </w:rPr>
        <w:t>sector</w:t>
      </w:r>
      <w:r w:rsidR="008F7053">
        <w:rPr>
          <w:rFonts w:ascii="Times New Roman" w:hAnsi="Times New Roman" w:cs="Times New Roman"/>
        </w:rPr>
        <w:t xml:space="preserve"> that their actions may be subject, on a case by case basis, to comply with the securities legislation of the United States. SEC requirements extend to digital currency and virtual organisations.  </w:t>
      </w:r>
      <w:r w:rsidR="004D5CE9">
        <w:rPr>
          <w:rFonts w:ascii="Times New Roman" w:hAnsi="Times New Roman" w:cs="Times New Roman"/>
        </w:rPr>
        <w:t xml:space="preserve">It must be stressed that </w:t>
      </w:r>
      <w:r w:rsidR="00C7787F">
        <w:rPr>
          <w:rFonts w:ascii="Times New Roman" w:hAnsi="Times New Roman" w:cs="Times New Roman"/>
        </w:rPr>
        <w:t>the “</w:t>
      </w:r>
      <w:r w:rsidR="00C7787F" w:rsidRPr="00C7787F">
        <w:rPr>
          <w:rFonts w:ascii="Times New Roman" w:hAnsi="Times New Roman" w:cs="Times New Roman"/>
          <w:i/>
        </w:rPr>
        <w:t>Howey test</w:t>
      </w:r>
      <w:r w:rsidR="00C7787F">
        <w:rPr>
          <w:rFonts w:ascii="Times New Roman" w:hAnsi="Times New Roman" w:cs="Times New Roman"/>
        </w:rPr>
        <w:t xml:space="preserve">” is unique to the United States. Nothing comparable exists in EU securities law, though the EU is in the process of determining how to deal with the rise of FinTech and the Blockchain. </w:t>
      </w:r>
      <w:r w:rsidR="008F7053">
        <w:rPr>
          <w:rFonts w:ascii="Times New Roman" w:hAnsi="Times New Roman" w:cs="Times New Roman"/>
        </w:rPr>
        <w:t xml:space="preserve"> </w:t>
      </w:r>
      <w:r>
        <w:rPr>
          <w:rFonts w:ascii="Times New Roman" w:hAnsi="Times New Roman" w:cs="Times New Roman"/>
        </w:rPr>
        <w:t xml:space="preserve"> </w:t>
      </w:r>
    </w:p>
    <w:sectPr w:rsidR="007D76F7" w:rsidRPr="007D76F7" w:rsidSect="00D92FFC">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1E3B8" w14:textId="77777777" w:rsidR="009A5BF7" w:rsidRDefault="009A5BF7" w:rsidP="00DE5F9E">
      <w:r>
        <w:separator/>
      </w:r>
    </w:p>
  </w:endnote>
  <w:endnote w:type="continuationSeparator" w:id="0">
    <w:p w14:paraId="705A26EA" w14:textId="77777777" w:rsidR="009A5BF7" w:rsidRDefault="009A5BF7" w:rsidP="00DE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A3D2" w14:textId="77777777" w:rsidR="00DE5F9E" w:rsidRDefault="00DE5F9E" w:rsidP="00AA23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F69C6" w14:textId="77777777" w:rsidR="00DE5F9E" w:rsidRDefault="00DE5F9E" w:rsidP="00DE5F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5E898" w14:textId="77777777" w:rsidR="00DE5F9E" w:rsidRDefault="00DE5F9E" w:rsidP="00AA23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BF7">
      <w:rPr>
        <w:rStyle w:val="PageNumber"/>
        <w:noProof/>
      </w:rPr>
      <w:t>1</w:t>
    </w:r>
    <w:r>
      <w:rPr>
        <w:rStyle w:val="PageNumber"/>
      </w:rPr>
      <w:fldChar w:fldCharType="end"/>
    </w:r>
  </w:p>
  <w:p w14:paraId="52EE1622" w14:textId="69CFBF9B" w:rsidR="00DE5F9E" w:rsidRPr="00DE5F9E" w:rsidRDefault="00DE5F9E" w:rsidP="00DE5F9E">
    <w:pPr>
      <w:pStyle w:val="Footer"/>
      <w:ind w:right="360"/>
      <w:rPr>
        <w:rFonts w:ascii="Times New Roman" w:hAnsi="Times New Roman" w:cs="Times New Roman"/>
        <w:sz w:val="20"/>
        <w:szCs w:val="20"/>
      </w:rPr>
    </w:pPr>
    <w:r w:rsidRPr="00DE5F9E">
      <w:rPr>
        <w:rFonts w:ascii="Times New Roman" w:hAnsi="Times New Roman" w:cs="Times New Roman"/>
        <w:sz w:val="20"/>
        <w:szCs w:val="20"/>
      </w:rPr>
      <w:t>SEC Ruling Release No. 81207</w:t>
    </w:r>
    <w:r w:rsidRPr="00DE5F9E">
      <w:rPr>
        <w:rFonts w:ascii="Times New Roman" w:hAnsi="Times New Roman" w:cs="Times New Roman"/>
        <w:sz w:val="20"/>
        <w:szCs w:val="20"/>
      </w:rPr>
      <w:ptab w:relativeTo="margin" w:alignment="center" w:leader="none"/>
    </w:r>
    <w:r w:rsidRPr="00DE5F9E">
      <w:rPr>
        <w:rFonts w:ascii="Times New Roman" w:hAnsi="Times New Roman" w:cs="Times New Roman"/>
        <w:sz w:val="20"/>
        <w:szCs w:val="20"/>
      </w:rPr>
      <w:t>John JA Burke</w:t>
    </w:r>
    <w:r w:rsidRPr="00DE5F9E">
      <w:rPr>
        <w:rFonts w:ascii="Times New Roman" w:hAnsi="Times New Roman" w:cs="Times New Roman"/>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BFB38" w14:textId="77777777" w:rsidR="009A5BF7" w:rsidRDefault="009A5BF7" w:rsidP="00DE5F9E">
      <w:r>
        <w:separator/>
      </w:r>
    </w:p>
  </w:footnote>
  <w:footnote w:type="continuationSeparator" w:id="0">
    <w:p w14:paraId="2F95666F" w14:textId="77777777" w:rsidR="009A5BF7" w:rsidRDefault="009A5BF7" w:rsidP="00DE5F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E930E3"/>
    <w:multiLevelType w:val="hybridMultilevel"/>
    <w:tmpl w:val="426477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4E"/>
    <w:rsid w:val="000044D1"/>
    <w:rsid w:val="000447FD"/>
    <w:rsid w:val="00077AA3"/>
    <w:rsid w:val="0008226B"/>
    <w:rsid w:val="000B451D"/>
    <w:rsid w:val="00134A71"/>
    <w:rsid w:val="001406F7"/>
    <w:rsid w:val="001A1651"/>
    <w:rsid w:val="001A2E4D"/>
    <w:rsid w:val="002373CD"/>
    <w:rsid w:val="0027124B"/>
    <w:rsid w:val="002A3CD1"/>
    <w:rsid w:val="002B07B0"/>
    <w:rsid w:val="002E62DE"/>
    <w:rsid w:val="00321951"/>
    <w:rsid w:val="0033061A"/>
    <w:rsid w:val="0039139D"/>
    <w:rsid w:val="003A4B3B"/>
    <w:rsid w:val="004170D0"/>
    <w:rsid w:val="004D101F"/>
    <w:rsid w:val="004D5CE9"/>
    <w:rsid w:val="0052065D"/>
    <w:rsid w:val="00560E33"/>
    <w:rsid w:val="005A4864"/>
    <w:rsid w:val="00655EB9"/>
    <w:rsid w:val="00692D34"/>
    <w:rsid w:val="006E4FDD"/>
    <w:rsid w:val="00700F96"/>
    <w:rsid w:val="00713485"/>
    <w:rsid w:val="00717057"/>
    <w:rsid w:val="007268C7"/>
    <w:rsid w:val="007D76F7"/>
    <w:rsid w:val="008F7053"/>
    <w:rsid w:val="0090481C"/>
    <w:rsid w:val="009A5BF7"/>
    <w:rsid w:val="009B2D77"/>
    <w:rsid w:val="009F3908"/>
    <w:rsid w:val="00A2274E"/>
    <w:rsid w:val="00A316E3"/>
    <w:rsid w:val="00A93F5B"/>
    <w:rsid w:val="00AA18A3"/>
    <w:rsid w:val="00AA4870"/>
    <w:rsid w:val="00AF3A27"/>
    <w:rsid w:val="00BA2A6A"/>
    <w:rsid w:val="00BB6EF1"/>
    <w:rsid w:val="00BC22F2"/>
    <w:rsid w:val="00BE5148"/>
    <w:rsid w:val="00C7787F"/>
    <w:rsid w:val="00CB3121"/>
    <w:rsid w:val="00CE25CB"/>
    <w:rsid w:val="00D01B45"/>
    <w:rsid w:val="00D3443F"/>
    <w:rsid w:val="00D34A85"/>
    <w:rsid w:val="00D569F9"/>
    <w:rsid w:val="00D92FFC"/>
    <w:rsid w:val="00DE5F9E"/>
    <w:rsid w:val="00E2352A"/>
    <w:rsid w:val="00E27B53"/>
    <w:rsid w:val="00E76A2A"/>
    <w:rsid w:val="00E907B2"/>
    <w:rsid w:val="00F01999"/>
    <w:rsid w:val="00F41B38"/>
    <w:rsid w:val="00F47752"/>
    <w:rsid w:val="00F65301"/>
    <w:rsid w:val="00FB4538"/>
    <w:rsid w:val="00FC747A"/>
    <w:rsid w:val="00FD20C7"/>
    <w:rsid w:val="00FD52A5"/>
    <w:rsid w:val="00FE0E35"/>
    <w:rsid w:val="00FF4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21A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F9E"/>
    <w:pPr>
      <w:tabs>
        <w:tab w:val="center" w:pos="4513"/>
        <w:tab w:val="right" w:pos="9026"/>
      </w:tabs>
    </w:pPr>
  </w:style>
  <w:style w:type="character" w:customStyle="1" w:styleId="HeaderChar">
    <w:name w:val="Header Char"/>
    <w:basedOn w:val="DefaultParagraphFont"/>
    <w:link w:val="Header"/>
    <w:uiPriority w:val="99"/>
    <w:rsid w:val="00DE5F9E"/>
  </w:style>
  <w:style w:type="paragraph" w:styleId="Footer">
    <w:name w:val="footer"/>
    <w:basedOn w:val="Normal"/>
    <w:link w:val="FooterChar"/>
    <w:uiPriority w:val="99"/>
    <w:unhideWhenUsed/>
    <w:rsid w:val="00DE5F9E"/>
    <w:pPr>
      <w:tabs>
        <w:tab w:val="center" w:pos="4513"/>
        <w:tab w:val="right" w:pos="9026"/>
      </w:tabs>
    </w:pPr>
  </w:style>
  <w:style w:type="character" w:customStyle="1" w:styleId="FooterChar">
    <w:name w:val="Footer Char"/>
    <w:basedOn w:val="DefaultParagraphFont"/>
    <w:link w:val="Footer"/>
    <w:uiPriority w:val="99"/>
    <w:rsid w:val="00DE5F9E"/>
  </w:style>
  <w:style w:type="character" w:styleId="PageNumber">
    <w:name w:val="page number"/>
    <w:basedOn w:val="DefaultParagraphFont"/>
    <w:uiPriority w:val="99"/>
    <w:semiHidden/>
    <w:unhideWhenUsed/>
    <w:rsid w:val="00DE5F9E"/>
  </w:style>
  <w:style w:type="paragraph" w:styleId="ListParagraph">
    <w:name w:val="List Paragraph"/>
    <w:basedOn w:val="Normal"/>
    <w:uiPriority w:val="34"/>
    <w:qFormat/>
    <w:rsid w:val="007D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1252</Words>
  <Characters>7139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 Burke</dc:creator>
  <cp:keywords/>
  <dc:description/>
  <cp:lastModifiedBy>John JA Burke</cp:lastModifiedBy>
  <cp:revision>34</cp:revision>
  <dcterms:created xsi:type="dcterms:W3CDTF">2017-11-12T15:52:00Z</dcterms:created>
  <dcterms:modified xsi:type="dcterms:W3CDTF">2017-11-13T16:42:00Z</dcterms:modified>
</cp:coreProperties>
</file>