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597"/>
          <w:sz w:val="22"/>
          <w:szCs w:val="22"/>
        </w:rPr>
        <w:t xml:space="preserve">SWE2030X — Software Requirement Engineering</w:t>
      </w:r>
    </w:p>
    <w:p>
      <w:pPr>
        <w:spacing w:after="260"/>
        <w:jc w:val="center"/>
      </w:pPr>
      <w:r>
        <w:rPr>
          <w:color w:val="222222"/>
          <w:sz w:val="20"/>
          <w:szCs w:val="20"/>
        </w:rPr>
        <w:t xml:space="preserve">Section A — Initial Project Presentation Report</w:t>
      </w:r>
    </w:p>
    <w:p>
      <w:pPr>
        <w:spacing w:after="60"/>
        <w:jc w:val="center"/>
      </w:pPr>
      <w:r>
        <w:rPr>
          <w:b/>
          <w:bCs/>
          <w:color w:val="1F3864"/>
          <w:sz w:val="40"/>
          <w:szCs w:val="40"/>
        </w:rPr>
        <w:t xml:space="preserve">MediAssist</w:t>
      </w:r>
    </w:p>
    <w:p>
      <w:pPr>
        <w:spacing w:after="300"/>
        <w:jc w:val="center"/>
      </w:pPr>
      <w:r>
        <w:rPr>
          <w:i/>
          <w:iCs/>
          <w:color w:val="222222"/>
          <w:sz w:val="22"/>
          <w:szCs w:val="22"/>
        </w:rPr>
        <w:t xml:space="preserve">A Medication Reminder &amp; Adherence Platform for Elderly Patients and Their Caregivers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Borders>
              <w:top w:val="single" w:color="9DB2CE" w:sz="4"/>
              <w:left w:val="single" w:color="9DB2CE" w:sz="4"/>
              <w:bottom w:val="single" w:color="9DB2CE" w:sz="4"/>
              <w:right w:val="single" w:color="9DB2CE" w:sz="4"/>
            </w:tcBorders>
            <w:shd w:fill="F2F2F2" w:val="clear"/>
            <w:tcMar>
              <w:top w:type="dxa" w:w="100"/>
              <w:left w:type="dxa" w:w="150"/>
              <w:bottom w:type="dxa" w:w="100"/>
              <w:right w:type="dxa" w:w="150"/>
            </w:tcMar>
            <w:vAlign w:val="center"/>
          </w:tcPr>
          <w:p>
            <w:r>
              <w:rPr>
                <w:b/>
                <w:bCs/>
                <w:sz w:val="20"/>
                <w:szCs w:val="20"/>
              </w:rPr>
              <w:t xml:space="preserve">Group Members</w:t>
            </w:r>
          </w:p>
        </w:tc>
        <w:tc>
          <w:tcPr>
            <w:tcW w:type="dxa" w:w="63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[Member A Name] — [Student ID]
[Member B Name] — [Student ID]
[Member C Name] — [Student ID]</w:t>
            </w:r>
          </w:p>
        </w:tc>
      </w:tr>
      <w:tr>
        <w:tc>
          <w:tcPr>
            <w:tcW w:type="dxa" w:w="3000"/>
            <w:tcBorders>
              <w:top w:val="single" w:color="9DB2CE" w:sz="4"/>
              <w:left w:val="single" w:color="9DB2CE" w:sz="4"/>
              <w:bottom w:val="single" w:color="9DB2CE" w:sz="4"/>
              <w:right w:val="single" w:color="9DB2CE" w:sz="4"/>
            </w:tcBorders>
            <w:shd w:fill="F2F2F2" w:val="clear"/>
            <w:tcMar>
              <w:top w:type="dxa" w:w="100"/>
              <w:left w:type="dxa" w:w="150"/>
              <w:bottom w:type="dxa" w:w="100"/>
              <w:right w:type="dxa" w:w="150"/>
            </w:tcMar>
            <w:vAlign w:val="center"/>
          </w:tcPr>
          <w:p>
            <w:r>
              <w:rPr>
                <w:b/>
                <w:bCs/>
                <w:sz w:val="20"/>
                <w:szCs w:val="20"/>
              </w:rPr>
              <w:t xml:space="preserve">Project Repository</w:t>
            </w:r>
          </w:p>
        </w:tc>
        <w:tc>
          <w:tcPr>
            <w:tcW w:type="dxa" w:w="63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[GitHub organisation / repo URL — insert link]</w:t>
            </w:r>
          </w:p>
        </w:tc>
      </w:tr>
      <w:tr>
        <w:tc>
          <w:tcPr>
            <w:tcW w:type="dxa" w:w="3000"/>
            <w:tcBorders>
              <w:top w:val="single" w:color="9DB2CE" w:sz="4"/>
              <w:left w:val="single" w:color="9DB2CE" w:sz="4"/>
              <w:bottom w:val="single" w:color="9DB2CE" w:sz="4"/>
              <w:right w:val="single" w:color="9DB2CE" w:sz="4"/>
            </w:tcBorders>
            <w:shd w:fill="F2F2F2" w:val="clear"/>
            <w:tcMar>
              <w:top w:type="dxa" w:w="100"/>
              <w:left w:type="dxa" w:w="150"/>
              <w:bottom w:type="dxa" w:w="100"/>
              <w:right w:type="dxa" w:w="150"/>
            </w:tcMar>
            <w:vAlign w:val="center"/>
          </w:tcPr>
          <w:p>
            <w:r>
              <w:rPr>
                <w:b/>
                <w:bCs/>
                <w:sz w:val="20"/>
                <w:szCs w:val="20"/>
              </w:rPr>
              <w:t xml:space="preserve">Date</w:t>
            </w:r>
          </w:p>
        </w:tc>
        <w:tc>
          <w:tcPr>
            <w:tcW w:type="dxa" w:w="63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29 July 2026</w:t>
            </w:r>
          </w:p>
        </w:tc>
      </w:tr>
    </w:tbl>
    <w:p>
      <w:r>
        <w:br w:type="page"/>
      </w:r>
    </w:p>
    <w:p>
      <w:pPr>
        <w:pStyle w:val="Heading1"/>
        <w:pBdr>
          <w:bottom w:val="single" w:color="2E5597" w:sz="8" w:space="4"/>
        </w:pBdr>
        <w:spacing w:after="140" w:before="320"/>
      </w:pPr>
      <w:r>
        <w:rPr>
          <w:b/>
          <w:bCs/>
          <w:color w:val="1F3864"/>
        </w:rPr>
        <w:t xml:space="preserve">1. Problem Statement</w:t>
      </w:r>
    </w:p>
    <w:p>
      <w:pPr>
        <w:spacing w:after="140" w:line="288"/>
      </w:pPr>
      <w:r>
        <w:rPr>
          <w:sz w:val="21"/>
          <w:szCs w:val="21"/>
        </w:rPr>
        <w:t xml:space="preserve">Older adults managing chronic conditions are frequently prescribed multiple medications on different daily schedules (for example, a blood-pressure tablet at midday and a diabetes tablet with breakfast and dinner). In practice this creates three recurring failure points that this project targets directly:</w:t>
      </w:r>
    </w:p>
    <w:p>
      <w:pPr>
        <w:pStyle w:val="ListParagraph"/>
        <w:numPr>
          <w:ilvl w:val="0"/>
          <w:numId w:val="2"/>
        </w:numPr>
        <w:spacing w:after="60" w:line="276"/>
      </w:pPr>
      <w:r>
        <w:rPr>
          <w:sz w:val="21"/>
          <w:szCs w:val="21"/>
        </w:rPr>
        <w:t xml:space="preserve">Patients forget individual doses, or lose track of whether a dose already taken today was actually confirmed, which can lead to an accidental missed dose or, just as dangerously, an accidental double dose.</w:t>
      </w:r>
    </w:p>
    <w:p>
      <w:pPr>
        <w:pStyle w:val="ListParagraph"/>
        <w:numPr>
          <w:ilvl w:val="0"/>
          <w:numId w:val="2"/>
        </w:numPr>
        <w:spacing w:after="60" w:line="276"/>
      </w:pPr>
      <w:r>
        <w:rPr>
          <w:sz w:val="21"/>
          <w:szCs w:val="21"/>
        </w:rPr>
        <w:t xml:space="preserve">Family caregivers who do not live with the patient have no reliable, real-time way to know whether a dose was taken, and typically only discover a missed dose after a noticeable health event has already occurred.</w:t>
      </w:r>
    </w:p>
    <w:p>
      <w:pPr>
        <w:pStyle w:val="ListParagraph"/>
        <w:numPr>
          <w:ilvl w:val="0"/>
          <w:numId w:val="2"/>
        </w:numPr>
        <w:spacing w:after="60" w:line="276"/>
      </w:pPr>
      <w:r>
        <w:rPr>
          <w:sz w:val="21"/>
          <w:szCs w:val="21"/>
        </w:rPr>
        <w:t xml:space="preserve">Clinicians reviewing a patient at a consultation have no adherence record to consult, and any solution that gives them one must not leak more of the patient’s health data than the patient has explicitly agreed to share.</w:t>
      </w:r>
    </w:p>
    <w:p>
      <w:pPr>
        <w:spacing w:after="140" w:line="288"/>
      </w:pPr>
      <w:r>
        <w:rPr>
          <w:sz w:val="21"/>
          <w:szCs w:val="21"/>
        </w:rPr>
        <w:t xml:space="preserve">Target users and stakeholders:</w:t>
      </w:r>
    </w:p>
    <w:p>
      <w:pPr>
        <w:pStyle w:val="ListParagraph"/>
        <w:numPr>
          <w:ilvl w:val="0"/>
          <w:numId w:val="2"/>
        </w:numPr>
        <w:spacing w:after="60" w:line="276"/>
      </w:pPr>
      <w:r>
        <w:rPr>
          <w:sz w:val="21"/>
          <w:szCs w:val="21"/>
        </w:rPr>
        <w:t xml:space="preserve">Primary user — the patient (persona: Grace Muthoni), aged 65+, who needs very large, high-contrast, low-friction interactions.</w:t>
      </w:r>
    </w:p>
    <w:p>
      <w:pPr>
        <w:pStyle w:val="ListParagraph"/>
        <w:numPr>
          <w:ilvl w:val="0"/>
          <w:numId w:val="2"/>
        </w:numPr>
        <w:spacing w:after="60" w:line="276"/>
      </w:pPr>
      <w:r>
        <w:rPr>
          <w:sz w:val="21"/>
          <w:szCs w:val="21"/>
        </w:rPr>
        <w:t xml:space="preserve">Secondary user — the informal caregiver (persona: Peter Kariuki), an adult family member who needs visibility without taking over the patient’s account.</w:t>
      </w:r>
    </w:p>
    <w:p>
      <w:pPr>
        <w:pStyle w:val="ListParagraph"/>
        <w:numPr>
          <w:ilvl w:val="0"/>
          <w:numId w:val="2"/>
        </w:numPr>
        <w:spacing w:after="60" w:line="276"/>
      </w:pPr>
      <w:r>
        <w:rPr>
          <w:sz w:val="21"/>
          <w:szCs w:val="21"/>
        </w:rPr>
        <w:t xml:space="preserve">Tertiary user — the clinician, who needs adherence data only, and only once the patient has explicitly consented.</w:t>
      </w:r>
    </w:p>
    <w:p>
      <w:pPr>
        <w:pStyle w:val="ListParagraph"/>
        <w:numPr>
          <w:ilvl w:val="0"/>
          <w:numId w:val="2"/>
        </w:numPr>
        <w:spacing w:after="60" w:line="276"/>
      </w:pPr>
      <w:r>
        <w:rPr>
          <w:sz w:val="21"/>
          <w:szCs w:val="21"/>
        </w:rPr>
        <w:t xml:space="preserve">Indirect stakeholder — the health system, which bears the downstream cost of medication non-adherence (hospital readmissions, avoidable complications).</w:t>
      </w:r>
    </w:p>
    <w:p>
      <w:pPr>
        <w:pStyle w:val="Heading1"/>
        <w:pBdr>
          <w:bottom w:val="single" w:color="2E5597" w:sz="8" w:space="4"/>
        </w:pBdr>
        <w:spacing w:after="140" w:before="320"/>
      </w:pPr>
      <w:r>
        <w:rPr>
          <w:b/>
          <w:bCs/>
          <w:color w:val="1F3864"/>
        </w:rPr>
        <w:t xml:space="preserve">2. Proposed Solution</w:t>
      </w:r>
    </w:p>
    <w:p>
      <w:pPr>
        <w:spacing w:after="140" w:line="288"/>
      </w:pPr>
      <w:r>
        <w:rPr>
          <w:sz w:val="21"/>
          <w:szCs w:val="21"/>
        </w:rPr>
        <w:t xml:space="preserve">MediAssist is a single mobile application (built with React Native / Expo) that presents two different interfaces from one shared codebase, depending on who is signed in:</w:t>
      </w:r>
    </w:p>
    <w:p>
      <w:pPr>
        <w:pStyle w:val="ListParagraph"/>
        <w:numPr>
          <w:ilvl w:val="0"/>
          <w:numId w:val="2"/>
        </w:numPr>
        <w:spacing w:after="60" w:line="276"/>
      </w:pPr>
      <w:r>
        <w:rPr>
          <w:sz w:val="21"/>
          <w:szCs w:val="21"/>
        </w:rPr>
        <w:t xml:space="preserve">Patient mode — today’s schedule with colour- and text-coded status (taken / missed / upcoming), a one-tap dose confirmation screen with a double-dose safety guard, and a 4-field “add medicine” form.</w:t>
      </w:r>
    </w:p>
    <w:p>
      <w:pPr>
        <w:pStyle w:val="ListParagraph"/>
        <w:numPr>
          <w:ilvl w:val="0"/>
          <w:numId w:val="2"/>
        </w:numPr>
        <w:spacing w:after="60" w:line="276"/>
      </w:pPr>
      <w:r>
        <w:rPr>
          <w:sz w:val="21"/>
          <w:szCs w:val="21"/>
        </w:rPr>
        <w:t xml:space="preserve">Caregiver mode — a read-only, real-time adherence dashboard for the linked patient, a pinned missed-dose alert, and the ability to remotely add a medication on the patient’s behalf.</w:t>
      </w:r>
    </w:p>
    <w:p>
      <w:pPr>
        <w:spacing w:after="140" w:line="288"/>
      </w:pPr>
      <w:r>
        <w:rPr>
          <w:sz w:val="21"/>
          <w:szCs w:val="21"/>
        </w:rPr>
        <w:t xml:space="preserve">Both modes talk to one Node.js/Express REST API backed by a relational database (Prisma ORM). Three background services do the work neither app can do by itself while closed or backgrounded: a reminder dispatcher (fires the push notification at the scheduled time), a missed-dose escalation job (alerts caregivers by push + SMS if a dose stays unconfirmed too long), and an adherence report generator (produces the PDF/CSV a clinician can consume, gated by patient consent).</w:t>
      </w:r>
    </w:p>
    <w:p>
      <w:pPr>
        <w:pStyle w:val="Heading2"/>
        <w:spacing w:after="100" w:before="220"/>
      </w:pPr>
      <w:r>
        <w:rPr>
          <w:b/>
          <w:bCs/>
          <w:color w:val="2E5597"/>
        </w:rPr>
        <w:t xml:space="preserve">System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2E5597" w:sz="10"/>
              <w:left w:val="single" w:color="2E5597" w:sz="10"/>
              <w:bottom w:val="single" w:color="2E5597" w:sz="10"/>
              <w:right w:val="single" w:color="2E5597" w:sz="10"/>
            </w:tcBorders>
            <w:shd w:fill="DCE6F1" w:val="clear"/>
            <w:tcMar>
              <w:top w:type="dxa" w:w="160"/>
              <w:left w:type="dxa" w:w="150"/>
              <w:bottom w:type="dxa" w:w="160"/>
              <w:right w:type="dxa" w:w="150"/>
            </w:tcMar>
            <w:vAlign w:val="center"/>
          </w:tcPr>
          <w:p>
            <w:pPr>
              <w:spacing w:after="0"/>
              <w:jc w:val="center"/>
            </w:pPr>
            <w:r>
              <w:rPr>
                <w:b/>
                <w:bCs/>
                <w:color w:val="1F3864"/>
                <w:sz w:val="19"/>
                <w:szCs w:val="19"/>
              </w:rPr>
              <w:t xml:space="preserve">Patient App</w:t>
            </w:r>
          </w:p>
          <w:p>
            <w:pPr>
              <w:spacing w:after="0"/>
              <w:jc w:val="center"/>
            </w:pPr>
            <w:r>
              <w:rPr>
                <w:b w:val="false"/>
                <w:bCs w:val="false"/>
                <w:color w:val="1F3864"/>
                <w:sz w:val="19"/>
                <w:szCs w:val="19"/>
              </w:rPr>
              <w:t xml:space="preserve">(React Native / Expo)</w:t>
            </w:r>
          </w:p>
          <w:p>
            <w:pPr>
              <w:spacing w:after="0"/>
              <w:jc w:val="center"/>
            </w:pPr>
            <w:r>
              <w:rPr>
                <w:b w:val="false"/>
                <w:bCs w:val="false"/>
                <w:color w:val="1F3864"/>
                <w:sz w:val="19"/>
                <w:szCs w:val="19"/>
              </w:rPr>
              <w:t xml:space="preserve">Home • Remind • Add • Report</w:t>
            </w:r>
          </w:p>
        </w:tc>
        <w:tc>
          <w:tcPr>
            <w:tcW w:type="dxa" w:w="4675"/>
            <w:tcBorders>
              <w:top w:val="single" w:color="2E5597" w:sz="10"/>
              <w:left w:val="single" w:color="2E5597" w:sz="10"/>
              <w:bottom w:val="single" w:color="2E5597" w:sz="10"/>
              <w:right w:val="single" w:color="2E5597" w:sz="10"/>
            </w:tcBorders>
            <w:shd w:fill="DCE6F1" w:val="clear"/>
            <w:tcMar>
              <w:top w:type="dxa" w:w="160"/>
              <w:left w:type="dxa" w:w="150"/>
              <w:bottom w:type="dxa" w:w="160"/>
              <w:right w:type="dxa" w:w="150"/>
            </w:tcMar>
            <w:vAlign w:val="center"/>
          </w:tcPr>
          <w:p>
            <w:pPr>
              <w:spacing w:after="0"/>
              <w:jc w:val="center"/>
            </w:pPr>
            <w:r>
              <w:rPr>
                <w:b/>
                <w:bCs/>
                <w:color w:val="1F3864"/>
                <w:sz w:val="19"/>
                <w:szCs w:val="19"/>
              </w:rPr>
              <w:t xml:space="preserve">Caregiver App</w:t>
            </w:r>
          </w:p>
          <w:p>
            <w:pPr>
              <w:spacing w:after="0"/>
              <w:jc w:val="center"/>
            </w:pPr>
            <w:r>
              <w:rPr>
                <w:b w:val="false"/>
                <w:bCs w:val="false"/>
                <w:color w:val="1F3864"/>
                <w:sz w:val="19"/>
                <w:szCs w:val="19"/>
              </w:rPr>
              <w:t xml:space="preserve">(same codebase, role-based UI)</w:t>
            </w:r>
          </w:p>
          <w:p>
            <w:pPr>
              <w:spacing w:after="0"/>
              <w:jc w:val="center"/>
            </w:pPr>
            <w:r>
              <w:rPr>
                <w:b w:val="false"/>
                <w:bCs w:val="false"/>
                <w:color w:val="1F3864"/>
                <w:sz w:val="19"/>
                <w:szCs w:val="19"/>
              </w:rPr>
              <w:t xml:space="preserve">Family • Add • Report</w:t>
            </w:r>
          </w:p>
        </w:tc>
      </w:tr>
      <w:tr>
        <w:tc>
          <w:tcPr>
            <w:gridSpan w:val="2"/>
            <w:tcBorders>
              <w:top w:val="none"/>
              <w:left w:val="none"/>
              <w:bottom w:val="none"/>
              <w:right w:val="none"/>
            </w:tcBorders>
            <w:tcMar>
              <w:top w:type="dxa" w:w="20"/>
              <w:left w:type="dxa" w:w="0"/>
              <w:bottom w:type="dxa" w:w="20"/>
              <w:right w:type="dxa" w:w="0"/>
            </w:tcMar>
          </w:tcPr>
          <w:p>
            <w:pPr>
              <w:jc w:val="center"/>
            </w:pPr>
            <w:r>
              <w:rPr>
                <w:i/>
                <w:iCs/>
                <w:color w:val="2E5597"/>
                <w:sz w:val="18"/>
                <w:szCs w:val="18"/>
              </w:rPr>
              <w:t xml:space="preserve">↓  REST / JSON over HTTPS, JWT-authenticated  ↓</w:t>
            </w:r>
          </w:p>
        </w:tc>
      </w:tr>
      <w:tr>
        <w:tc>
          <w:tcPr>
            <w:gridSpan w:val="2"/>
            <w:tcBorders>
              <w:top w:val="single" w:color="9DB2CE" w:sz="4"/>
              <w:left w:val="single" w:color="9DB2CE" w:sz="4"/>
              <w:bottom w:val="single" w:color="9DB2CE" w:sz="4"/>
              <w:right w:val="single" w:color="9DB2CE" w:sz="4"/>
            </w:tcBorders>
            <w:shd w:fill="1F3864" w:val="clear"/>
            <w:tcMar>
              <w:top w:type="dxa" w:w="160"/>
              <w:left w:type="dxa" w:w="150"/>
              <w:bottom w:type="dxa" w:w="160"/>
              <w:right w:type="dxa" w:w="150"/>
            </w:tcMar>
          </w:tcPr>
          <w:p>
            <w:pPr>
              <w:jc w:val="center"/>
            </w:pPr>
            <w:r>
              <w:rPr>
                <w:b/>
                <w:bCs/>
                <w:color w:val="FFFFFF"/>
                <w:sz w:val="19"/>
                <w:szCs w:val="19"/>
              </w:rPr>
              <w:t xml:space="preserve">Express.js API — auth • validation (zod) • controllers • access control (NF4)</w:t>
            </w:r>
          </w:p>
        </w:tc>
      </w:tr>
      <w:tr>
        <w:tc>
          <w:tcPr>
            <w:gridSpan w:val="2"/>
            <w:tcBorders>
              <w:top w:val="none"/>
              <w:left w:val="none"/>
              <w:bottom w:val="none"/>
              <w:right w:val="none"/>
            </w:tcBorders>
            <w:tcMar>
              <w:top w:type="dxa" w:w="20"/>
              <w:left w:type="dxa" w:w="0"/>
              <w:bottom w:type="dxa" w:w="20"/>
              <w:right w:type="dxa" w:w="0"/>
            </w:tcMar>
          </w:tcPr>
          <w:p>
            <w:pPr>
              <w:jc w:val="center"/>
            </w:pPr>
            <w:r>
              <w:rPr>
                <w:i/>
                <w:iCs/>
                <w:color w:val="2E5597"/>
                <w:sz w:val="18"/>
                <w:szCs w:val="18"/>
              </w:rPr>
              <w:t xml:space="preserve">↓  Prisma ORM  ↓</w:t>
            </w:r>
          </w:p>
        </w:tc>
      </w:tr>
      <w:tr>
        <w:tc>
          <w:tcPr>
            <w:tcW w:type="dxa" w:w="4675"/>
            <w:tcBorders>
              <w:top w:val="single" w:color="2E5597" w:sz="10"/>
              <w:left w:val="single" w:color="2E5597" w:sz="10"/>
              <w:bottom w:val="single" w:color="2E5597" w:sz="10"/>
              <w:right w:val="single" w:color="2E5597" w:sz="10"/>
            </w:tcBorders>
            <w:shd w:fill="DCE6F1" w:val="clear"/>
            <w:tcMar>
              <w:top w:type="dxa" w:w="160"/>
              <w:left w:type="dxa" w:w="150"/>
              <w:bottom w:type="dxa" w:w="160"/>
              <w:right w:type="dxa" w:w="150"/>
            </w:tcMar>
            <w:vAlign w:val="center"/>
          </w:tcPr>
          <w:p>
            <w:pPr>
              <w:spacing w:after="0"/>
              <w:jc w:val="center"/>
            </w:pPr>
            <w:r>
              <w:rPr>
                <w:b/>
                <w:bCs/>
                <w:color w:val="1F3864"/>
                <w:sz w:val="19"/>
                <w:szCs w:val="19"/>
              </w:rPr>
              <w:t xml:space="preserve">Relational Database</w:t>
            </w:r>
          </w:p>
          <w:p>
            <w:pPr>
              <w:spacing w:after="0"/>
              <w:jc w:val="center"/>
            </w:pPr>
            <w:r>
              <w:rPr>
                <w:b w:val="false"/>
                <w:bCs w:val="false"/>
                <w:color w:val="1F3864"/>
                <w:sz w:val="19"/>
                <w:szCs w:val="19"/>
              </w:rPr>
              <w:t xml:space="preserve">Users • Medications • ReminderTimes</w:t>
            </w:r>
          </w:p>
          <w:p>
            <w:pPr>
              <w:spacing w:after="0"/>
              <w:jc w:val="center"/>
            </w:pPr>
            <w:r>
              <w:rPr>
                <w:b w:val="false"/>
                <w:bCs w:val="false"/>
                <w:color w:val="1F3864"/>
                <w:sz w:val="19"/>
                <w:szCs w:val="19"/>
              </w:rPr>
              <w:t xml:space="preserve">DoseLogs • CaregiverLinks • Consent</w:t>
            </w:r>
          </w:p>
        </w:tc>
        <w:tc>
          <w:tcPr>
            <w:tcW w:type="dxa" w:w="4675"/>
            <w:tcBorders>
              <w:top w:val="single" w:color="C87137" w:sz="10"/>
              <w:left w:val="single" w:color="C87137" w:sz="10"/>
              <w:bottom w:val="single" w:color="C87137" w:sz="10"/>
              <w:right w:val="single" w:color="C87137" w:sz="10"/>
            </w:tcBorders>
            <w:shd w:fill="FBE5D6" w:val="clear"/>
            <w:tcMar>
              <w:top w:type="dxa" w:w="160"/>
              <w:left w:type="dxa" w:w="150"/>
              <w:bottom w:type="dxa" w:w="160"/>
              <w:right w:type="dxa" w:w="150"/>
            </w:tcMar>
            <w:vAlign w:val="center"/>
          </w:tcPr>
          <w:p>
            <w:pPr>
              <w:spacing w:after="0"/>
              <w:jc w:val="center"/>
            </w:pPr>
            <w:r>
              <w:rPr>
                <w:b/>
                <w:bCs/>
                <w:color w:val="1F3864"/>
                <w:sz w:val="19"/>
                <w:szCs w:val="19"/>
              </w:rPr>
              <w:t xml:space="preserve">Background Jobs</w:t>
            </w:r>
          </w:p>
          <w:p>
            <w:pPr>
              <w:spacing w:after="0"/>
              <w:jc w:val="center"/>
            </w:pPr>
            <w:r>
              <w:rPr>
                <w:b w:val="false"/>
                <w:bCs w:val="false"/>
                <w:color w:val="1F3864"/>
                <w:sz w:val="19"/>
                <w:szCs w:val="19"/>
              </w:rPr>
              <w:t xml:space="preserve">Reminder Dispatcher → Push</w:t>
            </w:r>
          </w:p>
          <w:p>
            <w:pPr>
              <w:spacing w:after="0"/>
              <w:jc w:val="center"/>
            </w:pPr>
            <w:r>
              <w:rPr>
                <w:b w:val="false"/>
                <w:bCs w:val="false"/>
                <w:color w:val="1F3864"/>
                <w:sz w:val="19"/>
                <w:szCs w:val="19"/>
              </w:rPr>
              <w:t xml:space="preserve">Missed-Dose Escalation → SMS + Push</w:t>
            </w:r>
          </w:p>
        </w:tc>
      </w:tr>
    </w:tbl>
    <w:p>
      <w:pPr>
        <w:spacing w:after="140" w:line="288"/>
      </w:pPr>
      <w:r>
        <w:rPr>
          <w:sz w:val="21"/>
          <w:szCs w:val="21"/>
        </w:rPr>
        <w:t xml:space="preserve"> </w:t>
      </w:r>
    </w:p>
    <w:p>
      <w:pPr>
        <w:pStyle w:val="Heading1"/>
        <w:pBdr>
          <w:bottom w:val="single" w:color="2E5597" w:sz="8" w:space="4"/>
        </w:pBdr>
        <w:spacing w:after="140" w:before="320"/>
      </w:pPr>
      <w:r>
        <w:rPr>
          <w:b/>
          <w:bCs/>
          <w:color w:val="1F3864"/>
        </w:rPr>
        <w:t xml:space="preserve">3. Requirements</w:t>
      </w:r>
    </w:p>
    <w:p>
      <w:pPr>
        <w:pStyle w:val="Heading2"/>
        <w:spacing w:after="100" w:before="220"/>
      </w:pPr>
      <w:r>
        <w:rPr>
          <w:b/>
          <w:bCs/>
          <w:color w:val="2E5597"/>
        </w:rPr>
        <w:t xml:space="preserve">3.1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c>
          <w:tcPr>
            <w:tcW w:type="dxa" w:w="110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ID</w:t>
            </w:r>
          </w:p>
        </w:tc>
        <w:tc>
          <w:tcPr>
            <w:tcW w:type="dxa" w:w="825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Requirement</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F1</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Patients or caregivers can add, edit, and remove a medication, each with one or more reminder times (name, dose, frequency, time-of-day, day pattern).</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F2</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The system automatically dispatches a reminder (push notification) for every due medication, without any user action.</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F3</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The patient can confirm a dose as taken or snooze it; the server rejects a second confirmation of the same medication within a configurable duplicate-dose window.</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F4</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If a dose is not confirmed within a configurable window past its scheduled time, the system marks it MISSED and alerts every linked caregiver by push and SMS.</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F5</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The system computes an adherence percentage over a selected date range and can export it as a PDF or CSV report.</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F6</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A caregiver account can be linked to a patient account; a patient can grant or revoke a clinician’s access to their adherence report at any time.</w:t>
            </w:r>
          </w:p>
        </w:tc>
      </w:tr>
    </w:tbl>
    <w:p>
      <w:pPr>
        <w:spacing w:after="140" w:line="288"/>
      </w:pPr>
      <w:r>
        <w:rPr>
          <w:sz w:val="21"/>
          <w:szCs w:val="21"/>
        </w:rPr>
        <w:t xml:space="preserve"> </w:t>
      </w:r>
    </w:p>
    <w:p>
      <w:pPr>
        <w:pStyle w:val="Heading2"/>
        <w:spacing w:after="100" w:before="220"/>
      </w:pPr>
      <w:r>
        <w:rPr>
          <w:b/>
          <w:bCs/>
          <w:color w:val="2E5597"/>
        </w:rPr>
        <w:t xml:space="preserve">3.2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c>
          <w:tcPr>
            <w:tcW w:type="dxa" w:w="110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ID</w:t>
            </w:r>
          </w:p>
        </w:tc>
        <w:tc>
          <w:tcPr>
            <w:tcW w:type="dxa" w:w="825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Requirement</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NF1</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Accessibility: WCAG AA contrast (≥ 4.5:1), 18pt+ text, 48px+ touch targets (72px on the primary confirm action), ≤ 2 taps to any core action, and full screen-reader support — the primary users are 65+ and may have reduced vision, hearing, or dexterity.</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NF2</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Usability: no form exceeds 4 fields; every screen has exactly one primary call-to-action; status is always shown with colour and text together, never colour alone.</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NF3</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Timeliness: a reminder must reach the patient within 1 minute of its scheduled time, even while the app is backgrounded.</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NF4</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Privacy: caregivers may only ever see adherence status, never full account or health-record detail; clinicians see nothing until the patient grants explicit, revocable, scope-limited consent.</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NF5</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Security: authenticated sessions (JWT), hashed passwords, server-side validation of every request body, and standard HTTP hardening.</w:t>
            </w:r>
          </w:p>
        </w:tc>
      </w:tr>
      <w:tr>
        <w:tc>
          <w:tcPr>
            <w:tcW w:type="dxa" w:w="1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NF6</w:t>
            </w:r>
          </w:p>
        </w:tc>
        <w:tc>
          <w:tcPr>
            <w:tcW w:type="dxa" w:w="82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Data integrity: reminder dispatch is idempotent — overlapping or retried background-job ticks can never create a duplicate reminder for the same medication and time slot.</w:t>
            </w:r>
          </w:p>
        </w:tc>
      </w:tr>
    </w:tbl>
    <w:p>
      <w:r>
        <w:br w:type="page"/>
      </w:r>
    </w:p>
    <w:p>
      <w:pPr>
        <w:pStyle w:val="Heading1"/>
        <w:pBdr>
          <w:bottom w:val="single" w:color="2E5597" w:sz="8" w:space="4"/>
        </w:pBdr>
        <w:spacing w:after="140" w:before="320"/>
      </w:pPr>
      <w:r>
        <w:rPr>
          <w:b/>
          <w:bCs/>
          <w:color w:val="1F3864"/>
        </w:rPr>
        <w:t xml:space="preserve">4. Technologies</w:t>
      </w:r>
    </w:p>
    <w:p>
      <w:pPr>
        <w:pStyle w:val="Heading2"/>
        <w:spacing w:after="100" w:before="220"/>
      </w:pPr>
      <w:r>
        <w:rPr>
          <w:b/>
          <w:bCs/>
          <w:color w:val="2E5597"/>
        </w:rPr>
        <w:t xml:space="preserve">4.1 Frontend (mobile app)</w:t>
      </w:r>
    </w:p>
    <w:p>
      <w:pPr>
        <w:pStyle w:val="ListParagraph"/>
        <w:numPr>
          <w:ilvl w:val="0"/>
          <w:numId w:val="2"/>
        </w:numPr>
        <w:spacing w:after="60" w:line="276"/>
      </w:pPr>
      <w:r>
        <w:rPr>
          <w:sz w:val="21"/>
          <w:szCs w:val="21"/>
        </w:rPr>
        <w:t xml:space="preserve">React Native 0.81 on Expo SDK 54, React 19 — one codebase targeting iOS, Android, and a web preview (react-native-web) for fast iteration.</w:t>
      </w:r>
    </w:p>
    <w:p>
      <w:pPr>
        <w:pStyle w:val="ListParagraph"/>
        <w:numPr>
          <w:ilvl w:val="0"/>
          <w:numId w:val="2"/>
        </w:numPr>
        <w:spacing w:after="60" w:line="276"/>
      </w:pPr>
      <w:r>
        <w:rPr>
          <w:sz w:val="21"/>
          <w:szCs w:val="21"/>
        </w:rPr>
        <w:t xml:space="preserve">AsyncStorage for persisting the signed-in session; Expo push notifications for reminder delivery.</w:t>
      </w:r>
    </w:p>
    <w:p>
      <w:pPr>
        <w:pStyle w:val="Heading2"/>
        <w:spacing w:after="100" w:before="220"/>
      </w:pPr>
      <w:r>
        <w:rPr>
          <w:b/>
          <w:bCs/>
          <w:color w:val="2E5597"/>
        </w:rPr>
        <w:t xml:space="preserve">4.2 Backend (API + services)</w:t>
      </w:r>
    </w:p>
    <w:p>
      <w:pPr>
        <w:pStyle w:val="ListParagraph"/>
        <w:numPr>
          <w:ilvl w:val="0"/>
          <w:numId w:val="2"/>
        </w:numPr>
        <w:spacing w:after="60" w:line="276"/>
      </w:pPr>
      <w:r>
        <w:rPr>
          <w:sz w:val="21"/>
          <w:szCs w:val="21"/>
        </w:rPr>
        <w:t xml:space="preserve">Node.js with Express 4 for the REST API; express-async-errors for clean async error handling.</w:t>
      </w:r>
    </w:p>
    <w:p>
      <w:pPr>
        <w:pStyle w:val="ListParagraph"/>
        <w:numPr>
          <w:ilvl w:val="0"/>
          <w:numId w:val="2"/>
        </w:numPr>
        <w:spacing w:after="60" w:line="276"/>
      </w:pPr>
      <w:r>
        <w:rPr>
          <w:sz w:val="21"/>
          <w:szCs w:val="21"/>
        </w:rPr>
        <w:t xml:space="preserve">Prisma ORM 5 over SQLite in development (swappable to PostgreSQL/MySQL for a production deployment without changing application code).</w:t>
      </w:r>
    </w:p>
    <w:p>
      <w:pPr>
        <w:pStyle w:val="ListParagraph"/>
        <w:numPr>
          <w:ilvl w:val="0"/>
          <w:numId w:val="2"/>
        </w:numPr>
        <w:spacing w:after="60" w:line="276"/>
      </w:pPr>
      <w:r>
        <w:rPr>
          <w:sz w:val="21"/>
          <w:szCs w:val="21"/>
        </w:rPr>
        <w:t xml:space="preserve">jsonwebtoken + bcryptjs for authentication; zod for request-body validation at every endpoint; helmet + cors for HTTP hardening; morgan for request logging.</w:t>
      </w:r>
    </w:p>
    <w:p>
      <w:pPr>
        <w:pStyle w:val="ListParagraph"/>
        <w:numPr>
          <w:ilvl w:val="0"/>
          <w:numId w:val="2"/>
        </w:numPr>
        <w:spacing w:after="60" w:line="276"/>
      </w:pPr>
      <w:r>
        <w:rPr>
          <w:sz w:val="21"/>
          <w:szCs w:val="21"/>
        </w:rPr>
        <w:t xml:space="preserve">pdfkit and json2csv for the adherence report export; expo-server-sdk for sending push notifications; an SMS-gateway service abstraction for caregiver text alerts.</w:t>
      </w:r>
    </w:p>
    <w:p>
      <w:pPr>
        <w:pStyle w:val="Heading2"/>
        <w:spacing w:after="100" w:before="220"/>
      </w:pPr>
      <w:r>
        <w:rPr>
          <w:b/>
          <w:bCs/>
          <w:color w:val="2E5597"/>
        </w:rPr>
        <w:t xml:space="preserve">4.3 Testing &amp; tooling</w:t>
      </w:r>
    </w:p>
    <w:p>
      <w:pPr>
        <w:pStyle w:val="ListParagraph"/>
        <w:numPr>
          <w:ilvl w:val="0"/>
          <w:numId w:val="2"/>
        </w:numPr>
        <w:spacing w:after="60" w:line="276"/>
      </w:pPr>
      <w:r>
        <w:rPr>
          <w:sz w:val="21"/>
          <w:szCs w:val="21"/>
        </w:rPr>
        <w:t xml:space="preserve">Vitest for backend unit tests (scheduling logic, dose/duplicate-dose logic).</w:t>
      </w:r>
    </w:p>
    <w:p>
      <w:pPr>
        <w:pStyle w:val="ListParagraph"/>
        <w:numPr>
          <w:ilvl w:val="0"/>
          <w:numId w:val="2"/>
        </w:numPr>
        <w:spacing w:after="60" w:line="276"/>
      </w:pPr>
      <w:r>
        <w:rPr>
          <w:sz w:val="21"/>
          <w:szCs w:val="21"/>
        </w:rPr>
        <w:t xml:space="preserve">nodemon for local dev auto-reload; npm scripts for migrate / seed / test / start.</w:t>
      </w:r>
    </w:p>
    <w:p>
      <w:pPr>
        <w:pStyle w:val="Heading1"/>
        <w:pBdr>
          <w:bottom w:val="single" w:color="2E5597" w:sz="8" w:space="4"/>
        </w:pBdr>
        <w:spacing w:after="140" w:before="320"/>
      </w:pPr>
      <w:r>
        <w:rPr>
          <w:b/>
          <w:bCs/>
          <w:color w:val="1F3864"/>
        </w:rPr>
        <w:t xml:space="preserve">5. Version Control, CI/CD &amp; DevOps</w:t>
      </w:r>
    </w:p>
    <w:p>
      <w:pPr>
        <w:pStyle w:val="Heading2"/>
        <w:spacing w:after="100" w:before="220"/>
      </w:pPr>
      <w:r>
        <w:rPr>
          <w:b/>
          <w:bCs/>
          <w:color w:val="2E5597"/>
        </w:rPr>
        <w:t xml:space="preserve">Version control</w:t>
      </w:r>
    </w:p>
    <w:p>
      <w:pPr>
        <w:spacing w:after="140" w:line="288"/>
      </w:pPr>
      <w:r>
        <w:rPr>
          <w:sz w:val="21"/>
          <w:szCs w:val="21"/>
        </w:rPr>
        <w:t xml:space="preserve">The team will use Git with a shared GitHub repository. Work happens on short-lived feature branches named after the requirement they implement (e.g. feature/f4-missed-dose-escalation), with Conventional-Commit-style messages. Every branch is merged to main only through a pull request reviewed by at least one other team member, keeping main always in a working, demoable state.</w:t>
      </w:r>
    </w:p>
    <w:p>
      <w:pPr>
        <w:pStyle w:val="Heading2"/>
        <w:spacing w:after="100" w:before="220"/>
      </w:pPr>
      <w:r>
        <w:rPr>
          <w:b/>
          <w:bCs/>
          <w:color w:val="2E5597"/>
        </w:rPr>
        <w:t xml:space="preserve">CI/CD</w:t>
      </w:r>
    </w:p>
    <w:p>
      <w:pPr>
        <w:spacing w:after="140" w:line="288"/>
      </w:pPr>
      <w:r>
        <w:rPr>
          <w:sz w:val="21"/>
          <w:szCs w:val="21"/>
        </w:rPr>
        <w:t xml:space="preserve">A GitHub Actions workflow runs on every push and pull request: install dependencies, generate the Prisma client, and run the automated test suite; the build is blocked from merging if any step fails. A follow-on deployment job (planned for a later milestone) will publish the backend to a hosting platform (e.g. Render/Railway) and produce an Expo/EAS build of the mobile app, so a working build is always one click away from the latest main.</w:t>
      </w:r>
    </w:p>
    <w:p>
      <w:pPr>
        <w:pStyle w:val="Heading2"/>
        <w:spacing w:after="100" w:before="220"/>
      </w:pPr>
      <w:r>
        <w:rPr>
          <w:b/>
          <w:bCs/>
          <w:color w:val="2E5597"/>
        </w:rPr>
        <w:t xml:space="preserve">DevOps practices</w:t>
      </w:r>
    </w:p>
    <w:p>
      <w:pPr>
        <w:pStyle w:val="ListParagraph"/>
        <w:numPr>
          <w:ilvl w:val="0"/>
          <w:numId w:val="2"/>
        </w:numPr>
        <w:spacing w:after="60" w:line="276"/>
      </w:pPr>
      <w:r>
        <w:rPr>
          <w:sz w:val="21"/>
          <w:szCs w:val="21"/>
        </w:rPr>
        <w:t xml:space="preserve">Environment-specific configuration via .env (backend) and config.js (frontend base URL), keeping secrets out of source control.</w:t>
      </w:r>
    </w:p>
    <w:p>
      <w:pPr>
        <w:pStyle w:val="ListParagraph"/>
        <w:numPr>
          <w:ilvl w:val="0"/>
          <w:numId w:val="2"/>
        </w:numPr>
        <w:spacing w:after="60" w:line="276"/>
      </w:pPr>
      <w:r>
        <w:rPr>
          <w:sz w:val="21"/>
          <w:szCs w:val="21"/>
        </w:rPr>
        <w:t xml:space="preserve">A reproducible seed script (prisma/seed.js) so any team member can stand up an identical local dataset in minutes.</w:t>
      </w:r>
    </w:p>
    <w:p>
      <w:pPr>
        <w:pStyle w:val="ListParagraph"/>
        <w:numPr>
          <w:ilvl w:val="0"/>
          <w:numId w:val="2"/>
        </w:numPr>
        <w:spacing w:after="60" w:line="276"/>
      </w:pPr>
      <w:r>
        <w:rPr>
          <w:sz w:val="21"/>
          <w:szCs w:val="21"/>
        </w:rPr>
        <w:t xml:space="preserve">Structured request logging (morgan) and centralised error handling for observability during integration testing.</w:t>
      </w:r>
    </w:p>
    <w:p>
      <w:pPr>
        <w:pStyle w:val="ListParagraph"/>
        <w:numPr>
          <w:ilvl w:val="0"/>
          <w:numId w:val="2"/>
        </w:numPr>
        <w:spacing w:after="60" w:line="276"/>
      </w:pPr>
      <w:r>
        <w:rPr>
          <w:sz w:val="21"/>
          <w:szCs w:val="21"/>
        </w:rPr>
        <w:t xml:space="preserve">Background jobs run as documented in-process interval tasks for this version, with a clear migration path to a managed scheduler/queue noted for a production-scale rollout.</w:t>
      </w:r>
    </w:p>
    <w:p>
      <w:pPr>
        <w:pStyle w:val="Heading1"/>
        <w:pBdr>
          <w:bottom w:val="single" w:color="2E5597" w:sz="8" w:space="4"/>
        </w:pBdr>
        <w:spacing w:after="140" w:before="320"/>
      </w:pPr>
      <w:r>
        <w:rPr>
          <w:b/>
          <w:bCs/>
          <w:color w:val="1F3864"/>
        </w:rPr>
        <w:t xml:space="preserve">6. Teamwork</w:t>
      </w:r>
    </w:p>
    <w:p>
      <w:pPr>
        <w:spacing w:after="140" w:line="288"/>
      </w:pPr>
      <w:r>
        <w:rPr>
          <w:sz w:val="21"/>
          <w:szCs w:val="21"/>
        </w:rPr>
        <w:t xml:space="preserve">The team is organised around the project’s three natural layers — backend/data, frontend/UX, and quality/process — so that each member owns a coherent vertical slice rather than being blocked waiting on someone else’s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50"/>
      </w:tblGrid>
      <w:tr>
        <w:tc>
          <w:tcPr>
            <w:tcW w:type="dxa" w:w="210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Member</w:t>
            </w:r>
          </w:p>
        </w:tc>
        <w:tc>
          <w:tcPr>
            <w:tcW w:type="dxa" w:w="210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Role</w:t>
            </w:r>
          </w:p>
        </w:tc>
        <w:tc>
          <w:tcPr>
            <w:tcW w:type="dxa" w:w="515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Key Responsibilities</w:t>
            </w:r>
          </w:p>
        </w:tc>
      </w:tr>
      <w:tr>
        <w:tc>
          <w:tcPr>
            <w:tcW w:type="dxa" w:w="2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[Member A]</w:t>
            </w:r>
          </w:p>
        </w:tc>
        <w:tc>
          <w:tcPr>
            <w:tcW w:type="dxa" w:w="2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Backend &amp; Data Lead</w:t>
            </w:r>
          </w:p>
        </w:tc>
        <w:tc>
          <w:tcPr>
            <w:tcW w:type="dxa" w:w="51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pPr>
              <w:pStyle w:val="ListParagraph"/>
              <w:numPr>
                <w:ilvl w:val="0"/>
                <w:numId w:val="2"/>
              </w:numPr>
              <w:spacing w:after="60" w:line="276"/>
            </w:pPr>
            <w:r>
              <w:rPr>
                <w:sz w:val="21"/>
                <w:szCs w:val="21"/>
              </w:rPr>
              <w:t xml:space="preserve">Database schema and migrations (users, medications, reminder times, dose logs, caregiver links, consent).</w:t>
            </w:r>
          </w:p>
          <w:p>
            <w:pPr>
              <w:pStyle w:val="ListParagraph"/>
              <w:numPr>
                <w:ilvl w:val="0"/>
                <w:numId w:val="2"/>
              </w:numPr>
              <w:spacing w:after="60" w:line="276"/>
            </w:pPr>
            <w:r>
              <w:rPr>
                <w:sz w:val="21"/>
                <w:szCs w:val="21"/>
              </w:rPr>
              <w:t xml:space="preserve">Authentication and role-based access-control middleware.</w:t>
            </w:r>
          </w:p>
          <w:p>
            <w:pPr>
              <w:pStyle w:val="ListParagraph"/>
              <w:numPr>
                <w:ilvl w:val="0"/>
                <w:numId w:val="2"/>
              </w:numPr>
              <w:spacing w:after="60" w:line="276"/>
            </w:pPr>
            <w:r>
              <w:rPr>
                <w:sz w:val="21"/>
                <w:szCs w:val="21"/>
              </w:rPr>
              <w:t xml:space="preserve">Medication and dose-confirmation APIs, including the double-dose guard (F1, F3).</w:t>
            </w:r>
          </w:p>
          <w:p>
            <w:pPr>
              <w:pStyle w:val="ListParagraph"/>
              <w:numPr>
                <w:ilvl w:val="0"/>
                <w:numId w:val="2"/>
              </w:numPr>
              <w:spacing w:after="60" w:line="276"/>
            </w:pPr>
            <w:r>
              <w:rPr>
                <w:sz w:val="21"/>
                <w:szCs w:val="21"/>
              </w:rPr>
              <w:t xml:space="preserve">Reminder-dispatch and missed-dose-escalation background jobs (F2, F4).</w:t>
            </w:r>
          </w:p>
        </w:tc>
      </w:tr>
      <w:tr>
        <w:tc>
          <w:tcPr>
            <w:tcW w:type="dxa" w:w="2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[Member B]</w:t>
            </w:r>
          </w:p>
        </w:tc>
        <w:tc>
          <w:tcPr>
            <w:tcW w:type="dxa" w:w="2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Frontend &amp; UX Lead</w:t>
            </w:r>
          </w:p>
        </w:tc>
        <w:tc>
          <w:tcPr>
            <w:tcW w:type="dxa" w:w="51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pPr>
              <w:pStyle w:val="ListParagraph"/>
              <w:numPr>
                <w:ilvl w:val="0"/>
                <w:numId w:val="2"/>
              </w:numPr>
              <w:spacing w:after="60" w:line="276"/>
            </w:pPr>
            <w:r>
              <w:rPr>
                <w:sz w:val="21"/>
                <w:szCs w:val="21"/>
              </w:rPr>
              <w:t xml:space="preserve">All mobile screens: Login, Home, Reminder, Add Medication, Report, Caregiver dashboard.</w:t>
            </w:r>
          </w:p>
          <w:p>
            <w:pPr>
              <w:pStyle w:val="ListParagraph"/>
              <w:numPr>
                <w:ilvl w:val="0"/>
                <w:numId w:val="2"/>
              </w:numPr>
              <w:spacing w:after="60" w:line="276"/>
            </w:pPr>
            <w:r>
              <w:rPr>
                <w:sz w:val="21"/>
                <w:szCs w:val="21"/>
              </w:rPr>
              <w:t xml:space="preserve">Shared accessibility design system (contrast, type scale, touch targets) and reusable UI components.</w:t>
            </w:r>
          </w:p>
          <w:p>
            <w:pPr>
              <w:pStyle w:val="ListParagraph"/>
              <w:numPr>
                <w:ilvl w:val="0"/>
                <w:numId w:val="2"/>
              </w:numPr>
              <w:spacing w:after="60" w:line="276"/>
            </w:pPr>
            <w:r>
              <w:rPr>
                <w:sz w:val="21"/>
                <w:szCs w:val="21"/>
              </w:rPr>
              <w:t xml:space="preserve">Session/auth state on the client and the API client wrapper used by every screen.</w:t>
            </w:r>
          </w:p>
          <w:p>
            <w:pPr>
              <w:pStyle w:val="ListParagraph"/>
              <w:numPr>
                <w:ilvl w:val="0"/>
                <w:numId w:val="2"/>
              </w:numPr>
              <w:spacing w:after="60" w:line="276"/>
            </w:pPr>
            <w:r>
              <w:rPr>
                <w:sz w:val="21"/>
                <w:szCs w:val="21"/>
              </w:rPr>
              <w:t xml:space="preserve">Cross-role navigation (patient vs. caregiver tab sets from one codebase).</w:t>
            </w:r>
          </w:p>
        </w:tc>
      </w:tr>
      <w:tr>
        <w:tc>
          <w:tcPr>
            <w:tcW w:type="dxa" w:w="2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[Member C]</w:t>
            </w:r>
          </w:p>
        </w:tc>
        <w:tc>
          <w:tcPr>
            <w:tcW w:type="dxa" w:w="21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QA, DevOps &amp; Project Management Lead</w:t>
            </w:r>
          </w:p>
        </w:tc>
        <w:tc>
          <w:tcPr>
            <w:tcW w:type="dxa" w:w="51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pPr>
              <w:pStyle w:val="ListParagraph"/>
              <w:numPr>
                <w:ilvl w:val="0"/>
                <w:numId w:val="2"/>
              </w:numPr>
              <w:spacing w:after="60" w:line="276"/>
            </w:pPr>
            <w:r>
              <w:rPr>
                <w:sz w:val="21"/>
                <w:szCs w:val="21"/>
              </w:rPr>
              <w:t xml:space="preserve">Automated test suite and seed/demo data (F5, adherence logic, scheduling logic).</w:t>
            </w:r>
          </w:p>
          <w:p>
            <w:pPr>
              <w:pStyle w:val="ListParagraph"/>
              <w:numPr>
                <w:ilvl w:val="0"/>
                <w:numId w:val="2"/>
              </w:numPr>
              <w:spacing w:after="60" w:line="276"/>
            </w:pPr>
            <w:r>
              <w:rPr>
                <w:sz w:val="21"/>
                <w:szCs w:val="21"/>
              </w:rPr>
              <w:t xml:space="preserve">Adherence report generation and PDF/CSV export; consent workflow for clinician access (F5, F6, NF4).</w:t>
            </w:r>
          </w:p>
          <w:p>
            <w:pPr>
              <w:pStyle w:val="ListParagraph"/>
              <w:numPr>
                <w:ilvl w:val="0"/>
                <w:numId w:val="2"/>
              </w:numPr>
              <w:spacing w:after="60" w:line="276"/>
            </w:pPr>
            <w:r>
              <w:rPr>
                <w:sz w:val="21"/>
                <w:szCs w:val="21"/>
              </w:rPr>
              <w:t xml:space="preserve">CI/CD pipeline, branch/PR policy, and release checklist.</w:t>
            </w:r>
          </w:p>
          <w:p>
            <w:pPr>
              <w:pStyle w:val="ListParagraph"/>
              <w:numPr>
                <w:ilvl w:val="0"/>
                <w:numId w:val="2"/>
              </w:numPr>
              <w:spacing w:after="60" w:line="276"/>
            </w:pPr>
            <w:r>
              <w:rPr>
                <w:sz w:val="21"/>
                <w:szCs w:val="21"/>
              </w:rPr>
              <w:t xml:space="preserve">Sprint board upkeep, meeting agendas/minutes, and this report / presentation materials.</w:t>
            </w:r>
          </w:p>
        </w:tc>
      </w:tr>
    </w:tbl>
    <w:p>
      <w:pPr>
        <w:spacing w:after="140" w:line="288"/>
      </w:pPr>
      <w:r>
        <w:rPr>
          <w:sz w:val="21"/>
          <w:szCs w:val="21"/>
        </w:rPr>
        <w:t xml:space="preserve"> </w:t>
      </w:r>
    </w:p>
    <w:p>
      <w:pPr>
        <w:pStyle w:val="Heading2"/>
        <w:spacing w:after="100" w:before="220"/>
      </w:pPr>
      <w:r>
        <w:rPr>
          <w:b/>
          <w:bCs/>
          <w:color w:val="2E5597"/>
        </w:rPr>
        <w:t xml:space="preserve">Collaboration &amp; communication</w:t>
      </w:r>
    </w:p>
    <w:p>
      <w:pPr>
        <w:pStyle w:val="ListParagraph"/>
        <w:numPr>
          <w:ilvl w:val="0"/>
          <w:numId w:val="2"/>
        </w:numPr>
        <w:spacing w:after="60" w:line="276"/>
      </w:pPr>
      <w:r>
        <w:rPr>
          <w:sz w:val="21"/>
          <w:szCs w:val="21"/>
        </w:rPr>
        <w:t xml:space="preserve">Standing meeting: one planning/sync session per week (day/time to be fixed by the team), plus short ad-hoc pairing calls at integration points — e.g. agreeing an API contract before the frontend consumes it.</w:t>
      </w:r>
    </w:p>
    <w:p>
      <w:pPr>
        <w:pStyle w:val="ListParagraph"/>
        <w:numPr>
          <w:ilvl w:val="0"/>
          <w:numId w:val="2"/>
        </w:numPr>
        <w:spacing w:after="60" w:line="276"/>
      </w:pPr>
      <w:r>
        <w:rPr>
          <w:sz w:val="21"/>
          <w:szCs w:val="21"/>
        </w:rPr>
        <w:t xml:space="preserve">Day-to-day communication: a shared chat channel (WhatsApp/Discord/Slack — team to confirm) for quick questions, with technical discussion and decisions captured in GitHub Issue/PR comments so they stay searchable.</w:t>
      </w:r>
    </w:p>
    <w:p>
      <w:pPr>
        <w:pStyle w:val="ListParagraph"/>
        <w:numPr>
          <w:ilvl w:val="0"/>
          <w:numId w:val="2"/>
        </w:numPr>
        <w:spacing w:after="60" w:line="276"/>
      </w:pPr>
      <w:r>
        <w:rPr>
          <w:sz w:val="21"/>
          <w:szCs w:val="21"/>
        </w:rPr>
        <w:t xml:space="preserve">Definition of done for any feature: code merged to main via a reviewed PR, covered by at least one automated test where practical, and demoed live to the other two members.</w:t>
      </w:r>
    </w:p>
    <w:p>
      <w:pPr>
        <w:pStyle w:val="Heading1"/>
        <w:pBdr>
          <w:bottom w:val="single" w:color="2E5597" w:sz="8" w:space="4"/>
        </w:pBdr>
        <w:spacing w:after="140" w:before="320"/>
      </w:pPr>
      <w:r>
        <w:rPr>
          <w:b/>
          <w:bCs/>
          <w:color w:val="1F3864"/>
        </w:rPr>
        <w:t xml:space="preserve">7. Project Management</w:t>
      </w:r>
    </w:p>
    <w:p>
      <w:pPr>
        <w:spacing w:after="140" w:line="288"/>
      </w:pPr>
      <w:r>
        <w:rPr>
          <w:sz w:val="21"/>
          <w:szCs w:val="21"/>
        </w:rPr>
        <w:t xml:space="preserve">The team will track work using GitHub Projects (a Kanban board of Backlog → In Progress → In Review → Done), with one GitHub Issue per requirement ID from Section 3 (F1–F6, NF1–NF6) so progress maps directly back to the requirements the module is graded against.</w:t>
      </w:r>
    </w:p>
    <w:p>
      <w:pPr>
        <w:pStyle w:val="Heading2"/>
        <w:spacing w:after="100" w:before="220"/>
      </w:pPr>
      <w:r>
        <w:rPr>
          <w:b/>
          <w:bCs/>
          <w:color w:val="2E5597"/>
        </w:rPr>
        <w:t xml:space="preserve">Initial work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Week</w:t>
            </w:r>
          </w:p>
        </w:tc>
        <w:tc>
          <w:tcPr>
            <w:tcW w:type="dxa" w:w="7750"/>
            <w:tcBorders>
              <w:top w:val="single" w:color="9DB2CE" w:sz="4"/>
              <w:left w:val="single" w:color="9DB2CE" w:sz="4"/>
              <w:bottom w:val="single" w:color="9DB2CE" w:sz="4"/>
              <w:right w:val="single" w:color="9DB2CE" w:sz="4"/>
            </w:tcBorders>
            <w:shd w:fill="2E5597" w:val="clear"/>
            <w:tcMar>
              <w:top w:type="dxa" w:w="100"/>
              <w:left w:type="dxa" w:w="150"/>
              <w:bottom w:type="dxa" w:w="100"/>
              <w:right w:type="dxa" w:w="150"/>
            </w:tcMar>
            <w:vAlign w:val="center"/>
          </w:tcPr>
          <w:p>
            <w:r>
              <w:rPr>
                <w:b/>
                <w:bCs/>
                <w:color w:val="FFFFFF"/>
                <w:sz w:val="20"/>
                <w:szCs w:val="20"/>
              </w:rPr>
              <w:t xml:space="preserve">Planned Activity</w:t>
            </w:r>
          </w:p>
        </w:tc>
      </w:tr>
      <w:tr>
        <w:tc>
          <w:tcPr>
            <w:tcW w:type="dxa" w:w="16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Week 1</w:t>
            </w:r>
          </w:p>
        </w:tc>
        <w:tc>
          <w:tcPr>
            <w:tcW w:type="dxa" w:w="77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Requirements finalised; schema design; repo, CI, and project board set up; this initial presentation.</w:t>
            </w:r>
          </w:p>
        </w:tc>
      </w:tr>
      <w:tr>
        <w:tc>
          <w:tcPr>
            <w:tcW w:type="dxa" w:w="16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Week 2</w:t>
            </w:r>
          </w:p>
        </w:tc>
        <w:tc>
          <w:tcPr>
            <w:tcW w:type="dxa" w:w="77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Auth + medication CRUD (F1) end-to-end between app and API; core screens scaffolded.</w:t>
            </w:r>
          </w:p>
        </w:tc>
      </w:tr>
      <w:tr>
        <w:tc>
          <w:tcPr>
            <w:tcW w:type="dxa" w:w="16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Week 3</w:t>
            </w:r>
          </w:p>
        </w:tc>
        <w:tc>
          <w:tcPr>
            <w:tcW w:type="dxa" w:w="77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Reminder dispatch and dose confirm/snooze with the double-dose guard (F2, F3) wired into the Reminder screen.</w:t>
            </w:r>
          </w:p>
        </w:tc>
      </w:tr>
      <w:tr>
        <w:tc>
          <w:tcPr>
            <w:tcW w:type="dxa" w:w="16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Week 4</w:t>
            </w:r>
          </w:p>
        </w:tc>
        <w:tc>
          <w:tcPr>
            <w:tcW w:type="dxa" w:w="77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Missed-dose escalation and caregiver linking (F4, F6); caregiver dashboard.</w:t>
            </w:r>
          </w:p>
        </w:tc>
      </w:tr>
      <w:tr>
        <w:tc>
          <w:tcPr>
            <w:tcW w:type="dxa" w:w="16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Week 5</w:t>
            </w:r>
          </w:p>
        </w:tc>
        <w:tc>
          <w:tcPr>
            <w:tcW w:type="dxa" w:w="77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Adherence report + PDF/CSV export and consent workflow (F5); accessibility pass against NF1–NF2; test coverage top-up.</w:t>
            </w:r>
          </w:p>
        </w:tc>
      </w:tr>
      <w:tr>
        <w:tc>
          <w:tcPr>
            <w:tcW w:type="dxa" w:w="160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bCs/>
                <w:sz w:val="20"/>
                <w:szCs w:val="20"/>
              </w:rPr>
              <w:t xml:space="preserve">Week 6</w:t>
            </w:r>
          </w:p>
        </w:tc>
        <w:tc>
          <w:tcPr>
            <w:tcW w:type="dxa" w:w="7750"/>
            <w:tcBorders>
              <w:top w:val="single" w:color="9DB2CE" w:sz="4"/>
              <w:left w:val="single" w:color="9DB2CE" w:sz="4"/>
              <w:bottom w:val="single" w:color="9DB2CE" w:sz="4"/>
              <w:right w:val="single" w:color="9DB2CE" w:sz="4"/>
            </w:tcBorders>
            <w:tcMar>
              <w:top w:type="dxa" w:w="100"/>
              <w:left w:type="dxa" w:w="150"/>
              <w:bottom w:type="dxa" w:w="100"/>
              <w:right w:type="dxa" w:w="150"/>
            </w:tcMar>
            <w:vAlign w:val="center"/>
          </w:tcPr>
          <w:p>
            <w:r>
              <w:rPr>
                <w:b w:val="false"/>
                <w:bCs w:val="false"/>
                <w:sz w:val="20"/>
                <w:szCs w:val="20"/>
              </w:rPr>
              <w:t xml:space="preserve">Integration testing, bug-fixing, deployment dry run, and final demo/report preparation.</w:t>
            </w:r>
          </w:p>
        </w:tc>
      </w:tr>
    </w:tbl>
    <w:p>
      <w:pPr>
        <w:spacing w:after="140" w:line="288"/>
      </w:pPr>
      <w:r>
        <w:rPr>
          <w:sz w:val="21"/>
          <w:szCs w:val="21"/>
        </w:rPr>
        <w:t xml:space="preserve"> </w:t>
      </w:r>
    </w:p>
    <w:p>
      <w:pPr>
        <w:spacing w:after="140" w:line="288"/>
      </w:pPr>
      <w:r>
        <w:rPr>
          <w:i/>
          <w:iCs/>
          <w:sz w:val="21"/>
          <w:szCs w:val="21"/>
        </w:rPr>
        <w:t xml:space="preserve">This plan is a starting point agreed at kickoff; the board in GitHub Projects is the source of truth and will be updated as estimates are refined sprint over sprint.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2026-07-29T13:53:10.626Z</dcterms:created>
  <dcterms:modified xsi:type="dcterms:W3CDTF">2026-07-29T13:53:10.631Z</dcterms:modified>
</cp:coreProperties>
</file>

<file path=docProps/custom.xml><?xml version="1.0" encoding="utf-8"?>
<Properties xmlns="http://schemas.openxmlformats.org/officeDocument/2006/custom-properties" xmlns:vt="http://schemas.openxmlformats.org/officeDocument/2006/docPropsVTypes"/>
</file>