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Services Agreement</w:t>
      </w:r>
    </w:p>
    <w:p>
      <w:r>
        <w:t>This Agreement is entered into between Acme Corp and Vendor Inc.</w:t>
      </w:r>
    </w:p>
    <w:p>
      <w:pPr>
        <w:pStyle w:val="Heading2"/>
      </w:pPr>
      <w:r>
        <w:t>8. Term and Termination</w:t>
      </w:r>
    </w:p>
    <w:p>
      <w:r>
        <w:t>This Agreement shall automatically renew for successive twelve (12) month terms unless either party provides written notice not less than sixty (60) days before the end of the then-current term. All notices shall be sent by certified mail to the General Counsel at 123 Main St.</w:t>
      </w:r>
    </w:p>
    <w:p>
      <w:pPr>
        <w:pStyle w:val="Heading2"/>
      </w:pPr>
      <w:r>
        <w:t>9. Fees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Annual License</w:t>
            </w:r>
          </w:p>
        </w:tc>
        <w:tc>
          <w:tcPr>
            <w:tcW w:type="dxa" w:w="4320"/>
          </w:tcPr>
          <w:p>
            <w:r>
              <w:t>$24,000</w:t>
            </w:r>
          </w:p>
        </w:tc>
      </w:tr>
      <w:tr>
        <w:tc>
          <w:tcPr>
            <w:tcW w:type="dxa" w:w="4320"/>
          </w:tcPr>
          <w:p>
            <w:r>
              <w:t>Support</w:t>
            </w:r>
          </w:p>
        </w:tc>
        <w:tc>
          <w:tcPr>
            <w:tcW w:type="dxa" w:w="4320"/>
          </w:tcPr>
          <w:p>
            <w:r>
              <w:t>$3,600</w:t>
            </w:r>
          </w:p>
        </w:tc>
      </w:tr>
    </w:tbl>
    <w:p>
      <w:pPr>
        <w:pStyle w:val="Heading2"/>
      </w:pPr>
      <w:r>
        <w:t>Appendix A — Service Levels</w:t>
      </w:r>
    </w:p>
    <w:p>
      <w:r>
        <w:t>Uptime commitment of 99.9% measured monthly. Service credits of 5% apply per 0.1% shortfall, claimable within thirty (30)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