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a23ffb8e12cb4382"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after="120"/>
        <w:jc w:val="center"/>
      </w:pPr>
      <w:r>
        <w:rPr>
          <w:b/>
          <w:color w:val="1a365d"/>
          <w:sz w:val="28"/>
        </w:rPr>
        <w:t>EchoPulse AI: A Hybrid Data Architecture for Multimodal Music Recommendation</w:t>
      </w:r>
    </w:p>
    <w:p>
      <w:pPr>
        <w:spacing w:after="120"/>
        <w:jc w:val="center"/>
      </w:pPr>
      <w:r>
        <w:rPr>
          <w:b/>
          <w:color w:val="2c5282"/>
          <w:sz w:val="24"/>
        </w:rPr>
        <w:t>Integrating WASABI and MSD Datasets Through a Lakehouse Paradigm</w:t>
      </w:r>
    </w:p>
    <w:p>
      <w:pPr>
        <w:spacing w:before="200" w:after="60"/>
        <w:jc w:val="center"/>
      </w:pPr>
      <w:r>
        <w:rPr>
          <w:sz w:val="20"/>
        </w:rPr>
        <w:t>John Kennedy Landazuri Sandoval</w:t>
      </w:r>
      <w:r>
        <w:rPr>
          <w:sz w:val="18"/>
          <w:vertAlign w:val="superscript"/>
        </w:rPr>
        <w:t>1</w:t>
      </w:r>
    </w:p>
    <w:p>
      <w:pPr>
        <w:spacing w:after="60"/>
        <w:jc w:val="center"/>
      </w:pPr>
      <w:r>
        <w:rPr>
          <w:sz w:val="20"/>
        </w:rPr>
        <w:t>Cristian Camilo Ordonez Quintero</w:t>
      </w:r>
      <w:r>
        <w:rPr>
          <w:sz w:val="18"/>
          <w:vertAlign w:val="superscript"/>
        </w:rPr>
        <w:t>2</w:t>
      </w:r>
      <w:r>
        <w:t xml:space="preserve">, </w:t>
      </w:r>
      <w:r>
        <w:rPr>
          <w:sz w:val="20"/>
        </w:rPr>
        <w:t>Cristian Mendez Rodriguez</w:t>
      </w:r>
      <w:r>
        <w:rPr>
          <w:sz w:val="18"/>
          <w:vertAlign w:val="superscript"/>
        </w:rPr>
        <w:t>2</w:t>
      </w:r>
    </w:p>
    <w:p>
      <w:pPr>
        <w:spacing w:after="0"/>
        <w:jc w:val="center"/>
      </w:pPr>
      <w:r>
        <w:rPr>
          <w:i/>
          <w:color w:val="4a5568"/>
          <w:sz w:val="18"/>
        </w:rPr>
        <w:t>1 Systems Engineering Student, IMS Research Group</w:t>
      </w:r>
    </w:p>
    <w:p>
      <w:pPr>
        <w:spacing w:after="200"/>
        <w:jc w:val="center"/>
      </w:pPr>
      <w:r>
        <w:rPr>
          <w:i/>
          <w:color w:val="4a5568"/>
          <w:sz w:val="18"/>
        </w:rPr>
        <w:t>2 Fundacion Universitaria de Popayan, Faculty of Engineering, Colombia</w:t>
      </w:r>
    </w:p>
    <w:p>
      <w:pPr>
        <w:spacing w:after="300"/>
        <w:jc w:val="center"/>
      </w:pPr>
      <w:r>
        <w:rPr>
          <w:color w:val="718096"/>
          <w:sz w:val="18"/>
        </w:rPr>
        <w:t>{john.landazuri, cristian.ordonez, cristian.mendez}@fup.edu.co</w:t>
      </w:r>
    </w:p>
    <w:p>
      <w:pPr>
        <w:spacing w:before="200" w:after="120"/>
        <w:jc w:val="left"/>
      </w:pPr>
      <w:r>
        <w:rPr>
          <w:b/>
          <w:color w:val="1a365d"/>
          <w:sz w:val="22"/>
        </w:rPr>
        <w:t>Abstract.</w:t>
      </w:r>
      <w:r>
        <w:rPr>
          <w:sz w:val="20"/>
        </w:rPr>
        <w:t> This paper presents EchoPulse AI, a production-ready multimodal music recommender system that integrates a custom Triple-Encoder Transformer architecture with a hybrid data pipeline to address emerging artist visibility. The system processes three distinct modalities: lyrical-affective content, tabular-technical metadata, and conversational intent. By fusing these through a Multimodal Sequence Transformer for Music Recommendation (MST-MR), the agent generates 512-dimensional song embeddings that prioritize content affinity over popularity. The architecture follows a Lakehouse paradigm, consolidating data from WASABI, Million Song Dataset (MSD), and Lyrics 1950-2019 corpora. Experimental results demonstrate a 45.3% improvement in Intra-List Diversity and a 157.9% increase in emerging artist discovery compared to collaborative filtering baselines, while maintaining competitive accuracy metrics. The implementation includes a FastAPI-based inference engine with Nvidia Triton, achieving sub-second latency for core retrieval components.</w:t>
      </w:r>
    </w:p>
    <w:p>
      <w:pPr>
        <w:spacing w:before="120" w:after="300"/>
        <w:jc w:val="left"/>
      </w:pPr>
      <w:r>
        <w:rPr>
          <w:b/>
          <w:sz w:val="20"/>
        </w:rPr>
        <w:t>Keywords: </w:t>
      </w:r>
      <w:r>
        <w:rPr>
          <w:sz w:val="20"/>
        </w:rPr>
        <w:t>Multimodal recommendation </w:t>
      </w:r>
      <w:r>
        <w:t xml:space="preserve">·</w:t>
      </w:r>
      <w:r>
        <w:t xml:space="preserve"> Transformer architecture </w:t>
      </w:r>
      <w:r>
        <w:t xml:space="preserve">·</w:t>
      </w:r>
      <w:r>
        <w:t xml:space="preserve"> Data lakehouse </w:t>
      </w:r>
      <w:r>
        <w:t xml:space="preserve">·</w:t>
      </w:r>
      <w:r>
        <w:t xml:space="preserve"> Music information retrieval </w:t>
      </w:r>
      <w:r>
        <w:t xml:space="preserve">·</w:t>
      </w:r>
      <w:r>
        <w:t xml:space="preserve"> Cold-start problem</w:t>
      </w:r>
    </w:p>
    <w:p>
      <w:pPr>
        <w:pStyle w:val="Heading1"/>
      </w:pPr>
      <w:r>
        <w:t>1 Introduction</w:t>
      </w:r>
    </w:p>
    <w:p>
      <w:pPr>
        <w:spacing w:after="120"/>
        <w:ind w:firstLine="360"/>
      </w:pPr>
      <w:r>
        <w:t>The global music industry has experienced significant transformation driven by the transition to digital consumption models. According to the International Federation of the Phonographic Industry (IFPI), global recorded music revenues reached USD 29.6 billion in 2024, representing continued growth in the streaming era. However, this economic expansion has not translated proportionally into increased opportunities for emerging artists, who continue to face the fundamental challenge of visibility in an increasingly concentrated digital landscape.</w:t>
      </w:r>
    </w:p>
    <w:p>
      <w:pPr>
        <w:spacing w:after="120"/>
        <w:ind w:firstLine="360"/>
      </w:pPr>
      <w:r>
        <w:t>Contemporary music recommendation systems predominantly rely on collaborative filtering approaches that leverage user-item interaction patterns. While effective for established content, these methods suffer from the well-documented cold-start problem and exhibit inherent popularity bias. New artists and niche content receive minimal exposure, creating feedback loops that concentrate audience attention on established hits. This phenomenon is further exacerbated by the influx of algorithmically-generated content, which competes for limited recommendation slots.</w:t>
      </w:r>
    </w:p>
    <w:p>
      <w:pPr>
        <w:spacing w:after="120"/>
        <w:ind w:firstLine="360"/>
      </w:pPr>
      <w:r>
        <w:t>To address these limitations, content-based approaches that leverage intrinsic song characteristics have gained research attention. Multimodal systems that integrate lyrical, acoustic, and metadata features offer a pathway toward more equitable recommendation by prioritizing content affinity over historical popularity signals. The Transformer architecture, originally introduced for natural language processing, has demonstrated remarkable effectiveness in capturing long-range dependencies across sequential data, making it particularly suitable for modeling the complex relationships inherent in musical content.</w:t>
      </w:r>
    </w:p>
    <w:p>
      <w:pPr>
        <w:spacing w:after="120"/>
        <w:ind w:firstLine="360"/>
      </w:pPr>
      <w:r>
        <w:t>This paper presents EchoPulse AI, a production-ready multimodal music recommender system designed with three primary contributions: (1) a hybrid data architecture following the Lakehouse paradigm that consolidates heterogeneous music datasets; (2) a Triple-Encoder Transformer architecture with specialized modules for lyrical, acoustic, and conversational modalities; and (3) an end-to-end evaluation demonstrating significant improvements in diversity and emerging artist discovery while maintaining competitive accuracy metrics.</w:t>
      </w:r>
    </w:p>
    <w:p>
      <w:pPr>
        <w:pStyle w:val="Heading1"/>
      </w:pPr>
      <w:r>
        <w:t>2 Related Work</w:t>
      </w:r>
    </w:p>
    <w:p>
      <w:pPr>
        <w:pStyle w:val="Heading2"/>
      </w:pPr>
      <w:r>
        <w:t>2.1 Transformer-Based Recommendation</w:t>
      </w:r>
    </w:p>
    <w:p>
      <w:pPr>
        <w:spacing w:after="120"/>
        <w:ind w:firstLine="360"/>
      </w:pPr>
      <w:r>
        <w:t>The introduction of the Transformer architecture by Vaswani et al. revolutionized sequence modeling across natural language processing and subsequently extended to music generation and recommendation tasks. The self-attention mechanism enables models to capture long-range dependencies in sequential data, making it particularly suitable for modeling musical structure and user listening patterns. BERT4Rec introduced bidirectional encoding for sequential recommendation, improving accuracy but inheriting popularity bias from training data.</w:t>
      </w:r>
    </w:p>
    <w:p>
      <w:pPr>
        <w:pStyle w:val="Heading2"/>
      </w:pPr>
      <w:r>
        <w:t>2.2 Multimodal Music Recommendation</w:t>
      </w:r>
    </w:p>
    <w:p>
      <w:pPr>
        <w:spacing w:after="120"/>
        <w:ind w:firstLine="360"/>
      </w:pPr>
      <w:r>
        <w:t>Multimodal approaches that integrate multiple data sources have shown promise for improving recommendation quality and diversity. Research has explored fusion techniques for combining audio features with textual metadata, while cross-modal attention mechanisms have been investigated for music understanding. The WASABI dataset and Million Song Dataset provide foundational resources for multimodal music research, enabling large-scale analysis of lyrical, acoustic, and metadata features.</w:t>
      </w:r>
    </w:p>
    <w:p>
      <w:pPr>
        <w:pStyle w:val="Heading2"/>
      </w:pPr>
      <w:r>
        <w:t>2.3 Data Architecture for ML Systems</w:t>
      </w:r>
    </w:p>
    <w:p>
      <w:pPr>
        <w:spacing w:after="120"/>
        <w:ind w:firstLine="360"/>
      </w:pPr>
      <w:r>
        <w:t>The Lakehouse paradigm has emerged as a modern approach to data management, combining the flexibility and scalability of data lakes with the transactional capabilities of data warehouses. Technologies such as Delta Lake, Apache Iceberg, and Apache Hudi enable ACID transactions, schema evolution, and time travel capabilities over object storage. This architecture is particularly valuable for machine learning workflows requiring reproducibility and version control.</w:t>
      </w:r>
    </w:p>
    <w:p>
      <w:pPr>
        <w:pStyle w:val="Heading1"/>
      </w:pPr>
      <w:r>
        <w:t>3 Methodology</w:t>
      </w:r>
    </w:p>
    <w:p>
      <w:pPr>
        <w:pStyle w:val="Heading2"/>
      </w:pPr>
      <w:r>
        <w:t>3.1 Data Architecture Overview</w:t>
      </w:r>
    </w:p>
    <w:p>
      <w:pPr>
        <w:spacing w:after="120"/>
        <w:ind w:firstLine="360"/>
      </w:pPr>
      <w:r>
        <w:t>The EchoPulse AI system implements a five-stage data pipeline following established MLOps principles: Data Sources, Data Lake, Data Processing, Data Modeling, and Data Product. This architecture ensures traceability, reproducibility, and scalability throughout the machine learning lifecycle.</w:t>
      </w:r>
    </w:p>
    <w:p>
      <w:pPr>
        <w:keepNext/>
        <w:spacing w:before="200" w:after="80"/>
        <w:jc w:val="center"/>
      </w:pPr>
      <w:r>
        <w:drawing>
          <wp:inline distT="0" distB="0" distL="0" distR="0">
            <wp:extent cx="5040000" cy="3585291"/>
            <wp:effectExtent l="0" t="0" r="0" b="0"/>
            <wp:docPr id="1" name="Architecture Diagram"/>
            <wp:cNvGraphicFramePr>
              <a:graphicFrameLocks noChangeAspect="1"/>
            </wp:cNvGraphicFramePr>
            <a:graphic>
              <a:graphicData uri="http://schemas.openxmlformats.org/drawingml/2006/picture">
                <pic:pic>
                  <pic:nvPicPr>
                    <pic:cNvPr id="0" name="Architecture Diagram.png"/>
                    <pic:cNvPicPr/>
                  </pic:nvPicPr>
                  <pic:blipFill>
                    <a:blip r:embed="R3110c86b772044cc"/>
                    <a:stretch>
                      <a:fillRect/>
                    </a:stretch>
                  </pic:blipFill>
                  <pic:spPr>
                    <a:xfrm>
                      <a:off x="0" y="0"/>
                      <a:ext cx="5040000" cy="3585291"/>
                    </a:xfrm>
                    <a:prstGeom prst="rect"/>
                  </pic:spPr>
                </pic:pic>
              </a:graphicData>
            </a:graphic>
          </wp:inline>
        </w:drawing>
      </w:r>
    </w:p>
    <w:p>
      <w:pPr>
        <w:pStyle w:val="Caption"/>
      </w:pPr>
      <w:r>
        <w:t>Figure 1. EchoPulse AI Hybrid Data Architecture: End-to-end pipeline from heterogeneous sources to production deployment.</w:t>
      </w:r>
    </w:p>
    <w:p>
      <w:pPr>
        <w:pStyle w:val="Heading2"/>
      </w:pPr>
      <w:r>
        <w:t>3.2 Data Sources and Integration</w:t>
      </w:r>
    </w:p>
    <w:p>
      <w:pPr>
        <w:spacing w:after="120"/>
        <w:ind w:firstLine="360"/>
      </w:pPr>
      <w:r>
        <w:t>The system integrates three primary data sources, each contributing distinct modalities:</w:t>
      </w:r>
    </w:p>
    <w:p>
      <w:pPr>
        <w:numPr>
          <w:ilvl w:val="0"/>
          <w:numId w:val="1"/>
        </w:numPr>
        <w:spacing w:after="60"/>
      </w:pPr>
      <w:r>
        <w:t>WASABI Dataset: Provides lyrical content and cultural metadata for over 2 million commercially released songs, with temporal coverage spanning 1922 to 2022.</w:t>
      </w:r>
    </w:p>
    <w:p>
      <w:pPr>
        <w:numPr>
          <w:ilvl w:val="0"/>
          <w:numId w:val="1"/>
        </w:numPr>
        <w:spacing w:after="60"/>
      </w:pPr>
      <w:r>
        <w:t>Million Song Dataset (MSD): Offers 26 continuous acoustic features including tempo, energy, valence, danceability, and loudness for 280,000 tracks.</w:t>
      </w:r>
    </w:p>
    <w:p>
      <w:pPr>
        <w:numPr>
          <w:ilvl w:val="0"/>
          <w:numId w:val="1"/>
        </w:numPr>
        <w:spacing w:after="60"/>
      </w:pPr>
      <w:r>
        <w:t>Lyrics 1950-2019: Contributes thematic and emotional metadata derived from lyrical analysis across six decades of popular music.</w:t>
      </w:r>
    </w:p>
    <w:p>
      <w:pPr>
        <w:spacing w:after="120"/>
        <w:ind w:firstLine="360"/>
      </w:pPr>
      <w:r>
        <w:t>The integration challenge lies in reconciling different identification schemes across datasets. The MSD uses Echo Nest IDs, while WASABI maintains its internal identifier system. Our solution employs heuristic matching based on the tuple (song name, artist name, release year), achieving 84% coverage with validated acoustic vectors and complete lyrics.</w:t>
      </w:r>
    </w:p>
    <w:p>
      <w:pPr>
        <w:pStyle w:val="Heading2"/>
      </w:pPr>
      <w:r>
        <w:t>3.3 Data Lakehouse Implementation</w:t>
      </w:r>
    </w:p>
    <w:p>
      <w:pPr>
        <w:spacing w:after="120"/>
        <w:ind w:firstLine="360"/>
      </w:pPr>
      <w:r>
        <w:t>The Lakehouse layer implements Apache Iceberg over Amazon S3 object storage, providing:</w:t>
      </w:r>
    </w:p>
    <w:p>
      <w:pPr>
        <w:numPr>
          <w:ilvl w:val="0"/>
          <w:numId w:val="1"/>
        </w:numPr>
        <w:spacing w:after="60"/>
      </w:pPr>
      <w:r>
        <w:t>ACID Transactions: Ensuring data consistency during concurrent read/write operations.</w:t>
      </w:r>
    </w:p>
    <w:p>
      <w:pPr>
        <w:numPr>
          <w:ilvl w:val="0"/>
          <w:numId w:val="1"/>
        </w:numPr>
        <w:spacing w:after="60"/>
      </w:pPr>
      <w:r>
        <w:t>Schema Evolution: Supporting additive changes to the Master Table without breaking downstream consumers.</w:t>
      </w:r>
    </w:p>
    <w:p>
      <w:pPr>
        <w:numPr>
          <w:ilvl w:val="0"/>
          <w:numId w:val="1"/>
        </w:numPr>
        <w:spacing w:after="60"/>
      </w:pPr>
      <w:r>
        <w:t>Time Travel: Enabling reproducible experiments through snapshot isolation.</w:t>
      </w:r>
    </w:p>
    <w:p>
      <w:pPr>
        <w:numPr>
          <w:ilvl w:val="0"/>
          <w:numId w:val="1"/>
        </w:numPr>
        <w:spacing w:after="60"/>
      </w:pPr>
      <w:r>
        <w:t>Partitioning: Optimizing query performance through strategic data organization.</w:t>
      </w:r>
    </w:p>
    <w:p>
      <w:pPr>
        <w:pStyle w:val="Heading2"/>
      </w:pPr>
      <w:r>
        <w:t>3.4 Data Processing Pipeline</w:t>
      </w:r>
    </w:p>
    <w:p>
      <w:pPr>
        <w:spacing w:after="120"/>
        <w:ind w:firstLine="360"/>
      </w:pPr>
      <w:r>
        <w:t>The processing stage transforms raw data into training-ready representations through four key operations:</w:t>
      </w:r>
    </w:p>
    <w:p>
      <w:pPr>
        <w:spacing w:after="120"/>
        <w:ind w:firstLine="360"/>
      </w:pPr>
      <w:r>
        <w:t>Data Cleaning addresses missing values, outliers, and inconsistent formatting. ID Mapping reconciles identifiers across source datasets. Feature Engineering computes aggregated statistics and derived features. Master Table Consolidation produces the final unified dataset containing 5,710 tracks with complete multimodal coverage.</w:t>
      </w:r>
    </w:p>
    <w:p>
      <w:pPr>
        <w:pStyle w:val="Heading2"/>
      </w:pPr>
      <w:r>
        <w:t>3.5 Model Architecture</w:t>
      </w:r>
    </w:p>
    <w:p>
      <w:pPr>
        <w:spacing w:after="120"/>
        <w:ind w:firstLine="360"/>
      </w:pPr>
      <w:r>
        <w:t>The EchoPulse AI model implements a Triple-Encoder Transformer architecture with three specialized modules:</w:t>
      </w:r>
    </w:p>
    <w:p>
      <w:pPr>
        <w:pStyle w:val="Heading3"/>
      </w:pPr>
      <w:r>
        <w:t>3.5.1 IntentTransformer (Module 3)</w:t>
      </w:r>
    </w:p>
    <w:p>
      <w:pPr>
        <w:spacing w:after="120"/>
        <w:ind w:firstLine="360"/>
      </w:pPr>
      <w:r>
        <w:t>The IntentTransformer processes user queries to capture conversational intent. Implemented as an encoder-only Transformer with 4 layers, 8 attention heads, and 256-dimensional embeddings, it maps natural language input to a dense representation. The output layer projects to 38,343 song classes, enabling direct semantic retrieval. Training employed approximately 16,000 structured conversational dialogues mapped to song selections.</w:t>
      </w:r>
    </w:p>
    <w:p>
      <w:pPr>
        <w:pStyle w:val="Heading3"/>
      </w:pPr>
      <w:r>
        <w:t>3.5.2 MST-MR Transformer (Module 2)</w:t>
      </w:r>
    </w:p>
    <w:p>
      <w:pPr>
        <w:spacing w:after="120"/>
        <w:ind w:firstLine="360"/>
      </w:pPr>
      <w:r>
        <w:t>The Multimodal Sequence Transformer for Music Recommendation (MST-MR) implements cross-attention fusion across three encoders:</w:t>
      </w:r>
    </w:p>
    <w:p>
      <w:pPr>
        <w:numPr>
          <w:ilvl w:val="0"/>
          <w:numId w:val="1"/>
        </w:numPr>
        <w:spacing w:after="60"/>
      </w:pPr>
      <w:r>
        <w:t>Lyrical Encoder: Processes tokenized lyrics through transformer layers to capture semantic and emotional content.</w:t>
      </w:r>
    </w:p>
    <w:p>
      <w:pPr>
        <w:numPr>
          <w:ilvl w:val="0"/>
          <w:numId w:val="1"/>
        </w:numPr>
        <w:spacing w:after="60"/>
      </w:pPr>
      <w:r>
        <w:t>Tabular Encoder: Projects 26-dimensional acoustic features into the shared latent space using a two-layer feedforward network with GELU activation.</w:t>
      </w:r>
    </w:p>
    <w:p>
      <w:pPr>
        <w:numPr>
          <w:ilvl w:val="0"/>
          <w:numId w:val="1"/>
        </w:numPr>
        <w:spacing w:after="60"/>
      </w:pPr>
      <w:r>
        <w:t>Conversational Encoder: Integrates session context and user intent into the representation.</w:t>
      </w:r>
    </w:p>
    <w:p>
      <w:pPr>
        <w:spacing w:after="120"/>
        <w:ind w:firstLine="360"/>
      </w:pPr>
      <w:r>
        <w:t>The cross-attention mechanism enables each modality to attend to and weight information from others, producing unified 512-dimensional song embeddings.</w:t>
      </w:r>
    </w:p>
    <w:p>
      <w:pPr>
        <w:pStyle w:val="Heading3"/>
      </w:pPr>
      <w:r>
        <w:t>3.5.3 Hybrid Scoring Function</w:t>
      </w:r>
    </w:p>
    <w:p>
      <w:pPr>
        <w:spacing w:after="120"/>
        <w:ind w:firstLine="360"/>
      </w:pPr>
      <w:r>
        <w:t>The final recommendation score combines semantic, acoustic, and lexical signals:</w:t>
      </w:r>
    </w:p>
    <w:p>
      <w:pPr>
        <w:spacing w:after="120"/>
        <w:ind w:firstLine="360"/>
      </w:pPr>
      <w:r>
        <w:t>S(q,c) = alpha * cos(embed(q), embed(c)) + beta * (1 - |features(q) - features(c)|) + gamma * Jaccard(tokens(q), tokens(c))</w:t>
      </w:r>
    </w:p>
    <w:p>
      <w:pPr>
        <w:spacing w:after="120"/>
        <w:ind w:firstLine="360"/>
      </w:pPr>
      <w:r>
        <w:t>where alpha=0.4 prioritizes semantic embeddings, beta=0.3 emphasizes acoustic continuity, and gamma=0.3 enforces lexical filtering.</w:t>
      </w:r>
    </w:p>
    <w:p>
      <w:pPr>
        <w:pStyle w:val="Heading2"/>
      </w:pPr>
      <w:r>
        <w:t>3.6 Production Inference Pipeline</w:t>
      </w:r>
    </w:p>
    <w:p>
      <w:pPr>
        <w:spacing w:after="120"/>
        <w:ind w:firstLine="360"/>
      </w:pPr>
      <w:r>
        <w:t>The production deployment implements a two-tier architecture:</w:t>
      </w:r>
    </w:p>
    <w:p>
      <w:pPr>
        <w:numPr>
          <w:ilvl w:val="0"/>
          <w:numId w:val="1"/>
        </w:numPr>
        <w:spacing w:after="60"/>
      </w:pPr>
      <w:r>
        <w:t>FastAPI Gateway: Handles HTTP request validation, orchestration, and response formatting.</w:t>
      </w:r>
    </w:p>
    <w:p>
      <w:pPr>
        <w:numPr>
          <w:ilvl w:val="0"/>
          <w:numId w:val="1"/>
        </w:numPr>
        <w:spacing w:after="60"/>
      </w:pPr>
      <w:r>
        <w:t>Nvidia Triton Inference Server: Provides optimized model serving with dynamic batching, achieving 272 inferences per second compared to 73 with direct FastAPI serving.</w:t>
      </w:r>
    </w:p>
    <w:p>
      <w:pPr>
        <w:keepNext/>
        <w:spacing w:before="200" w:after="80"/>
        <w:jc w:val="center"/>
      </w:pPr>
      <w:r>
        <w:drawing>
          <wp:inline distT="0" distB="0" distL="0" distR="0">
            <wp:extent cx="4320000" cy="3147222"/>
            <wp:effectExtent l="0" t="0" r="0" b="0"/>
            <wp:docPr id="2" name="Latency Breakdown"/>
            <wp:cNvGraphicFramePr>
              <a:graphicFrameLocks noChangeAspect="1"/>
            </wp:cNvGraphicFramePr>
            <a:graphic>
              <a:graphicData uri="http://schemas.openxmlformats.org/drawingml/2006/picture">
                <pic:pic>
                  <pic:nvPicPr>
                    <pic:cNvPr id="0" name="Latency Breakdown.png"/>
                    <pic:cNvPicPr/>
                  </pic:nvPicPr>
                  <pic:blipFill>
                    <a:blip r:embed="R71d7397584964b2c"/>
                    <a:stretch>
                      <a:fillRect/>
                    </a:stretch>
                  </pic:blipFill>
                  <pic:spPr>
                    <a:xfrm>
                      <a:off x="0" y="0"/>
                      <a:ext cx="4320000" cy="3147222"/>
                    </a:xfrm>
                    <a:prstGeom prst="rect"/>
                  </pic:spPr>
                </pic:pic>
              </a:graphicData>
            </a:graphic>
          </wp:inline>
        </w:drawing>
      </w:r>
    </w:p>
    <w:p>
      <w:pPr>
        <w:pStyle w:val="Caption"/>
      </w:pPr>
      <w:r>
        <w:t>Figure 2. End-to-end pipeline latency breakdown showing component-level timing.</w:t>
      </w:r>
    </w:p>
    <w:p>
      <w:pPr>
        <w:pStyle w:val="Heading1"/>
      </w:pPr>
      <w:r>
        <w:t>4 Evaluation</w:t>
      </w:r>
    </w:p>
    <w:p>
      <w:pPr>
        <w:pStyle w:val="Heading2"/>
      </w:pPr>
      <w:r>
        <w:t>4.1 Experimental Setup</w:t>
      </w:r>
    </w:p>
    <w:p>
      <w:pPr>
        <w:spacing w:after="120"/>
        <w:ind w:firstLine="360"/>
      </w:pPr>
      <w:r>
        <w:t>The model was trained on the Master Table dataset (5,710 tracks) using PyTorch 2.0 with CUDA acceleration. Training employed the Adam optimizer with learning rate 1e-4, batch size 32, and early stopping based on validation loss. Evaluation follows temporal splitting to prevent data leakage, with metrics computed on a held-out test set representing future interactions.</w:t>
      </w:r>
    </w:p>
    <w:p>
      <w:pPr>
        <w:pStyle w:val="Heading2"/>
      </w:pPr>
      <w:r>
        <w:t>4.2 Evaluation Metrics</w:t>
      </w:r>
    </w:p>
    <w:p>
      <w:pPr>
        <w:spacing w:after="120"/>
        <w:ind w:firstLine="360"/>
      </w:pPr>
      <w:r>
        <w:t>We employ standard recommendation metrics alongside diversity-oriented measures:</w:t>
      </w:r>
    </w:p>
    <w:p>
      <w:pPr>
        <w:numPr>
          <w:ilvl w:val="0"/>
          <w:numId w:val="1"/>
        </w:numPr>
        <w:spacing w:after="60"/>
      </w:pPr>
      <w:r>
        <w:t>Hit@K: Probability that the relevant item appears in the top-K recommendations.</w:t>
      </w:r>
    </w:p>
    <w:p>
      <w:pPr>
        <w:numPr>
          <w:ilvl w:val="0"/>
          <w:numId w:val="1"/>
        </w:numPr>
        <w:spacing w:after="60"/>
      </w:pPr>
      <w:r>
        <w:t>MRR: Mean Reciprocal Rank, capturing the position of the first relevant item.</w:t>
      </w:r>
    </w:p>
    <w:p>
      <w:pPr>
        <w:numPr>
          <w:ilvl w:val="0"/>
          <w:numId w:val="1"/>
        </w:numPr>
        <w:spacing w:after="60"/>
      </w:pPr>
      <w:r>
        <w:t>nDCG@K: Normalized Discounted Cumulative Gain, weighting relevant items by position.</w:t>
      </w:r>
    </w:p>
    <w:p>
      <w:pPr>
        <w:numPr>
          <w:ilvl w:val="0"/>
          <w:numId w:val="1"/>
        </w:numPr>
        <w:spacing w:after="60"/>
      </w:pPr>
      <w:r>
        <w:t>Intra-List Diversity (ILD): Average pairwise dissimilarity among recommended items.</w:t>
      </w:r>
    </w:p>
    <w:p>
      <w:pPr>
        <w:numPr>
          <w:ilvl w:val="0"/>
          <w:numId w:val="1"/>
        </w:numPr>
        <w:spacing w:after="60"/>
      </w:pPr>
      <w:r>
        <w:t>Emerging Artist Discovery: Proportion of recommendations from artists with fewer than 10,000 monthly listeners.</w:t>
      </w:r>
    </w:p>
    <w:p>
      <w:pPr>
        <w:pStyle w:val="Heading2"/>
      </w:pPr>
      <w:r>
        <w:t>4.3 Comparative Performance Analysis</w:t>
      </w:r>
    </w:p>
    <w:p>
      <w:pPr>
        <w:spacing w:after="120"/>
        <w:ind w:firstLine="360"/>
      </w:pPr>
      <w:r>
        <w:t>Table 1 presents the comparative performance of EchoPulse AI against established baseline methods:</w:t>
      </w:r>
    </w:p>
    <w:tbl>
      <w:tblPr>
        <w:tblW w:w="5000" w:type="pct"/>
        <w:tblBorders>
          <w:top w:val="single" w:color="1a365d" w:sz="12"/>
          <w:left w:val="nil"/>
          <w:bottom w:val="single" w:color="1a365d" w:sz="12"/>
          <w:right w:val="nil"/>
          <w:insideH w:val="nil"/>
          <w:insideV w:val="nil"/>
        </w:tblBorders>
        <w:tblCellMar>
          <w:top w:w="80" w:type="dxa"/>
          <w:left w:w="120" w:type="dxa"/>
          <w:bottom w:w="80" w:type="dxa"/>
          <w:right w:w="120" w:type="dxa"/>
        </w:tblCellMar>
      </w:tblPr>
      <w:tblGrid>
        <w:gridCol w:w="2400"/>
        <w:gridCol w:w="1600"/>
        <w:gridCol w:w="1600"/>
        <w:gridCol w:w="1600"/>
        <w:gridCol w:w="1800"/>
        <w:gridCol w:w="2000"/>
      </w:tblGrid>
      <w:tr>
        <w:trPr>
          <w:tblHeader/>
          <w:trHeight w:val="350" w:hRule="atLeast"/>
        </w:trPr>
        <w:tc>
          <w:tcPr>
            <w:tcW w:w="2400" w:type="dxa"/>
            <w:tcBorders>
              <w:bottom w:val="single" w:color="1a365d" w:sz="6"/>
            </w:tcBorders>
            <w:shd w:val="clear" w:fill="edf2f7"/>
            <w:vAlign w:val="center"/>
          </w:tcPr>
          <w:p>
            <w:pPr>
              <w:spacing w:before="0" w:after="0"/>
              <w:jc w:val="center"/>
            </w:pPr>
            <w:r>
              <w:rPr>
                <w:b/>
                <w:color w:val="1a202c"/>
                <w:sz w:val="18"/>
              </w:rPr>
              <w:t>Model</w:t>
            </w:r>
          </w:p>
        </w:tc>
        <w:tc>
          <w:tcPr>
            <w:tcW w:w="1600" w:type="dxa"/>
            <w:tcBorders>
              <w:bottom w:val="single" w:color="1a365d" w:sz="6"/>
            </w:tcBorders>
            <w:shd w:val="clear" w:fill="edf2f7"/>
            <w:vAlign w:val="center"/>
          </w:tcPr>
          <w:p>
            <w:pPr>
              <w:spacing w:before="0" w:after="0"/>
              <w:jc w:val="center"/>
            </w:pPr>
            <w:r>
              <w:rPr>
                <w:b/>
                <w:color w:val="1a202c"/>
                <w:sz w:val="18"/>
              </w:rPr>
              <w:t>Hit@10</w:t>
            </w:r>
          </w:p>
        </w:tc>
        <w:tc>
          <w:tcPr>
            <w:tcW w:w="1600" w:type="dxa"/>
            <w:tcBorders>
              <w:bottom w:val="single" w:color="1a365d" w:sz="6"/>
            </w:tcBorders>
            <w:shd w:val="clear" w:fill="edf2f7"/>
            <w:vAlign w:val="center"/>
          </w:tcPr>
          <w:p>
            <w:pPr>
              <w:spacing w:before="0" w:after="0"/>
              <w:jc w:val="center"/>
            </w:pPr>
            <w:r>
              <w:rPr>
                <w:b/>
                <w:color w:val="1a202c"/>
                <w:sz w:val="18"/>
              </w:rPr>
              <w:t>MRR</w:t>
            </w:r>
          </w:p>
        </w:tc>
        <w:tc>
          <w:tcPr>
            <w:tcW w:w="1600" w:type="dxa"/>
            <w:tcBorders>
              <w:bottom w:val="single" w:color="1a365d" w:sz="6"/>
            </w:tcBorders>
            <w:shd w:val="clear" w:fill="edf2f7"/>
            <w:vAlign w:val="center"/>
          </w:tcPr>
          <w:p>
            <w:pPr>
              <w:spacing w:before="0" w:after="0"/>
              <w:jc w:val="center"/>
            </w:pPr>
            <w:r>
              <w:rPr>
                <w:b/>
                <w:color w:val="1a202c"/>
                <w:sz w:val="18"/>
              </w:rPr>
              <w:t>nDCG@10</w:t>
            </w:r>
          </w:p>
        </w:tc>
        <w:tc>
          <w:tcPr>
            <w:tcW w:w="1800" w:type="dxa"/>
            <w:tcBorders>
              <w:bottom w:val="single" w:color="1a365d" w:sz="6"/>
            </w:tcBorders>
            <w:shd w:val="clear" w:fill="edf2f7"/>
            <w:vAlign w:val="center"/>
          </w:tcPr>
          <w:p>
            <w:pPr>
              <w:spacing w:before="0" w:after="0"/>
              <w:jc w:val="center"/>
            </w:pPr>
            <w:r>
              <w:rPr>
                <w:b/>
                <w:color w:val="1a202c"/>
                <w:sz w:val="18"/>
              </w:rPr>
              <w:t>ILD</w:t>
            </w:r>
          </w:p>
        </w:tc>
        <w:tc>
          <w:tcPr>
            <w:tcW w:w="2000" w:type="dxa"/>
            <w:tcBorders>
              <w:bottom w:val="single" w:color="1a365d" w:sz="6"/>
            </w:tcBorders>
            <w:shd w:val="clear" w:fill="edf2f7"/>
            <w:vAlign w:val="center"/>
          </w:tcPr>
          <w:p>
            <w:pPr>
              <w:spacing w:before="0" w:after="0"/>
              <w:jc w:val="center"/>
            </w:pPr>
            <w:r>
              <w:rPr>
                <w:b/>
                <w:color w:val="1a202c"/>
                <w:sz w:val="18"/>
              </w:rPr>
              <w:t>EAD</w:t>
            </w:r>
          </w:p>
        </w:tc>
      </w:tr>
      <w:tr>
        <w:trPr>
          <w:trHeight w:val="320" w:hRule="atLeast"/>
        </w:trPr>
        <w:tc>
          <w:tcPr>
            <w:tcW w:w="2400" w:type="dxa"/>
            <w:vAlign w:val="center"/>
          </w:tcPr>
          <w:p>
            <w:pPr>
              <w:spacing w:before="0" w:after="0"/>
              <w:jc w:val="left"/>
            </w:pPr>
            <w:r>
              <w:rPr>
                <w:color w:val="1a202c"/>
                <w:sz w:val="18"/>
              </w:rPr>
              <w:t>Collaborative Filtering</w:t>
            </w:r>
          </w:p>
        </w:tc>
        <w:tc>
          <w:tcPr>
            <w:tcW w:w="1600" w:type="dxa"/>
            <w:vAlign w:val="center"/>
          </w:tcPr>
          <w:p>
            <w:pPr>
              <w:spacing w:before="0" w:after="0"/>
              <w:jc w:val="center"/>
            </w:pPr>
            <w:r>
              <w:rPr>
                <w:color w:val="1a202c"/>
                <w:sz w:val="18"/>
              </w:rPr>
              <w:t>0.142</w:t>
            </w:r>
          </w:p>
        </w:tc>
        <w:tc>
          <w:tcPr>
            <w:tcW w:w="1600" w:type="dxa"/>
            <w:vAlign w:val="center"/>
          </w:tcPr>
          <w:p>
            <w:pPr>
              <w:spacing w:before="0" w:after="0"/>
              <w:jc w:val="center"/>
            </w:pPr>
            <w:r>
              <w:rPr>
                <w:color w:val="1a202c"/>
                <w:sz w:val="18"/>
              </w:rPr>
              <w:t>0.089</w:t>
            </w:r>
          </w:p>
        </w:tc>
        <w:tc>
          <w:tcPr>
            <w:tcW w:w="1600" w:type="dxa"/>
            <w:vAlign w:val="center"/>
          </w:tcPr>
          <w:p>
            <w:pPr>
              <w:spacing w:before="0" w:after="0"/>
              <w:jc w:val="center"/>
            </w:pPr>
            <w:r>
              <w:rPr>
                <w:color w:val="1a202c"/>
                <w:sz w:val="18"/>
              </w:rPr>
              <w:t>0.156</w:t>
            </w:r>
          </w:p>
        </w:tc>
        <w:tc>
          <w:tcPr>
            <w:tcW w:w="1800" w:type="dxa"/>
            <w:vAlign w:val="center"/>
          </w:tcPr>
          <w:p>
            <w:pPr>
              <w:spacing w:before="0" w:after="0"/>
              <w:jc w:val="center"/>
            </w:pPr>
            <w:r>
              <w:rPr>
                <w:color w:val="1a202c"/>
                <w:sz w:val="18"/>
              </w:rPr>
              <w:t>0.342</w:t>
            </w:r>
          </w:p>
        </w:tc>
        <w:tc>
          <w:tcPr>
            <w:tcW w:w="2000" w:type="dxa"/>
            <w:vAlign w:val="center"/>
          </w:tcPr>
          <w:p>
            <w:pPr>
              <w:spacing w:before="0" w:after="0"/>
              <w:jc w:val="center"/>
            </w:pPr>
            <w:r>
              <w:rPr>
                <w:color w:val="1a202c"/>
                <w:sz w:val="18"/>
              </w:rPr>
              <w:t>0.127</w:t>
            </w:r>
          </w:p>
        </w:tc>
      </w:tr>
      <w:tr>
        <w:trPr>
          <w:trHeight w:val="320" w:hRule="atLeast"/>
        </w:trPr>
        <w:tc>
          <w:tcPr>
            <w:tcW w:w="2400" w:type="dxa"/>
            <w:vAlign w:val="center"/>
          </w:tcPr>
          <w:p>
            <w:pPr>
              <w:spacing w:before="0" w:after="0"/>
              <w:jc w:val="left"/>
            </w:pPr>
            <w:r>
              <w:rPr>
                <w:color w:val="1a202c"/>
                <w:sz w:val="18"/>
              </w:rPr>
              <w:t>BERT4Rec</w:t>
            </w:r>
          </w:p>
        </w:tc>
        <w:tc>
          <w:tcPr>
            <w:tcW w:w="1600" w:type="dxa"/>
            <w:vAlign w:val="center"/>
          </w:tcPr>
          <w:p>
            <w:pPr>
              <w:spacing w:before="0" w:after="0"/>
              <w:jc w:val="center"/>
            </w:pPr>
            <w:r>
              <w:rPr>
                <w:color w:val="1a202c"/>
                <w:sz w:val="18"/>
              </w:rPr>
              <w:t>0.158</w:t>
            </w:r>
          </w:p>
        </w:tc>
        <w:tc>
          <w:tcPr>
            <w:tcW w:w="1600" w:type="dxa"/>
            <w:vAlign w:val="center"/>
          </w:tcPr>
          <w:p>
            <w:pPr>
              <w:spacing w:before="0" w:after="0"/>
              <w:jc w:val="center"/>
            </w:pPr>
            <w:r>
              <w:rPr>
                <w:color w:val="1a202c"/>
                <w:sz w:val="18"/>
              </w:rPr>
              <w:t>0.095</w:t>
            </w:r>
          </w:p>
        </w:tc>
        <w:tc>
          <w:tcPr>
            <w:tcW w:w="1600" w:type="dxa"/>
            <w:vAlign w:val="center"/>
          </w:tcPr>
          <w:p>
            <w:pPr>
              <w:spacing w:before="0" w:after="0"/>
              <w:jc w:val="center"/>
            </w:pPr>
            <w:r>
              <w:rPr>
                <w:color w:val="1a202c"/>
                <w:sz w:val="18"/>
              </w:rPr>
              <w:t>0.172</w:t>
            </w:r>
          </w:p>
        </w:tc>
        <w:tc>
          <w:tcPr>
            <w:tcW w:w="1800" w:type="dxa"/>
            <w:vAlign w:val="center"/>
          </w:tcPr>
          <w:p>
            <w:pPr>
              <w:spacing w:before="0" w:after="0"/>
              <w:jc w:val="center"/>
            </w:pPr>
            <w:r>
              <w:rPr>
                <w:color w:val="1a202c"/>
                <w:sz w:val="18"/>
              </w:rPr>
              <w:t>0.389</w:t>
            </w:r>
          </w:p>
        </w:tc>
        <w:tc>
          <w:tcPr>
            <w:tcW w:w="2000" w:type="dxa"/>
            <w:vAlign w:val="center"/>
          </w:tcPr>
          <w:p>
            <w:pPr>
              <w:spacing w:before="0" w:after="0"/>
              <w:jc w:val="center"/>
            </w:pPr>
            <w:r>
              <w:rPr>
                <w:color w:val="1a202c"/>
                <w:sz w:val="18"/>
              </w:rPr>
              <w:t>0.145</w:t>
            </w:r>
          </w:p>
        </w:tc>
      </w:tr>
      <w:tr>
        <w:trPr>
          <w:trHeight w:val="320" w:hRule="atLeast"/>
        </w:trPr>
        <w:tc>
          <w:tcPr>
            <w:tcW w:w="2400" w:type="dxa"/>
            <w:vAlign w:val="center"/>
          </w:tcPr>
          <w:p>
            <w:pPr>
              <w:spacing w:before="0" w:after="0"/>
              <w:jc w:val="left"/>
            </w:pPr>
            <w:r>
              <w:rPr>
                <w:color w:val="1a202c"/>
                <w:sz w:val="18"/>
              </w:rPr>
              <w:t>SASRec</w:t>
            </w:r>
          </w:p>
        </w:tc>
        <w:tc>
          <w:tcPr>
            <w:tcW w:w="1600" w:type="dxa"/>
            <w:vAlign w:val="center"/>
          </w:tcPr>
          <w:p>
            <w:pPr>
              <w:spacing w:before="0" w:after="0"/>
              <w:jc w:val="center"/>
            </w:pPr>
            <w:r>
              <w:rPr>
                <w:color w:val="1a202c"/>
                <w:sz w:val="18"/>
              </w:rPr>
              <w:t>0.164</w:t>
            </w:r>
          </w:p>
        </w:tc>
        <w:tc>
          <w:tcPr>
            <w:tcW w:w="1600" w:type="dxa"/>
            <w:vAlign w:val="center"/>
          </w:tcPr>
          <w:p>
            <w:pPr>
              <w:spacing w:before="0" w:after="0"/>
              <w:jc w:val="center"/>
            </w:pPr>
            <w:r>
              <w:rPr>
                <w:color w:val="1a202c"/>
                <w:sz w:val="18"/>
              </w:rPr>
              <w:t>0.102</w:t>
            </w:r>
          </w:p>
        </w:tc>
        <w:tc>
          <w:tcPr>
            <w:tcW w:w="1600" w:type="dxa"/>
            <w:vAlign w:val="center"/>
          </w:tcPr>
          <w:p>
            <w:pPr>
              <w:spacing w:before="0" w:after="0"/>
              <w:jc w:val="center"/>
            </w:pPr>
            <w:r>
              <w:rPr>
                <w:color w:val="1a202c"/>
                <w:sz w:val="18"/>
              </w:rPr>
              <w:t>0.178</w:t>
            </w:r>
          </w:p>
        </w:tc>
        <w:tc>
          <w:tcPr>
            <w:tcW w:w="1800" w:type="dxa"/>
            <w:vAlign w:val="center"/>
          </w:tcPr>
          <w:p>
            <w:pPr>
              <w:spacing w:before="0" w:after="0"/>
              <w:jc w:val="center"/>
            </w:pPr>
            <w:r>
              <w:rPr>
                <w:color w:val="1a202c"/>
                <w:sz w:val="18"/>
              </w:rPr>
              <w:t>0.412</w:t>
            </w:r>
          </w:p>
        </w:tc>
        <w:tc>
          <w:tcPr>
            <w:tcW w:w="2000" w:type="dxa"/>
            <w:vAlign w:val="center"/>
          </w:tcPr>
          <w:p>
            <w:pPr>
              <w:spacing w:before="0" w:after="0"/>
              <w:jc w:val="center"/>
            </w:pPr>
            <w:r>
              <w:rPr>
                <w:color w:val="1a202c"/>
                <w:sz w:val="18"/>
              </w:rPr>
              <w:t>0.168</w:t>
            </w:r>
          </w:p>
        </w:tc>
      </w:tr>
      <w:tr>
        <w:trPr>
          <w:trHeight w:val="320" w:hRule="atLeast"/>
        </w:trPr>
        <w:tc>
          <w:tcPr>
            <w:tcW w:w="2400" w:type="dxa"/>
            <w:shd w:val="clear" w:fill="f0f7ff"/>
            <w:vAlign w:val="center"/>
          </w:tcPr>
          <w:p>
            <w:pPr>
              <w:spacing w:before="0" w:after="0"/>
              <w:jc w:val="left"/>
            </w:pPr>
            <w:r>
              <w:rPr>
                <w:b/>
                <w:color w:val="1a202c"/>
                <w:sz w:val="18"/>
              </w:rPr>
              <w:t>EchoPulse AI</w:t>
            </w:r>
          </w:p>
        </w:tc>
        <w:tc>
          <w:tcPr>
            <w:tcW w:w="1600" w:type="dxa"/>
            <w:shd w:val="clear" w:fill="f0f7ff"/>
            <w:vAlign w:val="center"/>
          </w:tcPr>
          <w:p>
            <w:pPr>
              <w:spacing w:before="0" w:after="0"/>
              <w:jc w:val="center"/>
            </w:pPr>
            <w:r>
              <w:rPr>
                <w:b/>
                <w:color w:val="1a202c"/>
                <w:sz w:val="18"/>
              </w:rPr>
              <w:t>0.312</w:t>
            </w:r>
          </w:p>
        </w:tc>
        <w:tc>
          <w:tcPr>
            <w:tcW w:w="1600" w:type="dxa"/>
            <w:shd w:val="clear" w:fill="f0f7ff"/>
            <w:vAlign w:val="center"/>
          </w:tcPr>
          <w:p>
            <w:pPr>
              <w:spacing w:before="0" w:after="0"/>
              <w:jc w:val="center"/>
            </w:pPr>
            <w:r>
              <w:rPr>
                <w:b/>
                <w:color w:val="1a202c"/>
                <w:sz w:val="18"/>
              </w:rPr>
              <w:t>0.165</w:t>
            </w:r>
          </w:p>
        </w:tc>
        <w:tc>
          <w:tcPr>
            <w:tcW w:w="1600" w:type="dxa"/>
            <w:shd w:val="clear" w:fill="f0f7ff"/>
            <w:vAlign w:val="center"/>
          </w:tcPr>
          <w:p>
            <w:pPr>
              <w:spacing w:before="0" w:after="0"/>
              <w:jc w:val="center"/>
            </w:pPr>
            <w:r>
              <w:rPr>
                <w:b/>
                <w:color w:val="1a202c"/>
                <w:sz w:val="18"/>
              </w:rPr>
              <w:t>0.179</w:t>
            </w:r>
          </w:p>
        </w:tc>
        <w:tc>
          <w:tcPr>
            <w:tcW w:w="1800" w:type="dxa"/>
            <w:shd w:val="clear" w:fill="f0f7ff"/>
            <w:vAlign w:val="center"/>
          </w:tcPr>
          <w:p>
            <w:pPr>
              <w:spacing w:before="0" w:after="0"/>
              <w:jc w:val="center"/>
            </w:pPr>
            <w:r>
              <w:rPr>
                <w:b/>
                <w:color w:val="1a202c"/>
                <w:sz w:val="18"/>
              </w:rPr>
              <w:t>0.497</w:t>
            </w:r>
          </w:p>
        </w:tc>
        <w:tc>
          <w:tcPr>
            <w:tcW w:w="2000" w:type="dxa"/>
            <w:shd w:val="clear" w:fill="f0f7ff"/>
            <w:vAlign w:val="center"/>
          </w:tcPr>
          <w:p>
            <w:pPr>
              <w:spacing w:before="0" w:after="0"/>
              <w:jc w:val="center"/>
            </w:pPr>
            <w:r>
              <w:rPr>
                <w:b/>
                <w:color w:val="1a202c"/>
                <w:sz w:val="18"/>
              </w:rPr>
              <w:t>0.327</w:t>
            </w:r>
          </w:p>
        </w:tc>
      </w:tr>
    </w:tbl>
    <w:p>
      <w:pPr>
        <w:pStyle w:val="Caption"/>
      </w:pPr>
      <w:r>
        <w:t>Table 1. Performance comparison between EchoPulse AI and baseline recommendation methods.</w:t>
      </w:r>
    </w:p>
    <w:p>
      <w:pPr>
        <w:spacing w:after="120"/>
        <w:ind w:firstLine="360"/>
      </w:pPr>
      <w:r>
        <w:t>EchoPulse AI achieves competitive accuracy metrics while substantially outperforming baselines on diversity measures. The 45.3% improvement in Intra-List Diversity indicates superior ability to surface varied content, while the 157.9% increase in emerging artist discovery validates the system's effectiveness at promoting lesser-known creators.</w:t>
      </w:r>
    </w:p>
    <w:p>
      <w:pPr>
        <w:keepNext/>
        <w:spacing w:before="200" w:after="80"/>
        <w:jc w:val="center"/>
      </w:pPr>
      <w:r>
        <w:drawing>
          <wp:inline distT="0" distB="0" distL="0" distR="0">
            <wp:extent cx="4320000" cy="2567781"/>
            <wp:effectExtent l="0" t="0" r="0" b="0"/>
            <wp:docPr id="3" name="Performance Comparison"/>
            <wp:cNvGraphicFramePr>
              <a:graphicFrameLocks noChangeAspect="1"/>
            </wp:cNvGraphicFramePr>
            <a:graphic>
              <a:graphicData uri="http://schemas.openxmlformats.org/drawingml/2006/picture">
                <pic:pic>
                  <pic:nvPicPr>
                    <pic:cNvPr id="0" name="Performance Comparison.png"/>
                    <pic:cNvPicPr/>
                  </pic:nvPicPr>
                  <pic:blipFill>
                    <a:blip r:embed="R5474de74ece347f1"/>
                    <a:stretch>
                      <a:fillRect/>
                    </a:stretch>
                  </pic:blipFill>
                  <pic:spPr>
                    <a:xfrm>
                      <a:off x="0" y="0"/>
                      <a:ext cx="4320000" cy="2567781"/>
                    </a:xfrm>
                    <a:prstGeom prst="rect"/>
                  </pic:spPr>
                </pic:pic>
              </a:graphicData>
            </a:graphic>
          </wp:inline>
        </w:drawing>
      </w:r>
    </w:p>
    <w:p>
      <w:pPr>
        <w:pStyle w:val="Caption"/>
      </w:pPr>
      <w:r>
        <w:t>Figure 3. Performance comparison across recommendation models showing Hit@10, MRR, and nDCG@10 metrics.</w:t>
      </w:r>
    </w:p>
    <w:p>
      <w:pPr>
        <w:pStyle w:val="Heading2"/>
      </w:pPr>
      <w:r>
        <w:t>4.4 Diversity and Emerging Artist Analysis</w:t>
      </w:r>
    </w:p>
    <w:p>
      <w:pPr>
        <w:spacing w:after="120"/>
        <w:ind w:firstLine="360"/>
      </w:pPr>
      <w:r>
        <w:t>Figure 4 illustrates the diversity metrics comparison:</w:t>
      </w:r>
    </w:p>
    <w:p>
      <w:pPr>
        <w:keepNext/>
        <w:spacing w:before="200" w:after="80"/>
        <w:jc w:val="center"/>
      </w:pPr>
      <w:r>
        <w:drawing>
          <wp:inline distT="0" distB="0" distL="0" distR="0">
            <wp:extent cx="4320000" cy="2587002"/>
            <wp:effectExtent l="0" t="0" r="0" b="0"/>
            <wp:docPr id="4" name="Diversity Metrics"/>
            <wp:cNvGraphicFramePr>
              <a:graphicFrameLocks noChangeAspect="1"/>
            </wp:cNvGraphicFramePr>
            <a:graphic>
              <a:graphicData uri="http://schemas.openxmlformats.org/drawingml/2006/picture">
                <pic:pic>
                  <pic:nvPicPr>
                    <pic:cNvPr id="0" name="Diversity Metrics.png"/>
                    <pic:cNvPicPr/>
                  </pic:nvPicPr>
                  <pic:blipFill>
                    <a:blip r:embed="Rb9368dc4f73a4807"/>
                    <a:stretch>
                      <a:fillRect/>
                    </a:stretch>
                  </pic:blipFill>
                  <pic:spPr>
                    <a:xfrm>
                      <a:off x="0" y="0"/>
                      <a:ext cx="4320000" cy="2587002"/>
                    </a:xfrm>
                    <a:prstGeom prst="rect"/>
                  </pic:spPr>
                </pic:pic>
              </a:graphicData>
            </a:graphic>
          </wp:inline>
        </w:drawing>
      </w:r>
    </w:p>
    <w:p>
      <w:pPr>
        <w:pStyle w:val="Caption"/>
      </w:pPr>
      <w:r>
        <w:t>Figure 4. Diversity metrics and emerging artist discovery comparison across models.</w:t>
      </w:r>
    </w:p>
    <w:p>
      <w:pPr>
        <w:spacing w:after="120"/>
        <w:ind w:firstLine="360"/>
      </w:pPr>
      <w:r>
        <w:t>The results demonstrate that content-based multimodal approaches can effectively mitigate the filter bubble effect commonly associated with collaborative filtering systems. By leveraging intrinsic song characteristics rather than historical popularity signals, EchoPulse AI surfaces content that might otherwise remain undiscovered.</w:t>
      </w:r>
    </w:p>
    <w:p>
      <w:pPr>
        <w:pStyle w:val="Heading2"/>
      </w:pPr>
      <w:r>
        <w:t>4.5 Ablation Study</w:t>
      </w:r>
    </w:p>
    <w:p>
      <w:pPr>
        <w:spacing w:after="120"/>
        <w:ind w:firstLine="360"/>
      </w:pPr>
      <w:r>
        <w:t>To quantify the contribution of each architectural component, we conducted an ablation study removing individual modules:</w:t>
      </w:r>
    </w:p>
    <w:p>
      <w:pPr>
        <w:keepNext/>
        <w:spacing w:before="200" w:after="80"/>
        <w:jc w:val="center"/>
      </w:pPr>
      <w:r>
        <w:drawing>
          <wp:inline distT="0" distB="0" distL="0" distR="0">
            <wp:extent cx="4320000" cy="2569240"/>
            <wp:effectExtent l="0" t="0" r="0" b="0"/>
            <wp:docPr id="5" name="Ablation Study"/>
            <wp:cNvGraphicFramePr>
              <a:graphicFrameLocks noChangeAspect="1"/>
            </wp:cNvGraphicFramePr>
            <a:graphic>
              <a:graphicData uri="http://schemas.openxmlformats.org/drawingml/2006/picture">
                <pic:pic>
                  <pic:nvPicPr>
                    <pic:cNvPr id="0" name="Ablation Study.png"/>
                    <pic:cNvPicPr/>
                  </pic:nvPicPr>
                  <pic:blipFill>
                    <a:blip r:embed="R410bdb1198aa499f"/>
                    <a:stretch>
                      <a:fillRect/>
                    </a:stretch>
                  </pic:blipFill>
                  <pic:spPr>
                    <a:xfrm>
                      <a:off x="0" y="0"/>
                      <a:ext cx="4320000" cy="2569240"/>
                    </a:xfrm>
                    <a:prstGeom prst="rect"/>
                  </pic:spPr>
                </pic:pic>
              </a:graphicData>
            </a:graphic>
          </wp:inline>
        </w:drawing>
      </w:r>
    </w:p>
    <w:p>
      <w:pPr>
        <w:pStyle w:val="Caption"/>
      </w:pPr>
      <w:r>
        <w:t>Figure 5. Ablation study showing impact of removing architectural components.</w:t>
      </w:r>
    </w:p>
    <w:p>
      <w:pPr>
        <w:spacing w:after="120"/>
        <w:ind w:firstLine="360"/>
      </w:pPr>
      <w:r>
        <w:t>The ablation results confirm that each component contributes meaningfully to overall performance. Removing the IntentTransformer reduces MRR by 7.9%, indicating its importance for capturing user intent. Eliminating the MST-MR module causes a 15.2% Hit@10 decrease, demonstrating the value of multimodal fusion. The cross-attention mechanism contributes 14.1% to nDCG@10, validating the architectural decision to enable inter-modal attention.</w:t>
      </w:r>
    </w:p>
    <w:p>
      <w:pPr>
        <w:pStyle w:val="Heading2"/>
      </w:pPr>
      <w:r>
        <w:t>4.6 Inference Performance</w:t>
      </w:r>
    </w:p>
    <w:p>
      <w:pPr>
        <w:spacing w:after="120"/>
        <w:ind w:firstLine="360"/>
      </w:pPr>
      <w:r>
        <w:t>Table 2 details the latency breakdown across pipeline components:</w:t>
      </w:r>
    </w:p>
    <w:tbl>
      <w:tblPr>
        <w:tblW w:w="5000" w:type="pct"/>
        <w:tblBorders>
          <w:top w:val="single" w:color="1a365d" w:sz="12"/>
          <w:left w:val="nil"/>
          <w:bottom w:val="single" w:color="1a365d" w:sz="12"/>
          <w:right w:val="nil"/>
          <w:insideH w:val="nil"/>
          <w:insideV w:val="nil"/>
        </w:tblBorders>
        <w:tblCellMar>
          <w:top w:w="80" w:type="dxa"/>
          <w:left w:w="120" w:type="dxa"/>
          <w:bottom w:w="80" w:type="dxa"/>
          <w:right w:w="120" w:type="dxa"/>
        </w:tblCellMar>
      </w:tblPr>
      <w:tblGrid>
        <w:gridCol w:w="800"/>
        <w:gridCol w:w="3200"/>
        <w:gridCol w:w="2000"/>
        <w:gridCol w:w="3000"/>
      </w:tblGrid>
      <w:tr>
        <w:trPr>
          <w:tblHeader/>
          <w:trHeight w:val="350" w:hRule="atLeast"/>
        </w:trPr>
        <w:tc>
          <w:tcPr>
            <w:tcW w:w="800" w:type="dxa"/>
            <w:tcBorders>
              <w:bottom w:val="single" w:color="1a365d" w:sz="6"/>
            </w:tcBorders>
            <w:shd w:val="clear" w:fill="edf2f7"/>
            <w:vAlign w:val="center"/>
          </w:tcPr>
          <w:p>
            <w:pPr>
              <w:spacing w:before="0" w:after="0"/>
              <w:jc w:val="center"/>
            </w:pPr>
            <w:r>
              <w:rPr>
                <w:b/>
                <w:color w:val="1a202c"/>
                <w:sz w:val="18"/>
              </w:rPr>
              <w:t>Phase</w:t>
            </w:r>
          </w:p>
        </w:tc>
        <w:tc>
          <w:tcPr>
            <w:tcW w:w="3200" w:type="dxa"/>
            <w:tcBorders>
              <w:bottom w:val="single" w:color="1a365d" w:sz="6"/>
            </w:tcBorders>
            <w:shd w:val="clear" w:fill="edf2f7"/>
            <w:vAlign w:val="center"/>
          </w:tcPr>
          <w:p>
            <w:pPr>
              <w:spacing w:before="0" w:after="0"/>
              <w:jc w:val="center"/>
            </w:pPr>
            <w:r>
              <w:rPr>
                <w:b/>
                <w:color w:val="1a202c"/>
                <w:sz w:val="18"/>
              </w:rPr>
              <w:t>Component</w:t>
            </w:r>
          </w:p>
        </w:tc>
        <w:tc>
          <w:tcPr>
            <w:tcW w:w="2000" w:type="dxa"/>
            <w:tcBorders>
              <w:bottom w:val="single" w:color="1a365d" w:sz="6"/>
            </w:tcBorders>
            <w:shd w:val="clear" w:fill="edf2f7"/>
            <w:vAlign w:val="center"/>
          </w:tcPr>
          <w:p>
            <w:pPr>
              <w:spacing w:before="0" w:after="0"/>
              <w:jc w:val="center"/>
            </w:pPr>
            <w:r>
              <w:rPr>
                <w:b/>
                <w:color w:val="1a202c"/>
                <w:sz w:val="18"/>
              </w:rPr>
              <w:t>Latency</w:t>
            </w:r>
          </w:p>
        </w:tc>
        <w:tc>
          <w:tcPr>
            <w:tcW w:w="3000" w:type="dxa"/>
            <w:tcBorders>
              <w:bottom w:val="single" w:color="1a365d" w:sz="6"/>
            </w:tcBorders>
            <w:shd w:val="clear" w:fill="edf2f7"/>
            <w:vAlign w:val="center"/>
          </w:tcPr>
          <w:p>
            <w:pPr>
              <w:spacing w:before="0" w:after="0"/>
              <w:jc w:val="center"/>
            </w:pPr>
            <w:r>
              <w:rPr>
                <w:b/>
                <w:color w:val="1a202c"/>
                <w:sz w:val="18"/>
              </w:rPr>
              <w:t>Output</w:t>
            </w:r>
          </w:p>
        </w:tc>
      </w:tr>
      <w:tr>
        <w:trPr>
          <w:trHeight w:val="320" w:hRule="atLeast"/>
        </w:trPr>
        <w:tc>
          <w:tcPr>
            <w:tcW w:w="800" w:type="dxa"/>
            <w:vAlign w:val="center"/>
          </w:tcPr>
          <w:p>
            <w:pPr>
              <w:spacing w:before="0" w:after="0"/>
              <w:jc w:val="left"/>
            </w:pPr>
            <w:r>
              <w:rPr>
                <w:color w:val="1a202c"/>
                <w:sz w:val="18"/>
              </w:rPr>
              <w:t>1</w:t>
            </w:r>
          </w:p>
        </w:tc>
        <w:tc>
          <w:tcPr>
            <w:tcW w:w="3200" w:type="dxa"/>
            <w:vAlign w:val="center"/>
          </w:tcPr>
          <w:p>
            <w:pPr>
              <w:spacing w:before="0" w:after="0"/>
              <w:jc w:val="center"/>
            </w:pPr>
            <w:r>
              <w:rPr>
                <w:color w:val="1a202c"/>
                <w:sz w:val="18"/>
              </w:rPr>
              <w:t>Qwen 2.5 (Translation)</w:t>
            </w:r>
          </w:p>
        </w:tc>
        <w:tc>
          <w:tcPr>
            <w:tcW w:w="2000" w:type="dxa"/>
            <w:vAlign w:val="center"/>
          </w:tcPr>
          <w:p>
            <w:pPr>
              <w:spacing w:before="0" w:after="0"/>
              <w:jc w:val="center"/>
            </w:pPr>
            <w:r>
              <w:rPr>
                <w:color w:val="1a202c"/>
                <w:sz w:val="18"/>
              </w:rPr>
              <w:t>~2,800 ms</w:t>
            </w:r>
          </w:p>
        </w:tc>
        <w:tc>
          <w:tcPr>
            <w:tcW w:w="3000" w:type="dxa"/>
            <w:vAlign w:val="center"/>
          </w:tcPr>
          <w:p>
            <w:pPr>
              <w:spacing w:before="0" w:after="0"/>
              <w:jc w:val="center"/>
            </w:pPr>
            <w:r>
              <w:rPr>
                <w:color w:val="1a202c"/>
                <w:sz w:val="18"/>
              </w:rPr>
              <w:t>Keywords EN</w:t>
            </w:r>
          </w:p>
        </w:tc>
      </w:tr>
      <w:tr>
        <w:trPr>
          <w:trHeight w:val="320" w:hRule="atLeast"/>
        </w:trPr>
        <w:tc>
          <w:tcPr>
            <w:tcW w:w="800" w:type="dxa"/>
            <w:vAlign w:val="center"/>
          </w:tcPr>
          <w:p>
            <w:pPr>
              <w:spacing w:before="0" w:after="0"/>
              <w:jc w:val="left"/>
            </w:pPr>
            <w:r>
              <w:rPr>
                <w:color w:val="1a202c"/>
                <w:sz w:val="18"/>
              </w:rPr>
              <w:t>2</w:t>
            </w:r>
          </w:p>
        </w:tc>
        <w:tc>
          <w:tcPr>
            <w:tcW w:w="3200" w:type="dxa"/>
            <w:vAlign w:val="center"/>
          </w:tcPr>
          <w:p>
            <w:pPr>
              <w:spacing w:before="0" w:after="0"/>
              <w:jc w:val="center"/>
            </w:pPr>
            <w:r>
              <w:rPr>
                <w:color w:val="1a202c"/>
                <w:sz w:val="18"/>
              </w:rPr>
              <w:t>Module 2 (Retrieval)</w:t>
            </w:r>
          </w:p>
        </w:tc>
        <w:tc>
          <w:tcPr>
            <w:tcW w:w="2000" w:type="dxa"/>
            <w:vAlign w:val="center"/>
          </w:tcPr>
          <w:p>
            <w:pPr>
              <w:spacing w:before="0" w:after="0"/>
              <w:jc w:val="center"/>
            </w:pPr>
            <w:r>
              <w:rPr>
                <w:color w:val="1a202c"/>
                <w:sz w:val="18"/>
              </w:rPr>
              <w:t>~125 ms</w:t>
            </w:r>
          </w:p>
        </w:tc>
        <w:tc>
          <w:tcPr>
            <w:tcW w:w="3000" w:type="dxa"/>
            <w:vAlign w:val="center"/>
          </w:tcPr>
          <w:p>
            <w:pPr>
              <w:spacing w:before="0" w:after="0"/>
              <w:jc w:val="center"/>
            </w:pPr>
            <w:r>
              <w:rPr>
                <w:color w:val="1a202c"/>
                <w:sz w:val="18"/>
              </w:rPr>
              <w:t>Top 10 candidates</w:t>
            </w:r>
          </w:p>
        </w:tc>
      </w:tr>
      <w:tr>
        <w:trPr>
          <w:trHeight w:val="320" w:hRule="atLeast"/>
        </w:trPr>
        <w:tc>
          <w:tcPr>
            <w:tcW w:w="800" w:type="dxa"/>
            <w:vAlign w:val="center"/>
          </w:tcPr>
          <w:p>
            <w:pPr>
              <w:spacing w:before="0" w:after="0"/>
              <w:jc w:val="left"/>
            </w:pPr>
            <w:r>
              <w:rPr>
                <w:color w:val="1a202c"/>
                <w:sz w:val="18"/>
              </w:rPr>
              <w:t>3</w:t>
            </w:r>
          </w:p>
        </w:tc>
        <w:tc>
          <w:tcPr>
            <w:tcW w:w="3200" w:type="dxa"/>
            <w:vAlign w:val="center"/>
          </w:tcPr>
          <w:p>
            <w:pPr>
              <w:spacing w:before="0" w:after="0"/>
              <w:jc w:val="center"/>
            </w:pPr>
            <w:r>
              <w:rPr>
                <w:color w:val="1a202c"/>
                <w:sz w:val="18"/>
              </w:rPr>
              <w:t>Module 3 (Re-ranking)</w:t>
            </w:r>
          </w:p>
        </w:tc>
        <w:tc>
          <w:tcPr>
            <w:tcW w:w="2000" w:type="dxa"/>
            <w:vAlign w:val="center"/>
          </w:tcPr>
          <w:p>
            <w:pPr>
              <w:spacing w:before="0" w:after="0"/>
              <w:jc w:val="center"/>
            </w:pPr>
            <w:r>
              <w:rPr>
                <w:color w:val="1a202c"/>
                <w:sz w:val="18"/>
              </w:rPr>
              <w:t>~90 ms</w:t>
            </w:r>
          </w:p>
        </w:tc>
        <w:tc>
          <w:tcPr>
            <w:tcW w:w="3000" w:type="dxa"/>
            <w:vAlign w:val="center"/>
          </w:tcPr>
          <w:p>
            <w:pPr>
              <w:spacing w:before="0" w:after="0"/>
              <w:jc w:val="center"/>
            </w:pPr>
            <w:r>
              <w:rPr>
                <w:color w:val="1a202c"/>
                <w:sz w:val="18"/>
              </w:rPr>
              <w:t>Re-ordered Top 10</w:t>
            </w:r>
          </w:p>
        </w:tc>
      </w:tr>
      <w:tr>
        <w:trPr>
          <w:trHeight w:val="320" w:hRule="atLeast"/>
        </w:trPr>
        <w:tc>
          <w:tcPr>
            <w:tcW w:w="800" w:type="dxa"/>
            <w:vAlign w:val="center"/>
          </w:tcPr>
          <w:p>
            <w:pPr>
              <w:spacing w:before="0" w:after="0"/>
              <w:jc w:val="left"/>
            </w:pPr>
            <w:r>
              <w:rPr>
                <w:color w:val="1a202c"/>
                <w:sz w:val="18"/>
              </w:rPr>
              <w:t>4</w:t>
            </w:r>
          </w:p>
        </w:tc>
        <w:tc>
          <w:tcPr>
            <w:tcW w:w="3200" w:type="dxa"/>
            <w:vAlign w:val="center"/>
          </w:tcPr>
          <w:p>
            <w:pPr>
              <w:spacing w:before="0" w:after="0"/>
              <w:jc w:val="center"/>
            </w:pPr>
            <w:r>
              <w:rPr>
                <w:color w:val="1a202c"/>
                <w:sz w:val="18"/>
              </w:rPr>
              <w:t>Metadata Enrichment</w:t>
            </w:r>
          </w:p>
        </w:tc>
        <w:tc>
          <w:tcPr>
            <w:tcW w:w="2000" w:type="dxa"/>
            <w:vAlign w:val="center"/>
          </w:tcPr>
          <w:p>
            <w:pPr>
              <w:spacing w:before="0" w:after="0"/>
              <w:jc w:val="center"/>
            </w:pPr>
            <w:r>
              <w:rPr>
                <w:color w:val="1a202c"/>
                <w:sz w:val="18"/>
              </w:rPr>
              <w:t>~15 ms</w:t>
            </w:r>
          </w:p>
        </w:tc>
        <w:tc>
          <w:tcPr>
            <w:tcW w:w="3000" w:type="dxa"/>
            <w:vAlign w:val="center"/>
          </w:tcPr>
          <w:p>
            <w:pPr>
              <w:spacing w:before="0" w:after="0"/>
              <w:jc w:val="center"/>
            </w:pPr>
            <w:r>
              <w:rPr>
                <w:color w:val="1a202c"/>
                <w:sz w:val="18"/>
              </w:rPr>
              <w:t>URLs + metadata</w:t>
            </w:r>
          </w:p>
        </w:tc>
      </w:tr>
      <w:tr>
        <w:trPr>
          <w:trHeight w:val="320" w:hRule="atLeast"/>
        </w:trPr>
        <w:tc>
          <w:tcPr>
            <w:tcW w:w="800" w:type="dxa"/>
            <w:vAlign w:val="center"/>
          </w:tcPr>
          <w:p>
            <w:pPr>
              <w:spacing w:before="0" w:after="0"/>
              <w:jc w:val="left"/>
            </w:pPr>
            <w:r>
              <w:rPr>
                <w:color w:val="1a202c"/>
                <w:sz w:val="18"/>
              </w:rPr>
              <w:t>5</w:t>
            </w:r>
          </w:p>
        </w:tc>
        <w:tc>
          <w:tcPr>
            <w:tcW w:w="3200" w:type="dxa"/>
            <w:vAlign w:val="center"/>
          </w:tcPr>
          <w:p>
            <w:pPr>
              <w:spacing w:before="0" w:after="0"/>
              <w:jc w:val="center"/>
            </w:pPr>
            <w:r>
              <w:rPr>
                <w:color w:val="1a202c"/>
                <w:sz w:val="18"/>
              </w:rPr>
              <w:t>Qwen 2.5 (Response)</w:t>
            </w:r>
          </w:p>
        </w:tc>
        <w:tc>
          <w:tcPr>
            <w:tcW w:w="2000" w:type="dxa"/>
            <w:vAlign w:val="center"/>
          </w:tcPr>
          <w:p>
            <w:pPr>
              <w:spacing w:before="0" w:after="0"/>
              <w:jc w:val="center"/>
            </w:pPr>
            <w:r>
              <w:rPr>
                <w:color w:val="1a202c"/>
                <w:sz w:val="18"/>
              </w:rPr>
              <w:t>~3,200 ms</w:t>
            </w:r>
          </w:p>
        </w:tc>
        <w:tc>
          <w:tcPr>
            <w:tcW w:w="3000" w:type="dxa"/>
            <w:vAlign w:val="center"/>
          </w:tcPr>
          <w:p>
            <w:pPr>
              <w:spacing w:before="0" w:after="0"/>
              <w:jc w:val="center"/>
            </w:pPr>
            <w:r>
              <w:rPr>
                <w:color w:val="1a202c"/>
                <w:sz w:val="18"/>
              </w:rPr>
              <w:t>Final response</w:t>
            </w:r>
          </w:p>
        </w:tc>
      </w:tr>
      <w:tr>
        <w:trPr>
          <w:trHeight w:val="320" w:hRule="atLeast"/>
        </w:trPr>
        <w:tc>
          <w:tcPr>
            <w:tcW w:w="800" w:type="dxa"/>
            <w:shd w:val="clear" w:fill="f0f7ff"/>
            <w:vAlign w:val="center"/>
          </w:tcPr>
          <w:p>
            <w:pPr>
              <w:spacing w:before="0" w:after="0"/>
              <w:jc w:val="left"/>
            </w:pPr>
            <w:r>
              <w:rPr>
                <w:b/>
                <w:color w:val="1a202c"/>
                <w:sz w:val="18"/>
              </w:rPr>
              <w:t>Total</w:t>
            </w:r>
          </w:p>
        </w:tc>
        <w:tc>
          <w:tcPr>
            <w:tcW w:w="3200" w:type="dxa"/>
            <w:shd w:val="clear" w:fill="f0f7ff"/>
            <w:vAlign w:val="center"/>
          </w:tcPr>
          <w:p>
            <w:pPr>
              <w:spacing w:before="0" w:after="0"/>
              <w:jc w:val="center"/>
            </w:pPr>
            <w:r>
              <w:rPr>
                <w:b/>
                <w:color w:val="1a202c"/>
                <w:sz w:val="18"/>
              </w:rPr>
              <w:t>Complete Pipeline</w:t>
            </w:r>
          </w:p>
        </w:tc>
        <w:tc>
          <w:tcPr>
            <w:tcW w:w="2000" w:type="dxa"/>
            <w:shd w:val="clear" w:fill="f0f7ff"/>
            <w:vAlign w:val="center"/>
          </w:tcPr>
          <w:p>
            <w:pPr>
              <w:spacing w:before="0" w:after="0"/>
              <w:jc w:val="center"/>
            </w:pPr>
            <w:r>
              <w:rPr>
                <w:b/>
                <w:color w:val="1a202c"/>
                <w:sz w:val="18"/>
              </w:rPr>
              <w:t>~6,230 ms</w:t>
            </w:r>
          </w:p>
        </w:tc>
        <w:tc>
          <w:tcPr>
            <w:tcW w:w="3000" w:type="dxa"/>
            <w:shd w:val="clear" w:fill="f0f7ff"/>
            <w:vAlign w:val="center"/>
          </w:tcPr>
          <w:p>
            <w:pPr>
              <w:spacing w:before="0" w:after="0"/>
              <w:jc w:val="center"/>
            </w:pPr>
            <w:r>
              <w:rPr>
                <w:b/>
                <w:color w:val="1a202c"/>
                <w:sz w:val="18"/>
              </w:rPr>
              <w:t>JSON to frontend</w:t>
            </w:r>
          </w:p>
        </w:tc>
      </w:tr>
    </w:tbl>
    <w:p>
      <w:pPr>
        <w:pStyle w:val="Caption"/>
      </w:pPr>
      <w:r>
        <w:t>Table 2. Pipeline latency breakdown by component.</w:t>
      </w:r>
    </w:p>
    <w:p>
      <w:pPr>
        <w:spacing w:after="120"/>
        <w:ind w:firstLine="360"/>
      </w:pPr>
      <w:r>
        <w:t>The core retrieval and re-ranking components achieve sub-second latency (215ms combined), demonstrating practical viability for real-time production environments. The 98.4% success rate includes robust handling of cold starts, missing metadata, and API failures through fallback mechanisms.</w:t>
      </w:r>
    </w:p>
    <w:p>
      <w:pPr>
        <w:pStyle w:val="Heading1"/>
      </w:pPr>
      <w:r>
        <w:t>5 Discussion</w:t>
      </w:r>
    </w:p>
    <w:p>
      <w:pPr>
        <w:pStyle w:val="Heading2"/>
      </w:pPr>
      <w:r>
        <w:t>5.1 Key Findings</w:t>
      </w:r>
    </w:p>
    <w:p>
      <w:pPr>
        <w:spacing w:after="120"/>
        <w:ind w:firstLine="360"/>
      </w:pPr>
      <w:r>
        <w:t>The experimental results validate several key hypotheses underlying the EchoPulse AI design. First, multimodal fusion through cross-attention mechanisms provides measurable benefits over early or late fusion approaches, as evidenced by the ablation study. Second, the Lakehouse architecture successfully addresses the data management challenges inherent in multimodal ML systems, providing reproducibility and traceability throughout the pipeline.</w:t>
      </w:r>
    </w:p>
    <w:p>
      <w:pPr>
        <w:spacing w:after="120"/>
        <w:ind w:firstLine="360"/>
      </w:pPr>
      <w:r>
        <w:t>The 157.9% improvement in emerging artist discovery represents a significant advancement toward addressing the visibility gap faced by new creators. This outcome aligns with growing industry recognition that algorithmic curation should balance user satisfaction with ecosystem health, ensuring sustainable opportunities for artists at all career stages.</w:t>
      </w:r>
    </w:p>
    <w:p>
      <w:pPr>
        <w:pStyle w:val="Heading2"/>
      </w:pPr>
      <w:r>
        <w:t>5.2 Comparison with Existing Architectures</w:t>
      </w:r>
    </w:p>
    <w:p>
      <w:pPr>
        <w:spacing w:after="120"/>
        <w:ind w:firstLine="360"/>
      </w:pPr>
      <w:r>
        <w:t>Compared to BERT4Rec, which achieved 0.158 Hit@10 and 0.172 nDCG@10, EchoPulse AI demonstrates superior performance across all metrics while substantially improving diversity. The key differentiator lies in the multimodal approach: while BERT4Rec processes only interaction sequences, EchoPulse AI integrates lyrical, acoustic, and conversational signals.</w:t>
      </w:r>
    </w:p>
    <w:p>
      <w:pPr>
        <w:spacing w:after="120"/>
        <w:ind w:firstLine="360"/>
      </w:pPr>
      <w:r>
        <w:t>SASRec, another strong baseline, achieves competitive accuracy but exhibits similar popularity bias to collaborative filtering methods. EchoPulse AI's content-based approach inherently avoids this bias by relying on intrinsic song characteristics rather than historical interaction patterns.</w:t>
      </w:r>
    </w:p>
    <w:p>
      <w:pPr>
        <w:spacing w:after="120"/>
        <w:ind w:firstLine="360"/>
      </w:pPr>
      <w:r>
        <w:t>The hybrid data architecture distinguishes EchoPulse AI from systems like TalkPlay, which employ LLMs for recommendation but lack structured multimodal integration. Our Lakehouse implementation provides production-grade data management capabilities that support reproducible research and continuous deployment.</w:t>
      </w:r>
    </w:p>
    <w:p>
      <w:pPr>
        <w:pStyle w:val="Heading2"/>
      </w:pPr>
      <w:r>
        <w:t>5.3 Limitations</w:t>
      </w:r>
    </w:p>
    <w:p>
      <w:pPr>
        <w:spacing w:after="120"/>
        <w:ind w:firstLine="360"/>
      </w:pPr>
      <w:r>
        <w:t>Several limitations warrant consideration. The Master Table's 5,710-track size, while sufficient for proof-of-concept, represents a subset of the broader music landscape. Scaling to millions of tracks while maintaining multimodal integrity presents significant data engineering challenges.</w:t>
      </w:r>
    </w:p>
    <w:p>
      <w:pPr>
        <w:spacing w:after="120"/>
        <w:ind w:firstLine="360"/>
      </w:pPr>
      <w:r>
        <w:t>The current evaluation focuses on offline metrics; online A/B testing with real users would provide stronger validation of user satisfaction impacts. Additionally, the latency introduced by LLM-based response generation (~6 seconds total) may impact user experience in latency-sensitive applications.</w:t>
      </w:r>
    </w:p>
    <w:p>
      <w:pPr>
        <w:pStyle w:val="Heading2"/>
      </w:pPr>
      <w:r>
        <w:t>5.4 Future Directions</w:t>
      </w:r>
    </w:p>
    <w:p>
      <w:pPr>
        <w:spacing w:after="120"/>
        <w:ind w:firstLine="360"/>
      </w:pPr>
      <w:r>
        <w:t>Future work will explore three primary directions: (1) integration of graph embeddings to model artist relationships and genre hierarchies; (2) incorporation of user feedback loops to enable continuous model adaptation without full retraining; and (3) deployment of larger language models for more nuanced conversational understanding.</w:t>
      </w:r>
    </w:p>
    <w:p>
      <w:pPr>
        <w:pStyle w:val="Heading1"/>
      </w:pPr>
      <w:r>
        <w:t>6 Conclusion</w:t>
      </w:r>
    </w:p>
    <w:p>
      <w:pPr>
        <w:spacing w:after="120"/>
        <w:ind w:firstLine="360"/>
      </w:pPr>
      <w:r>
        <w:t>This paper presented EchoPulse AI, a production-ready multimodal music recommender system that demonstrates the viability of hybrid data architectures for addressing emerging artist visibility. The key contributions include:</w:t>
      </w:r>
    </w:p>
    <w:p>
      <w:pPr>
        <w:numPr>
          <w:ilvl w:val="0"/>
          <w:numId w:val="1"/>
        </w:numPr>
        <w:spacing w:after="60"/>
      </w:pPr>
      <w:r>
        <w:t>A Lakehouse-based data architecture that consolidates heterogeneous music datasets while ensuring reproducibility and traceability.</w:t>
      </w:r>
    </w:p>
    <w:p>
      <w:pPr>
        <w:numPr>
          <w:ilvl w:val="0"/>
          <w:numId w:val="1"/>
        </w:numPr>
        <w:spacing w:after="60"/>
      </w:pPr>
      <w:r>
        <w:t>A Triple-Encoder Transformer architecture with cross-attention fusion across lyrical, acoustic, and conversational modalities.</w:t>
      </w:r>
    </w:p>
    <w:p>
      <w:pPr>
        <w:numPr>
          <w:ilvl w:val="0"/>
          <w:numId w:val="1"/>
        </w:numPr>
        <w:spacing w:after="60"/>
      </w:pPr>
      <w:r>
        <w:t>Empirical validation showing 45.3% improvement in diversity and 157.9% increase in emerging artist discovery while maintaining competitive accuracy.</w:t>
      </w:r>
    </w:p>
    <w:p>
      <w:pPr>
        <w:spacing w:after="120"/>
        <w:ind w:firstLine="360"/>
      </w:pPr>
      <w:r>
        <w:t>The results demonstrate that multimodal Transformer architectures offer a viable path toward more equitable music recommendation systems. By combining deep content understanding with conversational interfaces, the proposed approach addresses both the technical challenges of heterogeneous data fusion and the societal imperative of supporting emerging artistic voices in an increasingly concentrated digital landscape.</w:t>
      </w:r>
    </w:p>
    <w:p>
      <w:pPr>
        <w:spacing w:after="120"/>
        <w:ind w:firstLine="360"/>
      </w:pPr>
      <w:r>
        <w:t>The research team plans to release the Master Table as a public benchmark dataset to support reproducibility and community advancement in multimodal music recommendation research.</w:t>
      </w:r>
    </w:p>
    <w:p>
      <w:pPr>
        <w:pStyle w:val="Heading1"/>
      </w:pPr>
      <w:r>
        <w:t>References</w:t>
      </w:r>
    </w:p>
    <w:p>
      <w:pPr>
        <w:spacing w:after="60"/>
        <w:ind w:left="360" w:hanging="360"/>
      </w:pPr>
      <w:r>
        <w:rPr>
          <w:sz w:val="18"/>
        </w:rPr>
        <w:t>1. Vaswani, A., Shazeer, N., Parmar, N., Uszkoreit, J., Jones, L., Gomez, A.N., Kaiser, L., Polosukhin, I.: Attention is all you need. In: Advances in Neural Information Processing Systems, pp. 5998-6008 (2017)</w:t>
      </w:r>
    </w:p>
    <w:p>
      <w:pPr>
        <w:spacing w:after="60"/>
        <w:ind w:left="360" w:hanging="360"/>
      </w:pPr>
      <w:r>
        <w:rPr>
          <w:sz w:val="18"/>
        </w:rPr>
        <w:t>2. Bertin-Mahieux, T., Ellis, D.P., Whitman, B., Lamere, P.: The million song dataset. In: ISMIR, vol. 2, no. 9, p. 10 (2011)</w:t>
      </w:r>
    </w:p>
    <w:p>
      <w:pPr>
        <w:spacing w:after="60"/>
        <w:ind w:left="360" w:hanging="360"/>
      </w:pPr>
      <w:r>
        <w:rPr>
          <w:sz w:val="18"/>
        </w:rPr>
        <w:t>3. Tikat, A., et al.: The WASABI dataset: Cultural, lyrics and audio analysis metadata about 2 million popular commercially released songs. In: ISMIR (2021)</w:t>
      </w:r>
    </w:p>
    <w:p>
      <w:pPr>
        <w:spacing w:after="60"/>
        <w:ind w:left="360" w:hanging="360"/>
      </w:pPr>
      <w:r>
        <w:rPr>
          <w:sz w:val="18"/>
        </w:rPr>
        <w:t>4. Sun, F., Liu, J., Wu, J., Pei, C., Lin, X., Ou, W., Jiang, P.: BERT4Rec: Sequential recommendation with bidirectional encoder representations from transformer. In: ACM CIKM, pp. 1441-1450 (2019)</w:t>
      </w:r>
    </w:p>
    <w:p>
      <w:pPr>
        <w:spacing w:after="60"/>
        <w:ind w:left="360" w:hanging="360"/>
      </w:pPr>
      <w:r>
        <w:rPr>
          <w:sz w:val="18"/>
        </w:rPr>
        <w:t>5. Kang, W.C., McAuley, J.: Self-attentive sequential recommendation. In: IEEE ICDM, pp. 197-206 (2018)</w:t>
      </w:r>
    </w:p>
    <w:p>
      <w:pPr>
        <w:spacing w:after="60"/>
        <w:ind w:left="360" w:hanging="360"/>
      </w:pPr>
      <w:r>
        <w:rPr>
          <w:sz w:val="18"/>
        </w:rPr>
        <w:t>6. Dong, X., Yu, L., Wu, Z., Sun, Y., Yuan, L., Zhang, F.: A hybrid collaborative filtering model with deep structure for recommender systems. In: AAAI, pp. 1309-1315 (2017)</w:t>
      </w:r>
    </w:p>
    <w:p>
      <w:pPr>
        <w:spacing w:after="60"/>
        <w:ind w:left="360" w:hanging="360"/>
      </w:pPr>
      <w:r>
        <w:rPr>
          <w:sz w:val="18"/>
        </w:rPr>
        <w:t>7. Huang, J., et al.: TalkPlay: Multimodal music recommendation with large language models. arXiv preprint arXiv:2502.13713 (2025)</w:t>
      </w:r>
    </w:p>
    <w:p>
      <w:pPr>
        <w:spacing w:after="60"/>
        <w:ind w:left="360" w:hanging="360"/>
      </w:pPr>
      <w:r>
        <w:rPr>
          <w:sz w:val="18"/>
        </w:rPr>
        <w:t>8. Armbrust, M., et al.: Delta Lake: High-performance ACID table storage over cloud object stores. Proceedings of the VLDB Endowment 13(12), 3411-3424 (2020)</w:t>
      </w:r>
    </w:p>
    <w:p>
      <w:pPr>
        <w:spacing w:after="60"/>
        <w:ind w:left="360" w:hanging="360"/>
      </w:pPr>
      <w:r>
        <w:rPr>
          <w:sz w:val="18"/>
        </w:rPr>
        <w:t>9. Porcaro, L., et al.: Evaluating diversity in music recommender systems: Beyond accuracy metrics. In: ISMIR, pp. 716-723 (2021)</w:t>
      </w:r>
    </w:p>
    <w:p>
      <w:pPr>
        <w:spacing w:after="60"/>
        <w:ind w:left="360" w:hanging="360"/>
      </w:pPr>
      <w:r>
        <w:rPr>
          <w:sz w:val="18"/>
        </w:rPr>
        <w:t>10. Celma, O.: Music recommendation and discovery in the streaming era. Journal of New Music Research 52(2), 101-115 (2023)</w:t>
      </w:r>
    </w:p>
    <w:sectPr>
      <w:headerReference w:type="default" r:id="R1760cf2c9c794777"/>
      <w:footerReference w:type="default" r:id="Rba72ace9179f45a7"/>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18096"/>
        <w:sz w:val="18"/>
      </w:rP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w:p>
    <w:pPr>
      <w:jc w:val="right"/>
    </w:pPr>
    <w:r>
      <w:rPr>
        <w:i/>
        <w:color w:val="718096"/>
        <w:sz w:val="18"/>
      </w:rPr>
      <w:t>EchoPulse AI: Hybrid Data Architecture for Multimodal Music Recommendation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0" w:line="240" w:lineRule="auto"/>
      <w:jc w:val="both"/>
    </w:pPr>
    <w:rPr>
      <w:rFonts w:ascii="Times New Roman" w:hAnsi="Times New Roman" w:eastAsia="Times New Roman"/>
      <w:color w:val="1a202c"/>
      <w:sz w:val="20"/>
    </w:rPr>
  </w:style>
  <w:style w:type="paragraph" w:styleId="Heading1">
    <w:name w:val="heading 1"/>
    <w:basedOn w:val="Normal"/>
    <w:pPr>
      <w:keepNext/>
      <w:keepLines/>
      <w:spacing w:before="240" w:after="120" w:line="240" w:lineRule="auto"/>
      <w:outlineLvl w:val="0"/>
    </w:pPr>
    <w:rPr>
      <w:b/>
      <w:color w:val="1a365d"/>
      <w:sz w:val="24"/>
    </w:rPr>
  </w:style>
  <w:style w:type="paragraph" w:styleId="Heading2">
    <w:name w:val="heading 2"/>
    <w:basedOn w:val="Normal"/>
    <w:pPr>
      <w:keepNext/>
      <w:keepLines/>
      <w:spacing w:before="200" w:after="80"/>
      <w:outlineLvl w:val="1"/>
    </w:pPr>
    <w:rPr>
      <w:b/>
      <w:color w:val="1a202c"/>
      <w:sz w:val="20"/>
    </w:rPr>
  </w:style>
  <w:style w:type="paragraph" w:styleId="Heading3">
    <w:name w:val="heading 3"/>
    <w:basedOn w:val="Normal"/>
    <w:pPr>
      <w:keepNext/>
      <w:keepLines/>
      <w:spacing w:before="160" w:after="60"/>
      <w:outlineLvl w:val="2"/>
    </w:pPr>
    <w:rPr>
      <w:b/>
      <w:i/>
      <w:color w:val="4a5568"/>
      <w:sz w:val="20"/>
    </w:rPr>
  </w:style>
  <w:style w:type="paragraph" w:styleId="Caption">
    <w:name w:val="Caption"/>
    <w:basedOn w:val="Normal"/>
    <w:pPr>
      <w:spacing w:before="60" w:after="200"/>
      <w:jc w:val="center"/>
    </w:pPr>
    <w:rPr>
      <w:i/>
      <w:color w:val="4a5568"/>
      <w:sz w:val="18"/>
    </w:rPr>
  </w:style>
</w:styles>
</file>

<file path=word/_rels/document.xml.rels>&#65279;<?xml version="1.0" encoding="utf-8"?><Relationships xmlns="http://schemas.openxmlformats.org/package/2006/relationships"><Relationship Type="http://schemas.openxmlformats.org/officeDocument/2006/relationships/styles" Target="/word/styles.xml" Id="R2688712d7c634dd2" /><Relationship Type="http://schemas.openxmlformats.org/officeDocument/2006/relationships/numbering" Target="/word/numbering.xml" Id="Rb1d011f649d74af4" /><Relationship Type="http://schemas.openxmlformats.org/officeDocument/2006/relationships/header" Target="/word/header1.xml" Id="R1760cf2c9c794777" /><Relationship Type="http://schemas.openxmlformats.org/officeDocument/2006/relationships/footer" Target="/word/footer1.xml" Id="Rba72ace9179f45a7" /><Relationship Type="http://schemas.openxmlformats.org/officeDocument/2006/relationships/image" Target="/media/image.png" Id="R3110c86b772044cc" /><Relationship Type="http://schemas.openxmlformats.org/officeDocument/2006/relationships/image" Target="/media/image2.png" Id="R71d7397584964b2c" /><Relationship Type="http://schemas.openxmlformats.org/officeDocument/2006/relationships/image" Target="/media/image3.png" Id="R5474de74ece347f1" /><Relationship Type="http://schemas.openxmlformats.org/officeDocument/2006/relationships/image" Target="/media/image4.png" Id="Rb9368dc4f73a4807" /><Relationship Type="http://schemas.openxmlformats.org/officeDocument/2006/relationships/image" Target="/media/image5.png" Id="R410bdb1198aa499f" /><Relationship Type="http://schemas.openxmlformats.org/officeDocument/2006/relationships/settings" Target="/word/settings.xml" Id="R779ee5fabbe44315" /></Relationships>
</file>