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2AB5" w14:textId="77777777" w:rsidR="0019654F" w:rsidRDefault="0019654F" w:rsidP="0019654F">
      <w:pPr>
        <w:jc w:val="right"/>
        <w:rPr>
          <w:rFonts w:eastAsia="Calibri"/>
          <w:b/>
          <w:i/>
          <w:sz w:val="22"/>
          <w:szCs w:val="22"/>
        </w:rPr>
      </w:pPr>
      <w:r>
        <w:rPr>
          <w:rFonts w:eastAsia="Calibri"/>
          <w:b/>
          <w:i/>
          <w:sz w:val="22"/>
          <w:szCs w:val="22"/>
        </w:rPr>
        <w:t>Додаток №</w:t>
      </w:r>
      <w:r>
        <w:rPr>
          <w:rFonts w:eastAsia="Calibri"/>
          <w:b/>
          <w:i/>
          <w:sz w:val="22"/>
          <w:szCs w:val="22"/>
          <w:lang w:val="ru-RU"/>
        </w:rPr>
        <w:t xml:space="preserve">2 </w:t>
      </w:r>
    </w:p>
    <w:p w14:paraId="11894543" w14:textId="77777777" w:rsidR="0019654F" w:rsidRDefault="0019654F" w:rsidP="0019654F">
      <w:pPr>
        <w:autoSpaceDE w:val="0"/>
        <w:autoSpaceDN w:val="0"/>
        <w:adjustRightInd w:val="0"/>
        <w:jc w:val="right"/>
        <w:rPr>
          <w:rFonts w:eastAsia="Calibri"/>
          <w:b/>
          <w:i/>
          <w:sz w:val="22"/>
          <w:szCs w:val="22"/>
        </w:rPr>
      </w:pPr>
      <w:r>
        <w:rPr>
          <w:rFonts w:eastAsia="Calibri"/>
          <w:b/>
          <w:i/>
          <w:sz w:val="22"/>
          <w:szCs w:val="22"/>
        </w:rPr>
        <w:t xml:space="preserve">до Договору про постачання електричної енергії споживачу </w:t>
      </w:r>
    </w:p>
    <w:p w14:paraId="5A32D735" w14:textId="77777777" w:rsidR="0019654F" w:rsidRDefault="0019654F" w:rsidP="0019654F">
      <w:pPr>
        <w:autoSpaceDE w:val="0"/>
        <w:autoSpaceDN w:val="0"/>
        <w:adjustRightInd w:val="0"/>
        <w:jc w:val="right"/>
        <w:rPr>
          <w:rFonts w:eastAsia="Calibri"/>
          <w:b/>
          <w:i/>
          <w:sz w:val="22"/>
          <w:szCs w:val="22"/>
        </w:rPr>
      </w:pPr>
      <w:r>
        <w:rPr>
          <w:rFonts w:eastAsia="Calibri"/>
          <w:b/>
          <w:i/>
          <w:sz w:val="22"/>
          <w:szCs w:val="22"/>
        </w:rPr>
        <w:t xml:space="preserve">від "___"______20____р. </w:t>
      </w:r>
    </w:p>
    <w:p w14:paraId="6B76EB1C" w14:textId="77777777" w:rsidR="0019654F" w:rsidRDefault="0019654F" w:rsidP="0019654F">
      <w:pPr>
        <w:autoSpaceDE w:val="0"/>
        <w:autoSpaceDN w:val="0"/>
        <w:adjustRightInd w:val="0"/>
        <w:rPr>
          <w:rFonts w:eastAsia="Calibri"/>
          <w:b/>
          <w:bCs/>
          <w:sz w:val="32"/>
          <w:szCs w:val="32"/>
        </w:rPr>
      </w:pPr>
    </w:p>
    <w:p w14:paraId="4C268FBA" w14:textId="77777777" w:rsidR="0019654F" w:rsidRDefault="0019654F" w:rsidP="0019654F">
      <w:pPr>
        <w:autoSpaceDE w:val="0"/>
        <w:autoSpaceDN w:val="0"/>
        <w:adjustRightInd w:val="0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КОМЕРЦІЙНА ПРОПОЗИЦІЯ</w:t>
      </w:r>
    </w:p>
    <w:p w14:paraId="7E64A477" w14:textId="77777777" w:rsidR="0019654F" w:rsidRDefault="0019654F" w:rsidP="0019654F">
      <w:pPr>
        <w:autoSpaceDE w:val="0"/>
        <w:autoSpaceDN w:val="0"/>
        <w:adjustRightInd w:val="0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(ТАРИФИ (ЦІНА) ТА СТРОКИ ОПЛАТИ ЕЛЕКТРИЧНОЇ ЕНЕРГІЇ)</w:t>
      </w:r>
    </w:p>
    <w:p w14:paraId="76065786" w14:textId="77777777" w:rsidR="0019654F" w:rsidRDefault="0019654F" w:rsidP="0019654F">
      <w:pPr>
        <w:autoSpaceDE w:val="0"/>
        <w:autoSpaceDN w:val="0"/>
        <w:adjustRightInd w:val="0"/>
        <w:rPr>
          <w:rFonts w:eastAsia="Calibri"/>
          <w:sz w:val="22"/>
          <w:szCs w:val="22"/>
        </w:rPr>
      </w:pPr>
    </w:p>
    <w:p w14:paraId="6C5897E7" w14:textId="77777777" w:rsidR="0019654F" w:rsidRDefault="0019654F" w:rsidP="0019654F">
      <w:pPr>
        <w:pStyle w:val="a5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80"/>
        <w:ind w:left="0" w:firstLine="0"/>
        <w:jc w:val="both"/>
        <w:rPr>
          <w:rFonts w:ascii="Times New Roman" w:eastAsia="Calibri" w:hAnsi="Times New Roman"/>
          <w:b/>
          <w:sz w:val="22"/>
          <w:szCs w:val="22"/>
          <w:lang w:val="uk-UA"/>
        </w:rPr>
      </w:pPr>
      <w:r>
        <w:rPr>
          <w:rFonts w:ascii="Times New Roman" w:eastAsia="Calibri" w:hAnsi="Times New Roman"/>
          <w:b/>
          <w:sz w:val="22"/>
          <w:szCs w:val="22"/>
          <w:lang w:val="uk-UA"/>
        </w:rPr>
        <w:t>Оплата за споживання електричної енергії здійснюється Споживачем за ціною:</w:t>
      </w:r>
    </w:p>
    <w:p w14:paraId="1DC86C3C" w14:textId="7E3574B5" w:rsidR="0019654F" w:rsidRDefault="0019654F" w:rsidP="0019654F">
      <w:pPr>
        <w:pStyle w:val="a5"/>
        <w:autoSpaceDE w:val="0"/>
        <w:autoSpaceDN w:val="0"/>
        <w:ind w:left="0"/>
        <w:jc w:val="both"/>
        <w:rPr>
          <w:rFonts w:ascii="Times New Roman" w:hAnsi="Times New Roman"/>
          <w:sz w:val="22"/>
          <w:szCs w:val="22"/>
          <w:lang w:val="uk-UA" w:eastAsia="uk-UA"/>
        </w:rPr>
      </w:pPr>
      <w:r>
        <w:rPr>
          <w:rFonts w:ascii="Times New Roman" w:hAnsi="Times New Roman"/>
          <w:sz w:val="22"/>
          <w:szCs w:val="22"/>
          <w:lang w:val="uk-UA" w:eastAsia="uk-UA"/>
        </w:rPr>
        <w:t xml:space="preserve">1.1. Сторони дійшли згоди, що базовий тариф (ціна) (далі – Базовий Тариф) </w:t>
      </w:r>
      <w:r>
        <w:rPr>
          <w:rFonts w:ascii="Times New Roman" w:hAnsi="Times New Roman"/>
          <w:b/>
          <w:sz w:val="22"/>
          <w:szCs w:val="22"/>
          <w:lang w:val="uk-UA" w:eastAsia="uk-UA"/>
        </w:rPr>
        <w:t>за 1 (один) МВт.г</w:t>
      </w:r>
      <w:r>
        <w:rPr>
          <w:rFonts w:ascii="Times New Roman" w:hAnsi="Times New Roman"/>
          <w:sz w:val="22"/>
          <w:szCs w:val="22"/>
          <w:lang w:val="uk-UA" w:eastAsia="uk-UA"/>
        </w:rPr>
        <w:t xml:space="preserve"> електричної енергії, що поставляється Споживачу, становить </w:t>
      </w:r>
      <w:r>
        <w:rPr>
          <w:rFonts w:ascii="Times New Roman" w:hAnsi="Times New Roman"/>
          <w:b/>
          <w:sz w:val="22"/>
          <w:szCs w:val="22"/>
          <w:lang w:val="uk-UA" w:eastAsia="uk-UA"/>
        </w:rPr>
        <w:t xml:space="preserve">3 </w:t>
      </w:r>
      <w:r w:rsidR="008C0F8E">
        <w:rPr>
          <w:rFonts w:ascii="Times New Roman" w:hAnsi="Times New Roman"/>
          <w:b/>
          <w:sz w:val="22"/>
          <w:szCs w:val="22"/>
          <w:lang w:val="en-US" w:eastAsia="uk-UA"/>
        </w:rPr>
        <w:t>4</w:t>
      </w:r>
      <w:r>
        <w:rPr>
          <w:rFonts w:ascii="Times New Roman" w:hAnsi="Times New Roman"/>
          <w:b/>
          <w:sz w:val="22"/>
          <w:szCs w:val="22"/>
          <w:lang w:val="uk-UA" w:eastAsia="uk-UA"/>
        </w:rPr>
        <w:t>00,00 грн. без ПДВ</w:t>
      </w:r>
      <w:r>
        <w:rPr>
          <w:rFonts w:ascii="Times New Roman" w:hAnsi="Times New Roman"/>
          <w:sz w:val="22"/>
          <w:szCs w:val="22"/>
          <w:lang w:val="uk-UA" w:eastAsia="uk-UA"/>
        </w:rPr>
        <w:t>.</w:t>
      </w:r>
    </w:p>
    <w:p w14:paraId="2CED0241" w14:textId="77777777" w:rsidR="0019654F" w:rsidRDefault="0019654F" w:rsidP="0019654F">
      <w:pPr>
        <w:pStyle w:val="a5"/>
        <w:ind w:left="0"/>
        <w:rPr>
          <w:rFonts w:ascii="Times New Roman" w:eastAsia="Calibri" w:hAnsi="Times New Roman"/>
          <w:sz w:val="16"/>
          <w:szCs w:val="16"/>
          <w:lang w:val="uk-UA" w:eastAsia="uk-UA"/>
        </w:rPr>
      </w:pPr>
    </w:p>
    <w:p w14:paraId="1B7C43E5" w14:textId="77777777" w:rsidR="0019654F" w:rsidRDefault="0019654F" w:rsidP="0019654F">
      <w:pPr>
        <w:pStyle w:val="a5"/>
        <w:autoSpaceDE w:val="0"/>
        <w:autoSpaceDN w:val="0"/>
        <w:ind w:left="0"/>
        <w:jc w:val="both"/>
        <w:rPr>
          <w:rFonts w:ascii="Times New Roman" w:hAnsi="Times New Roman"/>
          <w:sz w:val="22"/>
          <w:szCs w:val="22"/>
          <w:lang w:val="uk-UA" w:eastAsia="uk-UA"/>
        </w:rPr>
      </w:pPr>
      <w:r>
        <w:rPr>
          <w:rFonts w:ascii="Times New Roman" w:hAnsi="Times New Roman"/>
          <w:sz w:val="22"/>
          <w:szCs w:val="22"/>
          <w:lang w:val="uk-UA" w:eastAsia="uk-UA"/>
        </w:rPr>
        <w:t>1.2. Сторони дійшли згоди, що за результатом споживання Споживачем електричної енергії у відповідному звітному місяці, розрахунок фактичного тарифу (Фактична ціна) на електричну енергію здійснюється за такою формулою:</w:t>
      </w:r>
    </w:p>
    <w:p w14:paraId="09455839" w14:textId="77777777" w:rsidR="0019654F" w:rsidRDefault="0019654F" w:rsidP="0019654F">
      <w:pPr>
        <w:spacing w:before="120" w:after="120"/>
        <w:jc w:val="center"/>
        <w:rPr>
          <w:bCs/>
        </w:rPr>
      </w:pPr>
      <m:oMath>
        <m:r>
          <w:rPr>
            <w:rFonts w:ascii="Cambria Math" w:hAnsi="Cambria Math"/>
            <w:color w:val="000000"/>
            <w:sz w:val="30"/>
            <w:szCs w:val="30"/>
          </w:rPr>
          <m:t xml:space="preserve">       P=</m:t>
        </m:r>
        <m:f>
          <m:fPr>
            <m:ctrlPr>
              <w:rPr>
                <w:rFonts w:ascii="Cambria Math" w:hAnsi="Cambria Math"/>
                <w:i/>
                <w:color w:val="000000"/>
                <w:sz w:val="30"/>
                <w:szCs w:val="3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</w:rPr>
                      <m:t>Cost+BR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</w:rPr>
                      <m:t>Vф</m:t>
                    </m:r>
                  </m:den>
                </m:f>
              </m:e>
            </m:d>
            <m:r>
              <w:rPr>
                <w:rFonts w:ascii="Cambria Math" w:hAnsi="Cambria Math"/>
                <w:color w:val="000000"/>
                <w:sz w:val="30"/>
                <w:szCs w:val="30"/>
              </w:rPr>
              <m:t>*(1+M)</m:t>
            </m:r>
          </m:num>
          <m:den>
            <m:r>
              <w:rPr>
                <w:rFonts w:ascii="Cambria Math" w:hAnsi="Cambria Math"/>
                <w:color w:val="000000"/>
                <w:sz w:val="30"/>
                <w:szCs w:val="30"/>
              </w:rPr>
              <m:t>1-RT</m:t>
            </m:r>
          </m:den>
        </m:f>
        <m:r>
          <w:rPr>
            <w:rFonts w:ascii="Cambria Math" w:hAnsi="Cambria Math"/>
            <w:color w:val="000000"/>
            <w:sz w:val="30"/>
            <w:szCs w:val="30"/>
          </w:rPr>
          <m:t>+TSO</m:t>
        </m:r>
      </m:oMath>
      <w:r>
        <w:rPr>
          <w:bCs/>
          <w:sz w:val="30"/>
          <w:szCs w:val="30"/>
        </w:rPr>
        <w:t xml:space="preserve">, </w:t>
      </w:r>
      <w:r>
        <w:rPr>
          <w:bCs/>
          <w:sz w:val="32"/>
          <w:szCs w:val="32"/>
        </w:rPr>
        <w:t xml:space="preserve"> </w:t>
      </w:r>
      <w:r>
        <w:rPr>
          <w:bCs/>
          <w:sz w:val="22"/>
          <w:szCs w:val="22"/>
        </w:rPr>
        <w:t>де</w:t>
      </w:r>
    </w:p>
    <w:p w14:paraId="445646BE" w14:textId="77777777" w:rsidR="0019654F" w:rsidRDefault="0019654F" w:rsidP="0019654F">
      <w:pPr>
        <w:tabs>
          <w:tab w:val="left" w:pos="1134"/>
        </w:tabs>
        <w:spacing w:before="20" w:after="20"/>
        <w:ind w:left="993" w:hanging="709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P </w:t>
      </w:r>
      <w:r>
        <w:rPr>
          <w:sz w:val="21"/>
          <w:szCs w:val="21"/>
        </w:rPr>
        <w:tab/>
        <w:t xml:space="preserve">– </w:t>
      </w:r>
      <w:r>
        <w:rPr>
          <w:color w:val="000000"/>
          <w:sz w:val="21"/>
          <w:szCs w:val="21"/>
        </w:rPr>
        <w:t>фактична ціна електричної енергії у розрахунковому місяці поставки, грн./МВт.г без ПДВ</w:t>
      </w:r>
    </w:p>
    <w:p w14:paraId="3CE4BE2A" w14:textId="77777777" w:rsidR="0019654F" w:rsidRDefault="0019654F" w:rsidP="0019654F">
      <w:pPr>
        <w:tabs>
          <w:tab w:val="left" w:pos="1134"/>
        </w:tabs>
        <w:spacing w:before="20" w:after="20"/>
        <w:ind w:left="993" w:hanging="709"/>
        <w:jc w:val="both"/>
        <w:rPr>
          <w:sz w:val="21"/>
          <w:szCs w:val="21"/>
        </w:rPr>
      </w:pPr>
      <w:r>
        <w:rPr>
          <w:b/>
          <w:sz w:val="21"/>
          <w:szCs w:val="21"/>
        </w:rPr>
        <w:t>Cost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>– собівартість номінованого погодинного профілю споживання відповідно до пп. 9) п. 6.2. Договору з прив'язкою до РДН (ринок «на добу наперед»);</w:t>
      </w:r>
    </w:p>
    <w:p w14:paraId="2E60349D" w14:textId="77777777" w:rsidR="0019654F" w:rsidRDefault="0019654F" w:rsidP="0019654F">
      <w:pPr>
        <w:tabs>
          <w:tab w:val="left" w:pos="1134"/>
        </w:tabs>
        <w:rPr>
          <w:sz w:val="10"/>
          <w:szCs w:val="10"/>
        </w:rPr>
      </w:pPr>
    </w:p>
    <w:p w14:paraId="3BCF3F54" w14:textId="77777777" w:rsidR="0019654F" w:rsidRDefault="0019654F" w:rsidP="0019654F">
      <w:pPr>
        <w:tabs>
          <w:tab w:val="left" w:pos="1134"/>
        </w:tabs>
        <w:ind w:left="1276" w:hanging="709"/>
        <w:jc w:val="center"/>
        <w:rPr>
          <w:iCs/>
          <w:sz w:val="22"/>
          <w:szCs w:val="22"/>
          <w:lang w:eastAsia="en-US"/>
        </w:rPr>
      </w:pPr>
      <m:oMath>
        <m:r>
          <w:rPr>
            <w:rFonts w:ascii="Cambria Math" w:hAnsi="Cambria Math"/>
            <w:color w:val="000000"/>
            <w:sz w:val="22"/>
            <w:szCs w:val="22"/>
          </w:rPr>
          <m:t>Cost=</m:t>
        </m:r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iCs/>
                <w:sz w:val="22"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 w:val="22"/>
                <w:szCs w:val="22"/>
              </w:rPr>
              <m:t xml:space="preserve">672-745   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iCs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(V</m:t>
                </m:r>
              </m:e>
              <m: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2"/>
                <w:szCs w:val="22"/>
              </w:rPr>
              <m:t xml:space="preserve"> *</m:t>
            </m:r>
            <m:sSub>
              <m:sSubPr>
                <m:ctrlPr>
                  <w:rPr>
                    <w:rFonts w:ascii="Cambria Math" w:eastAsia="Calibri" w:hAnsi="Cambria Math"/>
                    <w:i/>
                    <w:iCs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)</m:t>
            </m:r>
          </m:e>
        </m:nary>
      </m:oMath>
      <w:r>
        <w:rPr>
          <w:iCs/>
          <w:sz w:val="22"/>
          <w:szCs w:val="22"/>
          <w:lang w:eastAsia="en-US"/>
        </w:rPr>
        <w:t>,  де</w:t>
      </w:r>
    </w:p>
    <w:p w14:paraId="18BD609F" w14:textId="77777777" w:rsidR="0019654F" w:rsidRDefault="0019654F" w:rsidP="0019654F">
      <w:pPr>
        <w:tabs>
          <w:tab w:val="left" w:pos="1134"/>
        </w:tabs>
        <w:rPr>
          <w:iCs/>
          <w:sz w:val="10"/>
          <w:szCs w:val="10"/>
          <w:lang w:eastAsia="en-US"/>
        </w:rPr>
      </w:pPr>
    </w:p>
    <w:p w14:paraId="343064D7" w14:textId="77777777" w:rsidR="0019654F" w:rsidRDefault="0019654F" w:rsidP="0019654F">
      <w:pPr>
        <w:tabs>
          <w:tab w:val="left" w:pos="1134"/>
        </w:tabs>
        <w:spacing w:before="20" w:after="20"/>
        <w:ind w:left="993" w:hanging="709"/>
        <w:jc w:val="both"/>
        <w:rPr>
          <w:color w:val="000000"/>
          <w:sz w:val="21"/>
          <w:szCs w:val="21"/>
        </w:rPr>
      </w:pPr>
      <w:r>
        <w:rPr>
          <w:b/>
          <w:sz w:val="21"/>
          <w:szCs w:val="21"/>
        </w:rPr>
        <w:t>Vi</w:t>
      </w:r>
      <w:r>
        <w:rPr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ab/>
        <w:t xml:space="preserve">– обсяг номінованого обсягу поставки у відповідний час поставки розрахункового місяця, згідно отриманих від Споживача Заявок з погодинними прогнозними обсягами споживання електричної енергії відповідно до </w:t>
      </w:r>
      <w:r>
        <w:rPr>
          <w:sz w:val="21"/>
          <w:szCs w:val="21"/>
        </w:rPr>
        <w:t xml:space="preserve">пп. 9) п. 6.2. </w:t>
      </w:r>
      <w:r>
        <w:rPr>
          <w:color w:val="000000"/>
          <w:sz w:val="21"/>
          <w:szCs w:val="21"/>
        </w:rPr>
        <w:t>Договору, МВт.г;</w:t>
      </w:r>
    </w:p>
    <w:p w14:paraId="3F9964F9" w14:textId="77777777" w:rsidR="0019654F" w:rsidRDefault="0019654F" w:rsidP="0019654F">
      <w:pPr>
        <w:tabs>
          <w:tab w:val="left" w:pos="1134"/>
        </w:tabs>
        <w:spacing w:before="20" w:after="20"/>
        <w:ind w:left="993" w:hanging="709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Сi</w:t>
      </w:r>
      <w:r>
        <w:rPr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ab/>
        <w:t>– ціна закупки електричної енергії на РДН у відповідний час поставки розрахункового місяця, грн./МВт.г без ПДВ;</w:t>
      </w:r>
    </w:p>
    <w:p w14:paraId="7AC36844" w14:textId="77777777" w:rsidR="0019654F" w:rsidRDefault="0019654F" w:rsidP="0019654F">
      <w:pPr>
        <w:tabs>
          <w:tab w:val="left" w:pos="1134"/>
        </w:tabs>
        <w:spacing w:before="20" w:after="20"/>
        <w:ind w:left="993" w:hanging="709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i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>– час поставки відповідного розрахункового місяця, від 00:00 до 24:00 годин;</w:t>
      </w:r>
    </w:p>
    <w:p w14:paraId="3583E14E" w14:textId="77777777" w:rsidR="0019654F" w:rsidRDefault="0019654F" w:rsidP="0019654F">
      <w:pPr>
        <w:tabs>
          <w:tab w:val="left" w:pos="1134"/>
        </w:tabs>
        <w:spacing w:before="20" w:after="20"/>
        <w:ind w:left="993" w:hanging="709"/>
        <w:jc w:val="both"/>
        <w:rPr>
          <w:sz w:val="21"/>
          <w:szCs w:val="21"/>
        </w:rPr>
      </w:pPr>
      <w:r>
        <w:rPr>
          <w:b/>
          <w:sz w:val="21"/>
          <w:szCs w:val="21"/>
        </w:rPr>
        <w:t>RT</w:t>
      </w:r>
      <w:r>
        <w:rPr>
          <w:color w:val="000000"/>
          <w:sz w:val="21"/>
          <w:szCs w:val="21"/>
        </w:rPr>
        <w:t xml:space="preserve"> (Regulator Tollage) </w:t>
      </w:r>
      <w:r>
        <w:rPr>
          <w:sz w:val="21"/>
          <w:szCs w:val="21"/>
        </w:rPr>
        <w:t xml:space="preserve">– </w:t>
      </w:r>
      <w:r>
        <w:rPr>
          <w:color w:val="000000"/>
          <w:sz w:val="21"/>
          <w:szCs w:val="21"/>
        </w:rPr>
        <w:t xml:space="preserve">збір НКРЕКП у розмірі, прийнятому НКРЕКП на поточний період та опублікованому на сайті </w:t>
      </w:r>
      <w:hyperlink r:id="rId5" w:history="1">
        <w:r>
          <w:rPr>
            <w:rStyle w:val="a6"/>
            <w:color w:val="000000"/>
            <w:sz w:val="21"/>
            <w:szCs w:val="21"/>
          </w:rPr>
          <w:t>http://www.nerc.gov.ua</w:t>
        </w:r>
      </w:hyperlink>
    </w:p>
    <w:p w14:paraId="1F6736B1" w14:textId="77777777" w:rsidR="0019654F" w:rsidRDefault="0019654F" w:rsidP="0019654F">
      <w:pPr>
        <w:tabs>
          <w:tab w:val="left" w:pos="1134"/>
        </w:tabs>
        <w:spacing w:before="20" w:after="20"/>
        <w:ind w:left="993" w:hanging="709"/>
        <w:jc w:val="both"/>
        <w:rPr>
          <w:sz w:val="21"/>
          <w:szCs w:val="21"/>
        </w:rPr>
      </w:pPr>
      <w:r>
        <w:rPr>
          <w:b/>
          <w:sz w:val="21"/>
          <w:szCs w:val="21"/>
        </w:rPr>
        <w:t>M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 xml:space="preserve">– маржа, що включає відшкодування витрат на покриття гарантій, забезпечення на ринках РДН та балансуючого ринку; складає </w:t>
      </w:r>
      <w:r>
        <w:rPr>
          <w:color w:val="000000"/>
          <w:sz w:val="21"/>
          <w:szCs w:val="21"/>
        </w:rPr>
        <w:t>25</w:t>
      </w:r>
      <w:r>
        <w:rPr>
          <w:sz w:val="21"/>
          <w:szCs w:val="21"/>
        </w:rPr>
        <w:t>%</w:t>
      </w:r>
    </w:p>
    <w:p w14:paraId="55A9F778" w14:textId="77777777" w:rsidR="0019654F" w:rsidRDefault="0019654F" w:rsidP="0019654F">
      <w:pPr>
        <w:tabs>
          <w:tab w:val="left" w:pos="1134"/>
        </w:tabs>
        <w:spacing w:before="20" w:after="20"/>
        <w:ind w:left="993" w:hanging="709"/>
        <w:jc w:val="both"/>
        <w:rPr>
          <w:bCs/>
          <w:sz w:val="21"/>
          <w:szCs w:val="21"/>
        </w:rPr>
      </w:pPr>
      <w:r>
        <w:rPr>
          <w:b/>
          <w:sz w:val="21"/>
          <w:szCs w:val="21"/>
        </w:rPr>
        <w:t>Vф</w:t>
      </w:r>
      <w:r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ab/>
        <w:t xml:space="preserve">– </w:t>
      </w:r>
      <w:r>
        <w:rPr>
          <w:bCs/>
          <w:sz w:val="21"/>
          <w:szCs w:val="21"/>
        </w:rPr>
        <w:t>фактичний обсяг споживання, МВт.г</w:t>
      </w:r>
    </w:p>
    <w:p w14:paraId="7487A842" w14:textId="47BF3674" w:rsidR="0019654F" w:rsidRDefault="0019654F" w:rsidP="0019654F">
      <w:pPr>
        <w:tabs>
          <w:tab w:val="left" w:pos="1134"/>
        </w:tabs>
        <w:spacing w:before="20" w:after="20"/>
        <w:ind w:left="993" w:hanging="709"/>
        <w:jc w:val="both"/>
        <w:rPr>
          <w:sz w:val="21"/>
          <w:szCs w:val="21"/>
        </w:rPr>
      </w:pPr>
      <w:r>
        <w:rPr>
          <w:b/>
          <w:sz w:val="21"/>
          <w:szCs w:val="21"/>
        </w:rPr>
        <w:t>TSO</w:t>
      </w:r>
      <w:r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ab/>
      </w:r>
      <w:r>
        <w:rPr>
          <w:sz w:val="21"/>
          <w:szCs w:val="21"/>
        </w:rPr>
        <w:t xml:space="preserve">– тариф на передачу електричної енергії, виставлений </w:t>
      </w:r>
      <w:r>
        <w:rPr>
          <w:sz w:val="21"/>
          <w:szCs w:val="21"/>
          <w:lang w:val="ru-RU"/>
        </w:rPr>
        <w:t>ПрАТ «</w:t>
      </w:r>
      <w:r>
        <w:rPr>
          <w:sz w:val="21"/>
          <w:szCs w:val="21"/>
        </w:rPr>
        <w:t>НЕК «УКРЕНЕРГО» на адресу ТОВ «ФЕТ». У разі підключення повністю обсягу споживання Споживача до ліній ПрАТ «НЕК «УКРЕНЕРГО», оплата тарифу по ньому проводиться напряму ОСП та не враховується у формулі</w:t>
      </w:r>
      <w:r>
        <w:rPr>
          <w:sz w:val="21"/>
          <w:szCs w:val="21"/>
          <w:lang w:val="ru-RU"/>
        </w:rPr>
        <w:t xml:space="preserve">. </w:t>
      </w:r>
    </w:p>
    <w:p w14:paraId="134EDAE0" w14:textId="77777777" w:rsidR="0019654F" w:rsidRDefault="0019654F" w:rsidP="0019654F">
      <w:pPr>
        <w:tabs>
          <w:tab w:val="left" w:pos="1134"/>
        </w:tabs>
        <w:spacing w:before="20" w:after="20"/>
        <w:ind w:left="993" w:hanging="709"/>
        <w:jc w:val="both"/>
        <w:rPr>
          <w:sz w:val="21"/>
          <w:szCs w:val="21"/>
        </w:rPr>
      </w:pPr>
      <w:r>
        <w:rPr>
          <w:b/>
          <w:sz w:val="21"/>
          <w:szCs w:val="21"/>
        </w:rPr>
        <w:t>BR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>– надбавка за балансування фактичного профілю споживання від номінованого відповідно до пп. 9) 6.2 Договору, розраховується за наступною формулою:</w:t>
      </w:r>
    </w:p>
    <w:p w14:paraId="532F7042" w14:textId="77777777" w:rsidR="0019654F" w:rsidRDefault="0019654F" w:rsidP="0019654F">
      <w:pPr>
        <w:spacing w:before="120" w:after="120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BR = Base + Overlimit</w:t>
      </w:r>
      <w:r>
        <w:rPr>
          <w:bCs/>
          <w:sz w:val="21"/>
          <w:szCs w:val="21"/>
        </w:rPr>
        <w:t xml:space="preserve"> ,  де</w:t>
      </w:r>
    </w:p>
    <w:p w14:paraId="5DF2663F" w14:textId="77777777" w:rsidR="0019654F" w:rsidRDefault="0019654F" w:rsidP="0019654F">
      <w:pPr>
        <w:tabs>
          <w:tab w:val="left" w:pos="1134"/>
        </w:tabs>
        <w:spacing w:before="20" w:after="20"/>
        <w:ind w:left="993" w:hanging="709"/>
        <w:jc w:val="both"/>
        <w:rPr>
          <w:color w:val="000000"/>
          <w:sz w:val="21"/>
          <w:szCs w:val="21"/>
        </w:rPr>
      </w:pPr>
      <w:r>
        <w:rPr>
          <w:b/>
          <w:sz w:val="21"/>
          <w:szCs w:val="21"/>
        </w:rPr>
        <w:t>Base</w:t>
      </w:r>
      <w:r>
        <w:rPr>
          <w:b/>
          <w:color w:val="000000"/>
          <w:sz w:val="21"/>
          <w:szCs w:val="21"/>
        </w:rPr>
        <w:t xml:space="preserve"> </w:t>
      </w:r>
      <w:r>
        <w:rPr>
          <w:b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– вартість відхилення фактичного обсягу споживання від номінованого відповідно до пп. 9) п. 6.2. Договору обсягу на кожну годину споживання у межах </w:t>
      </w:r>
      <w:r>
        <w:rPr>
          <w:color w:val="000000"/>
          <w:sz w:val="21"/>
          <w:szCs w:val="21"/>
          <w:lang w:val="ru-RU"/>
        </w:rPr>
        <w:t>5</w:t>
      </w:r>
      <w:r>
        <w:rPr>
          <w:color w:val="000000"/>
          <w:sz w:val="21"/>
          <w:szCs w:val="21"/>
        </w:rPr>
        <w:t>%; розрахунок надбавки за балансування в межах зазначеного відхилення здійснюється за цінами РДН;</w:t>
      </w:r>
    </w:p>
    <w:p w14:paraId="374969A9" w14:textId="77777777" w:rsidR="0019654F" w:rsidRDefault="0019654F" w:rsidP="0019654F">
      <w:pPr>
        <w:tabs>
          <w:tab w:val="left" w:pos="1134"/>
        </w:tabs>
        <w:spacing w:before="20"/>
        <w:ind w:left="993" w:hanging="709"/>
        <w:jc w:val="both"/>
        <w:rPr>
          <w:color w:val="000000"/>
          <w:sz w:val="21"/>
          <w:szCs w:val="21"/>
        </w:rPr>
      </w:pPr>
      <w:r>
        <w:rPr>
          <w:b/>
          <w:sz w:val="21"/>
          <w:szCs w:val="21"/>
        </w:rPr>
        <w:t>Overlimit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– вартість відхилення фактичного обсягу споживання від номінованого відповідно до </w:t>
      </w:r>
      <w:r>
        <w:rPr>
          <w:sz w:val="21"/>
          <w:szCs w:val="21"/>
        </w:rPr>
        <w:t>пп. 9) п. 6.2. Договору</w:t>
      </w:r>
      <w:r>
        <w:rPr>
          <w:color w:val="000000"/>
          <w:sz w:val="21"/>
          <w:szCs w:val="21"/>
        </w:rPr>
        <w:t xml:space="preserve"> обсягу на кожну годину споживання, яка вище за </w:t>
      </w:r>
      <w:r>
        <w:rPr>
          <w:color w:val="000000"/>
          <w:sz w:val="21"/>
          <w:szCs w:val="21"/>
          <w:lang w:val="ru-RU"/>
        </w:rPr>
        <w:t>5</w:t>
      </w:r>
      <w:r>
        <w:rPr>
          <w:color w:val="000000"/>
          <w:sz w:val="21"/>
          <w:szCs w:val="21"/>
        </w:rPr>
        <w:t>%; розрахунок надбавки за балансування понад зазначене відхилення здійснюється за цінами балансуючого ринку.</w:t>
      </w:r>
    </w:p>
    <w:p w14:paraId="16674C04" w14:textId="77777777" w:rsidR="0019654F" w:rsidRDefault="0019654F" w:rsidP="0019654F">
      <w:pPr>
        <w:pStyle w:val="a5"/>
        <w:tabs>
          <w:tab w:val="left" w:pos="284"/>
        </w:tabs>
        <w:ind w:left="0"/>
        <w:jc w:val="both"/>
        <w:rPr>
          <w:rFonts w:ascii="Times New Roman" w:eastAsia="Calibri" w:hAnsi="Times New Roman"/>
          <w:b/>
          <w:color w:val="000000"/>
          <w:sz w:val="20"/>
          <w:szCs w:val="20"/>
          <w:lang w:val="uk-UA" w:eastAsia="uk-UA"/>
        </w:rPr>
      </w:pPr>
    </w:p>
    <w:p w14:paraId="13DC0435" w14:textId="77777777" w:rsidR="0019654F" w:rsidRDefault="0019654F" w:rsidP="0019654F">
      <w:pPr>
        <w:pStyle w:val="a5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80"/>
        <w:ind w:left="0" w:firstLine="0"/>
        <w:jc w:val="both"/>
        <w:rPr>
          <w:rFonts w:ascii="Times New Roman" w:eastAsia="Calibri" w:hAnsi="Times New Roman"/>
          <w:b/>
          <w:color w:val="000000"/>
          <w:sz w:val="22"/>
          <w:szCs w:val="22"/>
          <w:lang w:val="uk-UA"/>
        </w:rPr>
      </w:pPr>
      <w:r>
        <w:rPr>
          <w:rFonts w:ascii="Times New Roman" w:eastAsia="Calibri" w:hAnsi="Times New Roman"/>
          <w:b/>
          <w:sz w:val="22"/>
          <w:szCs w:val="22"/>
          <w:lang w:val="uk-UA"/>
        </w:rPr>
        <w:t xml:space="preserve">Порядок оплати електричної енергії Споживачем </w:t>
      </w:r>
      <w:r>
        <w:rPr>
          <w:rFonts w:ascii="Times New Roman" w:hAnsi="Times New Roman"/>
          <w:b/>
          <w:bCs/>
          <w:sz w:val="22"/>
          <w:szCs w:val="22"/>
          <w:lang w:val="uk-UA" w:eastAsia="uk-UA"/>
        </w:rPr>
        <w:t>та порядок</w:t>
      </w:r>
      <w:r>
        <w:rPr>
          <w:rFonts w:ascii="Times New Roman" w:eastAsia="Calibri" w:hAnsi="Times New Roman"/>
          <w:b/>
          <w:color w:val="000000"/>
          <w:sz w:val="22"/>
          <w:szCs w:val="22"/>
          <w:lang w:val="uk-UA" w:eastAsia="uk-UA"/>
        </w:rPr>
        <w:t xml:space="preserve"> надання рахунків за спожиту електричну енергію</w:t>
      </w:r>
      <w:r>
        <w:rPr>
          <w:rFonts w:ascii="Times New Roman" w:hAnsi="Times New Roman"/>
          <w:b/>
          <w:bCs/>
          <w:sz w:val="22"/>
          <w:szCs w:val="22"/>
          <w:lang w:val="uk-UA" w:eastAsia="uk-UA"/>
        </w:rPr>
        <w:t>:</w:t>
      </w:r>
    </w:p>
    <w:p w14:paraId="7A9A150E" w14:textId="77777777" w:rsidR="0019654F" w:rsidRDefault="0019654F" w:rsidP="0019654F">
      <w:pPr>
        <w:pStyle w:val="a5"/>
        <w:autoSpaceDE w:val="0"/>
        <w:autoSpaceDN w:val="0"/>
        <w:ind w:left="0"/>
        <w:jc w:val="both"/>
        <w:rPr>
          <w:rFonts w:ascii="Times New Roman" w:hAnsi="Times New Roman"/>
          <w:sz w:val="22"/>
          <w:szCs w:val="22"/>
          <w:lang w:val="uk-UA" w:eastAsia="uk-UA"/>
        </w:rPr>
      </w:pPr>
      <w:r>
        <w:rPr>
          <w:rFonts w:ascii="Times New Roman" w:hAnsi="Times New Roman"/>
          <w:sz w:val="22"/>
          <w:szCs w:val="22"/>
          <w:lang w:val="uk-UA" w:eastAsia="uk-UA"/>
        </w:rPr>
        <w:t>2.1. Споживач здійснює оплату електричної енергії за Базовим Тарифом, що встановлений у п. 1.1. цього Додатку, за наступним графіком:</w:t>
      </w:r>
    </w:p>
    <w:p w14:paraId="0426B5F2" w14:textId="77777777" w:rsidR="0019654F" w:rsidRDefault="0019654F" w:rsidP="0019654F">
      <w:pPr>
        <w:pStyle w:val="a3"/>
        <w:numPr>
          <w:ilvl w:val="0"/>
          <w:numId w:val="2"/>
        </w:numPr>
        <w:ind w:left="426"/>
        <w:jc w:val="both"/>
        <w:rPr>
          <w:rFonts w:ascii="Times New Roman" w:eastAsia="Times New Roman" w:hAnsi="Times New Roman" w:cs="Times New Roman"/>
          <w:lang w:val="uk-UA" w:eastAsia="uk-UA"/>
        </w:rPr>
      </w:pPr>
      <w:r>
        <w:rPr>
          <w:rFonts w:ascii="Times New Roman" w:eastAsia="Times New Roman" w:hAnsi="Times New Roman" w:cs="Times New Roman"/>
          <w:b/>
          <w:lang w:val="uk-UA" w:eastAsia="uk-UA"/>
        </w:rPr>
        <w:t>Перший платіж</w:t>
      </w:r>
      <w:r>
        <w:rPr>
          <w:rFonts w:ascii="Times New Roman" w:eastAsia="Times New Roman" w:hAnsi="Times New Roman" w:cs="Times New Roman"/>
          <w:lang w:val="uk-UA" w:eastAsia="uk-UA"/>
        </w:rPr>
        <w:t xml:space="preserve"> – до 25 (двадцять п’ятого) числа місяця, що передує місяцю поставки, в обсязі 35% від вартості обсягу електричної енергії (з ПДВ), що постачається згідно Заяви на постачання електричної енергії відповідно до пп. 8) п. 6.2. Договору, з використанням </w:t>
      </w:r>
      <w:r>
        <w:rPr>
          <w:rFonts w:ascii="Times New Roman" w:hAnsi="Times New Roman"/>
          <w:lang w:val="uk-UA" w:eastAsia="uk-UA"/>
        </w:rPr>
        <w:t>Базового Тарифу</w:t>
      </w:r>
      <w:r>
        <w:rPr>
          <w:rFonts w:ascii="Times New Roman" w:eastAsia="Times New Roman" w:hAnsi="Times New Roman" w:cs="Times New Roman"/>
          <w:lang w:val="uk-UA" w:eastAsia="uk-UA"/>
        </w:rPr>
        <w:t>, визначеного відповідно до п. 1.1. цього Додатку;</w:t>
      </w:r>
    </w:p>
    <w:p w14:paraId="5C1EC221" w14:textId="77777777" w:rsidR="0019654F" w:rsidRDefault="0019654F" w:rsidP="0019654F">
      <w:pPr>
        <w:pStyle w:val="a3"/>
        <w:numPr>
          <w:ilvl w:val="0"/>
          <w:numId w:val="2"/>
        </w:numPr>
        <w:ind w:left="426"/>
        <w:jc w:val="both"/>
        <w:rPr>
          <w:rFonts w:ascii="Times New Roman" w:eastAsia="Times New Roman" w:hAnsi="Times New Roman" w:cs="Times New Roman"/>
          <w:lang w:val="uk-UA" w:eastAsia="uk-UA"/>
        </w:rPr>
      </w:pPr>
      <w:r>
        <w:rPr>
          <w:rFonts w:ascii="Times New Roman" w:eastAsia="Times New Roman" w:hAnsi="Times New Roman" w:cs="Times New Roman"/>
          <w:b/>
          <w:lang w:val="uk-UA" w:eastAsia="uk-UA"/>
        </w:rPr>
        <w:lastRenderedPageBreak/>
        <w:t>Другий платіж</w:t>
      </w:r>
      <w:r>
        <w:rPr>
          <w:rFonts w:ascii="Times New Roman" w:eastAsia="Times New Roman" w:hAnsi="Times New Roman" w:cs="Times New Roman"/>
          <w:lang w:val="uk-UA" w:eastAsia="uk-UA"/>
        </w:rPr>
        <w:t xml:space="preserve"> – до 5 (п’ятого) числа місяця поставки в обсязі 35% від вартості обсягу електричної енергії (з ПДВ), що постачається згідно Заяви на постачання електричної енергії відповідно до пп. 8) п. 6.2. Договору, з використанням </w:t>
      </w:r>
      <w:r>
        <w:rPr>
          <w:rFonts w:ascii="Times New Roman" w:hAnsi="Times New Roman"/>
          <w:lang w:val="uk-UA" w:eastAsia="uk-UA"/>
        </w:rPr>
        <w:t>Базового Тарифу</w:t>
      </w:r>
      <w:r>
        <w:rPr>
          <w:rFonts w:ascii="Times New Roman" w:eastAsia="Times New Roman" w:hAnsi="Times New Roman" w:cs="Times New Roman"/>
          <w:lang w:val="uk-UA" w:eastAsia="uk-UA"/>
        </w:rPr>
        <w:t>, визначеного відповідно до п. 1.1. цього Додатку;</w:t>
      </w:r>
    </w:p>
    <w:p w14:paraId="230A5531" w14:textId="77777777" w:rsidR="0019654F" w:rsidRDefault="0019654F" w:rsidP="0019654F">
      <w:pPr>
        <w:pStyle w:val="a3"/>
        <w:numPr>
          <w:ilvl w:val="0"/>
          <w:numId w:val="2"/>
        </w:numPr>
        <w:ind w:left="426"/>
        <w:jc w:val="both"/>
        <w:rPr>
          <w:rFonts w:ascii="Times New Roman" w:eastAsia="Times New Roman" w:hAnsi="Times New Roman" w:cs="Times New Roman"/>
          <w:lang w:val="uk-UA" w:eastAsia="uk-UA"/>
        </w:rPr>
      </w:pPr>
      <w:r>
        <w:rPr>
          <w:rFonts w:ascii="Times New Roman" w:eastAsia="Times New Roman" w:hAnsi="Times New Roman" w:cs="Times New Roman"/>
          <w:b/>
          <w:lang w:val="uk-UA" w:eastAsia="uk-UA"/>
        </w:rPr>
        <w:t>Третій платіж</w:t>
      </w:r>
      <w:r>
        <w:rPr>
          <w:rFonts w:ascii="Times New Roman" w:eastAsia="Times New Roman" w:hAnsi="Times New Roman" w:cs="Times New Roman"/>
          <w:lang w:val="uk-UA" w:eastAsia="uk-UA"/>
        </w:rPr>
        <w:t xml:space="preserve"> – до 16 (шістнадцятого) числа місяця поставки в обсязі 30% від вартості обсягу електричної енергії (з ПДВ), що постачається згідно Заяви на постачання електричної енергії відповідно до пп. 8) п. 6.2. Договору, з використанням </w:t>
      </w:r>
      <w:r>
        <w:rPr>
          <w:rFonts w:ascii="Times New Roman" w:hAnsi="Times New Roman"/>
          <w:lang w:val="uk-UA" w:eastAsia="uk-UA"/>
        </w:rPr>
        <w:t>Базового Тарифу</w:t>
      </w:r>
      <w:r>
        <w:rPr>
          <w:rFonts w:ascii="Times New Roman" w:eastAsia="Times New Roman" w:hAnsi="Times New Roman" w:cs="Times New Roman"/>
          <w:lang w:val="uk-UA" w:eastAsia="uk-UA"/>
        </w:rPr>
        <w:t>, визначеного відповідно до п. 1.1. цього Додатку.</w:t>
      </w:r>
    </w:p>
    <w:p w14:paraId="5E72ED2D" w14:textId="77777777" w:rsidR="0019654F" w:rsidRDefault="0019654F" w:rsidP="0019654F">
      <w:pPr>
        <w:pStyle w:val="a5"/>
        <w:autoSpaceDE w:val="0"/>
        <w:autoSpaceDN w:val="0"/>
        <w:ind w:left="0"/>
        <w:jc w:val="both"/>
        <w:rPr>
          <w:rFonts w:ascii="Times New Roman" w:hAnsi="Times New Roman"/>
          <w:sz w:val="10"/>
          <w:szCs w:val="10"/>
          <w:lang w:val="uk-UA" w:eastAsia="uk-UA"/>
        </w:rPr>
      </w:pPr>
    </w:p>
    <w:p w14:paraId="7A01AFE9" w14:textId="77777777" w:rsidR="0019654F" w:rsidRDefault="0019654F" w:rsidP="0019654F">
      <w:pPr>
        <w:autoSpaceDE w:val="0"/>
        <w:autoSpaceDN w:val="0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Споживач самостійно здійснює розрахунок розмірів вищезазначених платежів без надання </w:t>
      </w:r>
      <w:r>
        <w:rPr>
          <w:rFonts w:eastAsia="Calibri"/>
          <w:color w:val="000000"/>
          <w:sz w:val="22"/>
          <w:szCs w:val="22"/>
        </w:rPr>
        <w:t>Постачальником</w:t>
      </w:r>
      <w:r>
        <w:rPr>
          <w:sz w:val="22"/>
          <w:szCs w:val="22"/>
        </w:rPr>
        <w:t xml:space="preserve"> окремих відповідних рахунків.</w:t>
      </w:r>
    </w:p>
    <w:p w14:paraId="2DC6724F" w14:textId="77777777" w:rsidR="0019654F" w:rsidRDefault="0019654F" w:rsidP="0019654F">
      <w:pPr>
        <w:pStyle w:val="a5"/>
        <w:autoSpaceDE w:val="0"/>
        <w:autoSpaceDN w:val="0"/>
        <w:ind w:left="0"/>
        <w:jc w:val="both"/>
        <w:rPr>
          <w:rFonts w:ascii="Times New Roman" w:hAnsi="Times New Roman"/>
          <w:sz w:val="16"/>
          <w:szCs w:val="16"/>
          <w:lang w:val="uk-UA" w:eastAsia="uk-UA"/>
        </w:rPr>
      </w:pPr>
    </w:p>
    <w:p w14:paraId="311C137F" w14:textId="77777777" w:rsidR="0019654F" w:rsidRDefault="0019654F" w:rsidP="0019654F">
      <w:pPr>
        <w:pStyle w:val="a5"/>
        <w:autoSpaceDE w:val="0"/>
        <w:autoSpaceDN w:val="0"/>
        <w:ind w:left="0"/>
        <w:jc w:val="both"/>
        <w:rPr>
          <w:rFonts w:ascii="Times New Roman" w:hAnsi="Times New Roman"/>
          <w:sz w:val="22"/>
          <w:szCs w:val="22"/>
          <w:lang w:val="uk-UA" w:eastAsia="uk-UA"/>
        </w:rPr>
      </w:pPr>
      <w:r>
        <w:rPr>
          <w:rFonts w:ascii="Times New Roman" w:hAnsi="Times New Roman"/>
          <w:sz w:val="22"/>
          <w:szCs w:val="22"/>
          <w:lang w:val="uk-UA" w:eastAsia="uk-UA"/>
        </w:rPr>
        <w:t>2.2. Відповідно до п. 5.14. Договору Споживач здійснює оплату за збільшений обсяг електроенергії протягом 1 (одного) робочого дня з моменту надання Заявки з погодинними прогнозними обсягами споживання електричної енергії на відповідний календарний день відповідно до пп. 9) п. 6.2. Договору.</w:t>
      </w:r>
    </w:p>
    <w:p w14:paraId="1D24BDF7" w14:textId="77777777" w:rsidR="0019654F" w:rsidRDefault="0019654F" w:rsidP="0019654F">
      <w:pPr>
        <w:pStyle w:val="a5"/>
        <w:autoSpaceDE w:val="0"/>
        <w:autoSpaceDN w:val="0"/>
        <w:ind w:left="0"/>
        <w:jc w:val="both"/>
        <w:rPr>
          <w:rFonts w:ascii="Times New Roman" w:hAnsi="Times New Roman"/>
          <w:sz w:val="16"/>
          <w:szCs w:val="16"/>
          <w:lang w:val="uk-UA" w:eastAsia="uk-UA"/>
        </w:rPr>
      </w:pPr>
    </w:p>
    <w:p w14:paraId="25986381" w14:textId="77777777" w:rsidR="0019654F" w:rsidRDefault="0019654F" w:rsidP="0019654F">
      <w:pPr>
        <w:pStyle w:val="a5"/>
        <w:autoSpaceDE w:val="0"/>
        <w:autoSpaceDN w:val="0"/>
        <w:ind w:left="0"/>
        <w:jc w:val="both"/>
        <w:rPr>
          <w:rFonts w:ascii="Times New Roman" w:hAnsi="Times New Roman"/>
          <w:sz w:val="22"/>
          <w:szCs w:val="22"/>
          <w:lang w:val="uk-UA" w:eastAsia="uk-UA"/>
        </w:rPr>
      </w:pPr>
      <w:r>
        <w:rPr>
          <w:rFonts w:ascii="Times New Roman" w:hAnsi="Times New Roman"/>
          <w:sz w:val="22"/>
          <w:szCs w:val="22"/>
          <w:lang w:val="uk-UA" w:eastAsia="uk-UA"/>
        </w:rPr>
        <w:t>2.3. Остаточний платіж, по фактичному споживанню з використанням Фактичної ціни з урахуванням відмінності обсягів електричної енергії (п. 5.11. Договору), здійснюється протягом 3 (трьох) робочих днів з моменту направлення Постачальником Споживачу сканованої копії Акту постачання-прийняття електричної енергії відповідно до п. 5.12. Договору.</w:t>
      </w:r>
    </w:p>
    <w:p w14:paraId="622E1D3C" w14:textId="77777777" w:rsidR="0019654F" w:rsidRDefault="0019654F" w:rsidP="0019654F">
      <w:pPr>
        <w:autoSpaceDE w:val="0"/>
        <w:autoSpaceDN w:val="0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У випадку здійснення коригувань відповідно до п. 5.15. Договору, Споживач здійснює оплату суми, що вказана у доданому до Коригувального акта до Акта постачання-прийняття електричної енергії, протягом 3 (трьох) робочих днів з моменту направлення Постачальником Споживачу сканованої копії рахунку і Коригувального акта до Акта постачання-прийняття електричної енергії.</w:t>
      </w:r>
    </w:p>
    <w:p w14:paraId="1E246AAE" w14:textId="77777777" w:rsidR="0019654F" w:rsidRDefault="0019654F" w:rsidP="0019654F">
      <w:pPr>
        <w:pStyle w:val="a5"/>
        <w:autoSpaceDE w:val="0"/>
        <w:autoSpaceDN w:val="0"/>
        <w:ind w:left="0"/>
        <w:jc w:val="both"/>
        <w:rPr>
          <w:rFonts w:ascii="Times New Roman" w:hAnsi="Times New Roman"/>
          <w:sz w:val="16"/>
          <w:szCs w:val="16"/>
          <w:lang w:val="uk-UA" w:eastAsia="uk-UA"/>
        </w:rPr>
      </w:pPr>
    </w:p>
    <w:p w14:paraId="761D4D8E" w14:textId="77777777" w:rsidR="0019654F" w:rsidRDefault="0019654F" w:rsidP="0019654F">
      <w:pPr>
        <w:pStyle w:val="a5"/>
        <w:autoSpaceDE w:val="0"/>
        <w:autoSpaceDN w:val="0"/>
        <w:ind w:left="0"/>
        <w:jc w:val="both"/>
        <w:rPr>
          <w:rFonts w:ascii="Times New Roman" w:hAnsi="Times New Roman"/>
          <w:sz w:val="22"/>
          <w:szCs w:val="22"/>
          <w:lang w:val="uk-UA" w:eastAsia="uk-UA"/>
        </w:rPr>
      </w:pPr>
      <w:r>
        <w:rPr>
          <w:rFonts w:ascii="Times New Roman" w:hAnsi="Times New Roman"/>
          <w:sz w:val="22"/>
          <w:szCs w:val="22"/>
          <w:lang w:val="uk-UA" w:eastAsia="uk-UA"/>
        </w:rPr>
        <w:t>2.4. Якщо сума здійсненої Споживачем оплати перевищує вартість вказаної в Акті постачання-прийняття електричної енергії, надлишок перерахованих грошових коштів Постачальником зараховується як попередня оплата на наступний розрахунковий період або повертається Споживачу за його вимогою впродовж 5 (п’яти) банківських днів з дня надходження відповідної письмової вимоги Постачальнику.</w:t>
      </w:r>
    </w:p>
    <w:p w14:paraId="5D353134" w14:textId="77777777" w:rsidR="0019654F" w:rsidRDefault="0019654F" w:rsidP="0019654F">
      <w:pPr>
        <w:tabs>
          <w:tab w:val="left" w:pos="284"/>
        </w:tabs>
        <w:autoSpaceDE w:val="0"/>
        <w:autoSpaceDN w:val="0"/>
        <w:adjustRightInd w:val="0"/>
        <w:rPr>
          <w:rFonts w:eastAsia="Calibri"/>
          <w:b/>
          <w:color w:val="000000"/>
          <w:sz w:val="16"/>
          <w:szCs w:val="16"/>
        </w:rPr>
      </w:pPr>
    </w:p>
    <w:p w14:paraId="5CAD7207" w14:textId="77777777" w:rsidR="0019654F" w:rsidRDefault="0019654F" w:rsidP="0019654F">
      <w:pPr>
        <w:pStyle w:val="a5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ind w:left="0" w:firstLine="0"/>
        <w:jc w:val="both"/>
        <w:rPr>
          <w:rFonts w:ascii="Times New Roman" w:eastAsia="Calibri" w:hAnsi="Times New Roman"/>
          <w:b/>
          <w:color w:val="000000"/>
          <w:sz w:val="22"/>
          <w:szCs w:val="22"/>
          <w:lang w:val="uk-UA" w:eastAsia="uk-UA"/>
        </w:rPr>
      </w:pPr>
      <w:r>
        <w:rPr>
          <w:rFonts w:ascii="Times New Roman" w:eastAsia="Calibri" w:hAnsi="Times New Roman"/>
          <w:b/>
          <w:color w:val="000000"/>
          <w:sz w:val="22"/>
          <w:szCs w:val="22"/>
          <w:lang w:val="uk-UA" w:eastAsia="uk-UA"/>
        </w:rPr>
        <w:t xml:space="preserve">Оплата послуг з розподілу здійснюється наступним чином: </w:t>
      </w:r>
    </w:p>
    <w:p w14:paraId="04FC6418" w14:textId="77777777" w:rsidR="0019654F" w:rsidRDefault="0019654F" w:rsidP="0019654F">
      <w:pPr>
        <w:autoSpaceDE w:val="0"/>
        <w:autoSpaceDN w:val="0"/>
        <w:ind w:firstLine="284"/>
        <w:jc w:val="both"/>
        <w:rPr>
          <w:rFonts w:eastAsia="Calibri"/>
          <w:b/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>Споживач самостійно здійснює плату за послугу з розподілу (передачі) електричної енергії безпосередньо оператору системи розподілу</w:t>
      </w:r>
      <w:r>
        <w:rPr>
          <w:rFonts w:eastAsia="Calibri"/>
          <w:color w:val="000000"/>
          <w:sz w:val="22"/>
          <w:szCs w:val="22"/>
          <w:lang w:val="ru-RU"/>
        </w:rPr>
        <w:t xml:space="preserve"> </w:t>
      </w:r>
      <w:r>
        <w:rPr>
          <w:rFonts w:eastAsia="Calibri"/>
          <w:color w:val="000000"/>
          <w:sz w:val="22"/>
          <w:szCs w:val="22"/>
        </w:rPr>
        <w:t>(передачі).</w:t>
      </w:r>
    </w:p>
    <w:p w14:paraId="61988F42" w14:textId="77777777" w:rsidR="0019654F" w:rsidRDefault="0019654F" w:rsidP="0019654F">
      <w:pPr>
        <w:tabs>
          <w:tab w:val="left" w:pos="284"/>
        </w:tabs>
        <w:autoSpaceDE w:val="0"/>
        <w:autoSpaceDN w:val="0"/>
        <w:adjustRightInd w:val="0"/>
        <w:rPr>
          <w:rFonts w:eastAsia="Calibri"/>
          <w:b/>
          <w:color w:val="000000"/>
          <w:sz w:val="16"/>
          <w:szCs w:val="16"/>
        </w:rPr>
      </w:pPr>
    </w:p>
    <w:p w14:paraId="34BCCD11" w14:textId="77777777" w:rsidR="0019654F" w:rsidRDefault="0019654F" w:rsidP="0019654F">
      <w:pPr>
        <w:pStyle w:val="a5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ind w:left="0" w:firstLine="0"/>
        <w:jc w:val="both"/>
        <w:rPr>
          <w:rFonts w:ascii="Times New Roman" w:eastAsia="Calibri" w:hAnsi="Times New Roman"/>
          <w:b/>
          <w:color w:val="000000"/>
          <w:sz w:val="22"/>
          <w:szCs w:val="22"/>
          <w:lang w:val="uk-UA" w:eastAsia="uk-UA"/>
        </w:rPr>
      </w:pPr>
      <w:r>
        <w:rPr>
          <w:rFonts w:ascii="Times New Roman" w:eastAsia="Calibri" w:hAnsi="Times New Roman"/>
          <w:b/>
          <w:color w:val="000000"/>
          <w:sz w:val="22"/>
          <w:szCs w:val="22"/>
          <w:lang w:val="uk-UA" w:eastAsia="uk-UA"/>
        </w:rPr>
        <w:t>Розмір неустойки за порушення строку оплати:</w:t>
      </w:r>
    </w:p>
    <w:p w14:paraId="4A13C2D7" w14:textId="77777777" w:rsidR="0019654F" w:rsidRDefault="0019654F" w:rsidP="0019654F">
      <w:pPr>
        <w:autoSpaceDE w:val="0"/>
        <w:autoSpaceDN w:val="0"/>
        <w:ind w:firstLine="284"/>
        <w:jc w:val="both"/>
        <w:rPr>
          <w:rFonts w:eastAsia="Calibri"/>
          <w:b/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>У розмірі подвійної облікової ставки Національного банку України, що діяла в період, за який сплачується пеня, від суми несвоєчасно виконаного (не виконаного) грошового зобов’язання, за кожен день прострочення, без обмеження періоду її нарахування, до дати повної оплати.</w:t>
      </w:r>
    </w:p>
    <w:p w14:paraId="73269EC0" w14:textId="77777777" w:rsidR="0019654F" w:rsidRDefault="0019654F" w:rsidP="0019654F">
      <w:pPr>
        <w:tabs>
          <w:tab w:val="left" w:pos="284"/>
        </w:tabs>
        <w:autoSpaceDE w:val="0"/>
        <w:autoSpaceDN w:val="0"/>
        <w:adjustRightInd w:val="0"/>
        <w:rPr>
          <w:rFonts w:eastAsia="Calibri"/>
          <w:b/>
          <w:color w:val="000000"/>
          <w:sz w:val="16"/>
          <w:szCs w:val="16"/>
        </w:rPr>
      </w:pPr>
    </w:p>
    <w:p w14:paraId="2BA51420" w14:textId="77777777" w:rsidR="0019654F" w:rsidRDefault="0019654F" w:rsidP="0019654F">
      <w:pPr>
        <w:pStyle w:val="a5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ind w:left="0" w:firstLine="0"/>
        <w:jc w:val="both"/>
        <w:rPr>
          <w:rFonts w:ascii="Times New Roman" w:eastAsia="Calibri" w:hAnsi="Times New Roman"/>
          <w:b/>
          <w:color w:val="000000"/>
          <w:sz w:val="22"/>
          <w:szCs w:val="22"/>
          <w:lang w:val="uk-UA" w:eastAsia="uk-UA"/>
        </w:rPr>
      </w:pPr>
      <w:r>
        <w:rPr>
          <w:rFonts w:ascii="Times New Roman" w:eastAsia="Calibri" w:hAnsi="Times New Roman"/>
          <w:b/>
          <w:color w:val="000000"/>
          <w:sz w:val="22"/>
          <w:szCs w:val="22"/>
          <w:lang w:val="uk-UA" w:eastAsia="uk-UA"/>
        </w:rPr>
        <w:t>Розмір неустойки за порушення обсягів споживання:</w:t>
      </w:r>
    </w:p>
    <w:p w14:paraId="7701EA83" w14:textId="77777777" w:rsidR="0019654F" w:rsidRDefault="0019654F" w:rsidP="0019654F">
      <w:pPr>
        <w:autoSpaceDE w:val="0"/>
        <w:autoSpaceDN w:val="0"/>
        <w:ind w:firstLine="284"/>
        <w:jc w:val="both"/>
        <w:rPr>
          <w:rFonts w:eastAsia="Calibri"/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 xml:space="preserve">У </w:t>
      </w:r>
      <w:r>
        <w:rPr>
          <w:color w:val="000000"/>
          <w:sz w:val="22"/>
          <w:szCs w:val="22"/>
        </w:rPr>
        <w:t>розмірі</w:t>
      </w:r>
      <w:r>
        <w:rPr>
          <w:rFonts w:eastAsia="Calibri"/>
          <w:color w:val="000000"/>
          <w:sz w:val="22"/>
          <w:szCs w:val="22"/>
        </w:rPr>
        <w:t xml:space="preserve"> встановленому </w:t>
      </w:r>
      <w:r>
        <w:rPr>
          <w:rFonts w:eastAsia="Calibri"/>
          <w:color w:val="000000"/>
          <w:sz w:val="22"/>
          <w:szCs w:val="22"/>
          <w:lang w:val="ru-RU"/>
        </w:rPr>
        <w:t>у Договор</w:t>
      </w:r>
      <w:r>
        <w:rPr>
          <w:rFonts w:eastAsia="Calibri"/>
          <w:color w:val="000000"/>
          <w:sz w:val="22"/>
          <w:szCs w:val="22"/>
        </w:rPr>
        <w:t xml:space="preserve">і. </w:t>
      </w:r>
    </w:p>
    <w:p w14:paraId="1F8E8A18" w14:textId="77777777" w:rsidR="0019654F" w:rsidRDefault="0019654F" w:rsidP="0019654F">
      <w:pPr>
        <w:autoSpaceDE w:val="0"/>
        <w:autoSpaceDN w:val="0"/>
        <w:jc w:val="both"/>
        <w:rPr>
          <w:rFonts w:eastAsia="Calibri"/>
          <w:b/>
          <w:color w:val="000000"/>
          <w:sz w:val="16"/>
          <w:szCs w:val="16"/>
        </w:rPr>
      </w:pPr>
    </w:p>
    <w:p w14:paraId="3A5480C7" w14:textId="77777777" w:rsidR="0019654F" w:rsidRDefault="0019654F" w:rsidP="0019654F">
      <w:pPr>
        <w:pStyle w:val="a5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ind w:left="0" w:firstLine="0"/>
        <w:jc w:val="both"/>
        <w:rPr>
          <w:rFonts w:ascii="Times New Roman" w:eastAsia="Calibri" w:hAnsi="Times New Roman"/>
          <w:b/>
          <w:color w:val="000000"/>
          <w:sz w:val="22"/>
          <w:szCs w:val="22"/>
          <w:lang w:val="uk-UA" w:eastAsia="uk-UA"/>
        </w:rPr>
      </w:pPr>
      <w:r>
        <w:rPr>
          <w:rFonts w:ascii="Times New Roman" w:eastAsia="Calibri" w:hAnsi="Times New Roman"/>
          <w:b/>
          <w:color w:val="000000"/>
          <w:sz w:val="22"/>
          <w:szCs w:val="22"/>
          <w:lang w:val="uk-UA" w:eastAsia="uk-UA"/>
        </w:rPr>
        <w:t>Розмір компенсації Споживачу за недодержання Постачальником якості надання комерційних послуг:</w:t>
      </w:r>
    </w:p>
    <w:p w14:paraId="56DD25C3" w14:textId="77777777" w:rsidR="0019654F" w:rsidRDefault="0019654F" w:rsidP="0019654F">
      <w:pPr>
        <w:autoSpaceDE w:val="0"/>
        <w:autoSpaceDN w:val="0"/>
        <w:ind w:firstLine="284"/>
        <w:jc w:val="both"/>
        <w:rPr>
          <w:rFonts w:eastAsia="Calibri"/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 xml:space="preserve">У </w:t>
      </w:r>
      <w:r>
        <w:rPr>
          <w:color w:val="000000"/>
          <w:sz w:val="22"/>
          <w:szCs w:val="22"/>
        </w:rPr>
        <w:t>розмірі</w:t>
      </w:r>
      <w:r>
        <w:rPr>
          <w:rFonts w:eastAsia="Calibri"/>
          <w:color w:val="000000"/>
          <w:sz w:val="22"/>
          <w:szCs w:val="22"/>
        </w:rPr>
        <w:t xml:space="preserve"> встановленому Національною комісією, що здійснює державне регулювання у сферах енергетики та комунальних послуг (Регулятором).</w:t>
      </w:r>
    </w:p>
    <w:p w14:paraId="7CFE9103" w14:textId="77777777" w:rsidR="0019654F" w:rsidRDefault="0019654F" w:rsidP="0019654F">
      <w:pPr>
        <w:tabs>
          <w:tab w:val="left" w:pos="284"/>
        </w:tabs>
        <w:autoSpaceDE w:val="0"/>
        <w:autoSpaceDN w:val="0"/>
        <w:adjustRightInd w:val="0"/>
        <w:rPr>
          <w:rFonts w:eastAsia="Calibri"/>
          <w:b/>
          <w:color w:val="000000"/>
          <w:sz w:val="16"/>
          <w:szCs w:val="16"/>
        </w:rPr>
      </w:pPr>
    </w:p>
    <w:p w14:paraId="4D0E24DD" w14:textId="77777777" w:rsidR="0019654F" w:rsidRDefault="0019654F" w:rsidP="0019654F">
      <w:pPr>
        <w:pStyle w:val="a5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ind w:left="0" w:firstLine="0"/>
        <w:jc w:val="both"/>
        <w:rPr>
          <w:rFonts w:ascii="Times New Roman" w:eastAsia="Calibri" w:hAnsi="Times New Roman"/>
          <w:b/>
          <w:color w:val="000000"/>
          <w:sz w:val="22"/>
          <w:szCs w:val="22"/>
          <w:lang w:val="uk-UA" w:eastAsia="uk-UA"/>
        </w:rPr>
      </w:pPr>
      <w:r>
        <w:rPr>
          <w:rFonts w:ascii="Times New Roman" w:eastAsia="Calibri" w:hAnsi="Times New Roman"/>
          <w:b/>
          <w:color w:val="000000"/>
          <w:sz w:val="22"/>
          <w:szCs w:val="22"/>
          <w:lang w:val="uk-UA" w:eastAsia="uk-UA"/>
        </w:rPr>
        <w:t xml:space="preserve">Розмір штрафу за дострокове розірвання Споживачем Договору у випадках, не передбачених умовами </w:t>
      </w:r>
      <w:r>
        <w:rPr>
          <w:rFonts w:ascii="Times New Roman" w:eastAsia="Calibri" w:hAnsi="Times New Roman"/>
          <w:b/>
          <w:sz w:val="22"/>
          <w:szCs w:val="22"/>
          <w:lang w:val="uk-UA"/>
        </w:rPr>
        <w:t>Договору</w:t>
      </w:r>
      <w:r>
        <w:rPr>
          <w:rFonts w:ascii="Times New Roman" w:eastAsia="Calibri" w:hAnsi="Times New Roman"/>
          <w:b/>
          <w:color w:val="000000"/>
          <w:sz w:val="22"/>
          <w:szCs w:val="22"/>
          <w:lang w:val="uk-UA" w:eastAsia="uk-UA"/>
        </w:rPr>
        <w:t>,</w:t>
      </w:r>
      <w:r>
        <w:rPr>
          <w:sz w:val="22"/>
          <w:szCs w:val="22"/>
        </w:rPr>
        <w:t xml:space="preserve"> </w:t>
      </w:r>
      <w:r>
        <w:rPr>
          <w:rFonts w:ascii="Times New Roman" w:eastAsia="Calibri" w:hAnsi="Times New Roman"/>
          <w:b/>
          <w:color w:val="000000"/>
          <w:sz w:val="22"/>
          <w:szCs w:val="22"/>
          <w:lang w:val="uk-UA" w:eastAsia="uk-UA"/>
        </w:rPr>
        <w:t xml:space="preserve">а також за не повідомлення (повідомлення з порушенням строків) Постачальника про дострокове припинення (розірвання) договору Споживачем: </w:t>
      </w:r>
    </w:p>
    <w:p w14:paraId="32A90708" w14:textId="77777777" w:rsidR="0019654F" w:rsidRDefault="0019654F" w:rsidP="0019654F">
      <w:pPr>
        <w:autoSpaceDE w:val="0"/>
        <w:autoSpaceDN w:val="0"/>
        <w:ind w:firstLine="284"/>
        <w:jc w:val="both"/>
        <w:rPr>
          <w:rFonts w:eastAsia="Calibri"/>
          <w:b/>
          <w:color w:val="000000"/>
          <w:sz w:val="22"/>
          <w:szCs w:val="22"/>
          <w:lang w:val="en-US"/>
        </w:rPr>
      </w:pPr>
      <w:r>
        <w:rPr>
          <w:rFonts w:eastAsia="Calibri"/>
          <w:color w:val="000000"/>
          <w:sz w:val="22"/>
          <w:szCs w:val="22"/>
          <w:lang w:val="ru-RU"/>
        </w:rPr>
        <w:t xml:space="preserve">Не </w:t>
      </w:r>
      <w:r>
        <w:rPr>
          <w:rFonts w:eastAsia="Calibri"/>
          <w:color w:val="000000"/>
          <w:sz w:val="22"/>
          <w:szCs w:val="22"/>
        </w:rPr>
        <w:t>встановлено.</w:t>
      </w:r>
      <w:r>
        <w:rPr>
          <w:rFonts w:eastAsia="Calibri"/>
          <w:color w:val="000000"/>
          <w:sz w:val="22"/>
          <w:szCs w:val="22"/>
          <w:lang w:val="en-US"/>
        </w:rPr>
        <w:t xml:space="preserve"> </w:t>
      </w:r>
    </w:p>
    <w:p w14:paraId="197F8218" w14:textId="77777777" w:rsidR="0019654F" w:rsidRDefault="0019654F" w:rsidP="0019654F">
      <w:pPr>
        <w:autoSpaceDE w:val="0"/>
        <w:autoSpaceDN w:val="0"/>
        <w:adjustRightInd w:val="0"/>
        <w:rPr>
          <w:rFonts w:eastAsia="Calibri"/>
          <w:color w:val="000000"/>
          <w:sz w:val="16"/>
          <w:szCs w:val="16"/>
        </w:rPr>
      </w:pPr>
    </w:p>
    <w:p w14:paraId="4BAE916F" w14:textId="77777777" w:rsidR="0019654F" w:rsidRDefault="0019654F" w:rsidP="0019654F">
      <w:pPr>
        <w:pStyle w:val="a5"/>
        <w:widowControl w:val="0"/>
        <w:snapToGrid w:val="0"/>
        <w:spacing w:after="120"/>
        <w:ind w:left="0"/>
        <w:jc w:val="both"/>
        <w:rPr>
          <w:rFonts w:ascii="Times New Roman" w:eastAsia="Calibri" w:hAnsi="Times New Roman"/>
          <w:i/>
          <w:color w:val="000000"/>
          <w:sz w:val="22"/>
          <w:szCs w:val="22"/>
          <w:lang w:val="uk-UA" w:eastAsia="uk-UA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675"/>
        <w:gridCol w:w="2619"/>
        <w:gridCol w:w="3061"/>
      </w:tblGrid>
      <w:tr w:rsidR="0019654F" w14:paraId="134C43E0" w14:textId="77777777" w:rsidTr="0019654F">
        <w:trPr>
          <w:jc w:val="center"/>
        </w:trPr>
        <w:tc>
          <w:tcPr>
            <w:tcW w:w="1964" w:type="pct"/>
            <w:hideMark/>
          </w:tcPr>
          <w:p w14:paraId="030E2A71" w14:textId="77777777" w:rsidR="0019654F" w:rsidRDefault="0019654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eastAsia="Calibri"/>
                <w:b/>
                <w:i/>
                <w:sz w:val="22"/>
                <w:szCs w:val="22"/>
                <w:lang w:val="ru-RU" w:eastAsia="en-US"/>
              </w:rPr>
            </w:pPr>
            <w:r>
              <w:rPr>
                <w:rFonts w:eastAsia="Calibri"/>
                <w:b/>
                <w:i/>
                <w:sz w:val="22"/>
                <w:szCs w:val="22"/>
                <w:lang w:val="ru-RU" w:eastAsia="en-US"/>
              </w:rPr>
              <w:t>Уповноважена особа Споживача</w:t>
            </w:r>
          </w:p>
        </w:tc>
        <w:tc>
          <w:tcPr>
            <w:tcW w:w="1400" w:type="pct"/>
            <w:hideMark/>
          </w:tcPr>
          <w:p w14:paraId="517EDFBB" w14:textId="77777777" w:rsidR="0019654F" w:rsidRDefault="0019654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eastAsia="Calibri"/>
                <w:b/>
                <w:i/>
                <w:sz w:val="22"/>
                <w:szCs w:val="22"/>
                <w:lang w:val="ru-RU" w:eastAsia="en-US"/>
              </w:rPr>
            </w:pPr>
            <w:r>
              <w:rPr>
                <w:rFonts w:eastAsia="Calibri"/>
                <w:b/>
                <w:i/>
                <w:sz w:val="22"/>
                <w:szCs w:val="22"/>
                <w:lang w:val="ru-RU" w:eastAsia="en-US"/>
              </w:rPr>
              <w:t>Підпис</w:t>
            </w:r>
          </w:p>
        </w:tc>
        <w:tc>
          <w:tcPr>
            <w:tcW w:w="1637" w:type="pct"/>
            <w:hideMark/>
          </w:tcPr>
          <w:p w14:paraId="0B59E8FF" w14:textId="77777777" w:rsidR="0019654F" w:rsidRDefault="0019654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eastAsia="Calibri"/>
                <w:b/>
                <w:i/>
                <w:sz w:val="22"/>
                <w:szCs w:val="22"/>
                <w:lang w:val="ru-RU" w:eastAsia="en-US"/>
              </w:rPr>
            </w:pPr>
            <w:r>
              <w:rPr>
                <w:rFonts w:eastAsia="Calibri"/>
                <w:b/>
                <w:i/>
                <w:sz w:val="22"/>
                <w:szCs w:val="22"/>
                <w:lang w:val="ru-RU" w:eastAsia="en-US"/>
              </w:rPr>
              <w:t>Дата</w:t>
            </w:r>
          </w:p>
        </w:tc>
      </w:tr>
    </w:tbl>
    <w:p w14:paraId="6FD4958E" w14:textId="77777777" w:rsidR="0019654F" w:rsidRDefault="0019654F" w:rsidP="0019654F">
      <w:pPr>
        <w:rPr>
          <w:rFonts w:eastAsia="Calibri"/>
          <w:b/>
          <w:i/>
          <w:sz w:val="22"/>
          <w:szCs w:val="22"/>
        </w:rPr>
      </w:pPr>
    </w:p>
    <w:p w14:paraId="44DBCBD0" w14:textId="77777777" w:rsidR="0074373E" w:rsidRDefault="0074373E"/>
    <w:sectPr w:rsidR="00743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22B29"/>
    <w:multiLevelType w:val="hybridMultilevel"/>
    <w:tmpl w:val="23C80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17B2D"/>
    <w:multiLevelType w:val="hybridMultilevel"/>
    <w:tmpl w:val="1B0AA5FE"/>
    <w:lvl w:ilvl="0" w:tplc="97E2203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4F"/>
    <w:rsid w:val="0019654F"/>
    <w:rsid w:val="0074373E"/>
    <w:rsid w:val="008C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8D35A"/>
  <w15:chartTrackingRefBased/>
  <w15:docId w15:val="{688E0B0E-192C-4809-BA95-7D5F7860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19654F"/>
    <w:rPr>
      <w:rFonts w:ascii="Calibri" w:eastAsiaTheme="minorHAnsi" w:hAnsi="Calibri" w:cs="Calibri"/>
      <w:sz w:val="22"/>
      <w:szCs w:val="22"/>
      <w:lang w:val="ru-RU" w:eastAsia="en-US"/>
    </w:rPr>
  </w:style>
  <w:style w:type="character" w:customStyle="1" w:styleId="a4">
    <w:name w:val="Текст Знак"/>
    <w:basedOn w:val="a0"/>
    <w:link w:val="a3"/>
    <w:uiPriority w:val="99"/>
    <w:semiHidden/>
    <w:rsid w:val="0019654F"/>
    <w:rPr>
      <w:rFonts w:ascii="Calibri" w:hAnsi="Calibri" w:cs="Calibri"/>
      <w:lang w:val="ru-RU"/>
    </w:rPr>
  </w:style>
  <w:style w:type="paragraph" w:styleId="a5">
    <w:name w:val="List Paragraph"/>
    <w:basedOn w:val="a"/>
    <w:uiPriority w:val="34"/>
    <w:qFormat/>
    <w:rsid w:val="0019654F"/>
    <w:pPr>
      <w:ind w:left="720"/>
      <w:contextualSpacing/>
    </w:pPr>
    <w:rPr>
      <w:rFonts w:ascii="Calibri" w:hAnsi="Calibri"/>
      <w:lang w:val="ru-RU" w:eastAsia="en-US"/>
    </w:rPr>
  </w:style>
  <w:style w:type="character" w:styleId="a6">
    <w:name w:val="Hyperlink"/>
    <w:basedOn w:val="a0"/>
    <w:uiPriority w:val="99"/>
    <w:semiHidden/>
    <w:unhideWhenUsed/>
    <w:rsid w:val="001965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erc.gov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4196</Words>
  <Characters>2392</Characters>
  <Application>Microsoft Office Word</Application>
  <DocSecurity>0</DocSecurity>
  <Lines>19</Lines>
  <Paragraphs>13</Paragraphs>
  <ScaleCrop>false</ScaleCrop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Вікторія Дудченко</dc:creator>
  <cp:keywords/>
  <dc:description/>
  <cp:lastModifiedBy>Вікторія Дудченко</cp:lastModifiedBy>
  <cp:revision>3</cp:revision>
  <dcterms:created xsi:type="dcterms:W3CDTF">2022-10-03T19:56:00Z</dcterms:created>
  <dcterms:modified xsi:type="dcterms:W3CDTF">2022-10-19T16:56:00Z</dcterms:modified>
</cp:coreProperties>
</file>