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Pr>
        <w:pStyle w:val="Title"/>
        <w:jc w:val="center"/>
      </w:pPr>
      <w:r>
        <w:t>TravelMate Software Project Management Plan</w:t>
      </w:r>
    </w:p>
    <w:p>
      <w:pPr>
        <w:spacing w:after="200"/>
        <w:jc w:val="center"/>
      </w:pPr>
      <w:r>
        <w:t>TRAVELMATE</w:t>
      </w:r>
    </w:p>
    <w:p>
      <w:pPr>
        <w:spacing w:after="200"/>
        <w:jc w:val="center"/>
      </w:pPr>
      <w:r>
        <w:t>Cordova Public College</w:t>
      </w:r>
    </w:p>
    <w:p>
      <w:pPr>
        <w:spacing w:after="200"/>
        <w:jc w:val="center"/>
      </w:pPr>
      <w:r>
        <w:t>College of Computer Studies</w:t>
      </w:r>
    </w:p>
    <w:p>
      <w:pPr>
        <w:spacing w:after="200"/>
        <w:jc w:val="center"/>
      </w:pPr>
      <w:r>
        <w:t>Cordova, Cebu, Philippines</w:t>
      </w:r>
    </w:p>
    <w:p>
      <w:pPr>
        <w:spacing w:after="200"/>
        <w:jc w:val="center"/>
      </w:pPr>
      <w:r>
        <w:t>Bachelor of Science in Information Technology</w:t>
      </w:r>
    </w:p>
    <w:p>
      <w:pPr>
        <w:spacing w:after="200"/>
        <w:jc w:val="center"/>
      </w:pPr>
      <w:r>
        <w:t>Final proponents [TO BE CONFIRMED]</w:t>
      </w:r>
    </w:p>
    <w:p>
      <w:pPr>
        <w:spacing w:after="200"/>
        <w:jc w:val="center"/>
      </w:pPr>
      <w:r>
        <w:t>Academic year [TO BE CONFIRMED]</w:t>
      </w:r>
    </w:p>
    <w:p>
      <w:pPr>
        <w:spacing w:after="200"/>
        <w:jc w:val="center"/>
      </w:pPr>
      <w:r>
        <w:t>Submission date [TO BE CONFIRMED]</w:t>
      </w:r>
    </w:p>
    <w:p>
      <w:pPr>
        <w:spacing w:after="200"/>
        <w:jc w:val="center"/>
      </w:pPr>
      <w:r>
        <w:t>Documentation baseline 15 October 2026 | Version 2.0</w:t>
      </w:r>
    </w:p>
    <w:p>
      <w:r>
        <w:br w:type="page"/>
      </w:r>
    </w:p>
    <w:p>
      <w:pPr>
        <w:pStyle w:val="Heading1"/>
      </w:pPr>
      <w:r>
        <w:t>Document control and reading guide</w:t>
      </w:r>
    </w:p>
    <w:p>
      <w:pPr>
        <w:keepNext w:val="0"/>
        <w:widowControl/>
        <w:jc w:val="both"/>
      </w:pPr>
      <w:r>
        <w:rPr>
          <w:rFonts w:ascii="Arial" w:hAnsi="Arial"/>
          <w:b w:val="0"/>
          <w:color w:val="000000"/>
        </w:rPr>
        <w:t>Prepared for the TravelMate team, adviser and panel. This is a source-reconciled review baseline, not a signed acceptance record. Original project documents remain untouched. Supported facts are retained and unconfirmed administrative details are labeled.</w:t>
      </w:r>
    </w:p>
    <w:p>
      <w:pPr>
        <w:pStyle w:val="Caption"/>
        <w:keepNext/>
      </w:pPr>
      <w:r>
        <w:t>Document control</w:t>
      </w:r>
    </w:p>
    <w:tbl>
      <w:tblPr>
        <w:tblW w:type="auto" w:w="0"/>
        <w:jc w:val="center"/>
        <w:tblLayout w:type="fixed"/>
        <w:tblLook w:firstColumn="1" w:firstRow="1" w:lastColumn="0" w:lastRow="0" w:noHBand="0" w:noVBand="1" w:val="04A0"/>
      </w:tblPr>
      <w:tblGrid>
        <w:gridCol w:w="864"/>
        <w:gridCol w:w="1800"/>
        <w:gridCol w:w="5976"/>
      </w:tblGrid>
      <w:tr>
        <w:trPr>
          <w:tblHeader/>
        </w:trPr>
        <w:tc>
          <w:tcPr>
            <w:tcW w:type="dxa" w:w="8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Version</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Date</w:t>
            </w:r>
          </w:p>
        </w:tc>
        <w:tc>
          <w:tcPr>
            <w:tcW w:type="dxa" w:w="59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Change and approval</w:t>
            </w:r>
          </w:p>
        </w:tc>
      </w:tr>
      <w:tr>
        <w:tc>
          <w:tcPr>
            <w:tcW w:type="dxa" w:w="8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2.0</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15 October 2026</w:t>
            </w:r>
          </w:p>
        </w:tc>
        <w:tc>
          <w:tcPr>
            <w:tcW w:type="dxa" w:w="59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Current-system reconciliation and completed documentation package; reviewer approval pending.</w:t>
            </w:r>
          </w:p>
        </w:tc>
      </w:tr>
    </w:tbl>
    <w:p>
      <w:pPr>
        <w:spacing w:after="20"/>
      </w:pPr>
    </w:p>
    <w:p>
      <w:pPr>
        <w:keepNext w:val="0"/>
        <w:widowControl/>
        <w:jc w:val="both"/>
      </w:pPr>
      <w:r>
        <w:rPr>
          <w:rFonts w:ascii="Arial" w:hAnsi="Arial"/>
          <w:b w:val="0"/>
          <w:color w:val="000000"/>
        </w:rPr>
        <w:t>Word field and rendering notice: the packaged renderer could not run because soffice.exe was unavailable. The editable text, tables, fields and package structure are checked, but Word pagination is not visually certified. Update all fields and contents/list fields in Word, then inspect every page before submission. The companion PDF is independently typeset from the same content and has its own verified page references.</w:t>
      </w:r>
    </w:p>
    <w:p>
      <w:pPr>
        <w:keepNext w:val="0"/>
        <w:widowControl/>
        <w:jc w:val="both"/>
      </w:pPr>
      <w:r>
        <w:rPr>
          <w:rFonts w:ascii="Arial" w:hAnsi="Arial"/>
          <w:b w:val="0"/>
          <w:color w:val="000000"/>
        </w:rPr>
        <w:t>Evidence key: [1] frontend, [2] backend, [3] old SRS, [4] old SPMP, [5] format reference, [6] current documentation tests/screenshots, [7] historical reports. Requirements, features and cases use TM-FR/TM-NFR, TM-F and TM-TC/TM-XT/TM-QT IDs consistently.</w:t>
      </w:r>
    </w:p>
    <w:p>
      <w:pPr>
        <w:pStyle w:val="Heading1"/>
      </w:pPr>
      <w:r>
        <w:t>Review and signature record</w:t>
      </w:r>
    </w:p>
    <w:p>
      <w:pPr>
        <w:keepNext w:val="0"/>
        <w:widowControl/>
        <w:jc w:val="both"/>
      </w:pPr>
      <w:r>
        <w:rPr>
          <w:rFonts w:ascii="Arial" w:hAnsi="Arial"/>
          <w:b w:val="0"/>
          <w:color w:val="000000"/>
        </w:rPr>
        <w:t>This standalone document accompanies the version 2.0 manuscript. It is prepared for review; no approval or signature is asserted. Use the manuscript appendices and supporting registers for complete cross-document traceability.</w:t>
      </w:r>
    </w:p>
    <w:p>
      <w:pPr>
        <w:pStyle w:val="Caption"/>
        <w:keepNext/>
      </w:pPr>
      <w:r>
        <w:t>Review fields</w:t>
      </w:r>
    </w:p>
    <w:tbl>
      <w:tblPr>
        <w:tblW w:type="auto" w:w="0"/>
        <w:jc w:val="center"/>
        <w:tblLayout w:type="fixed"/>
        <w:tblLook w:firstColumn="1" w:firstRow="1" w:lastColumn="0" w:lastRow="0" w:noHBand="0" w:noVBand="1" w:val="04A0"/>
      </w:tblPr>
      <w:tblGrid>
        <w:gridCol w:w="2880"/>
        <w:gridCol w:w="2880"/>
        <w:gridCol w:w="2880"/>
      </w:tblGrid>
      <w:tr>
        <w:trPr>
          <w:tblHeader/>
        </w:trP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Capacity</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Name</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Signature and date</w:t>
            </w:r>
          </w:p>
        </w:tc>
      </w:tr>
      <w:t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Prepared by final team</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[NOT SIGNED]</w:t>
            </w:r>
          </w:p>
        </w:tc>
      </w:tr>
      <w:t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Reviewed by adviser</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[NOT SIGNED]</w:t>
            </w:r>
          </w:p>
        </w:tc>
      </w:tr>
      <w:t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Accepted by authorized panel</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[NOT SIGNED]</w:t>
            </w:r>
          </w:p>
        </w:tc>
      </w:tr>
    </w:tbl>
    <w:p>
      <w:pPr>
        <w:spacing w:after="20"/>
      </w:pPr>
    </w:p>
    <w:p>
      <w:r>
        <w:br w:type="page"/>
      </w:r>
    </w:p>
    <w:p>
      <w:pPr>
        <w:pStyle w:val="Heading1"/>
      </w:pPr>
      <w:r>
        <w:t>Table of contents</w:t>
      </w:r>
    </w:p>
    <w:p>
      <w:r>
        <w:fldChar w:fldCharType="begin"/>
        <w:instrText xml:space="preserve"> TOC \o "1-2" \h \z \u </w:instrText>
        <w:fldChar w:fldCharType="separate"/>
        <w:t>Software Project Management Plan</w:t>
        <w:br/>
        <w:t>SPMP 1 Overview</w:t>
        <w:br/>
        <w:t>SPMP 2 References</w:t>
        <w:br/>
        <w:t>SPMP 3 Definitions</w:t>
        <w:br/>
        <w:t>SPMP 4 Project organization</w:t>
        <w:br/>
        <w:t>SPMP 5 Managerial process</w:t>
        <w:br/>
        <w:t>SPMP 6 Technical process</w:t>
        <w:br/>
        <w:t>SPMP 7 Supporting process</w:t>
        <w:br/>
        <w:t>SPMP 8 Additional plans</w:t>
        <w:br/>
        <w:t>References</w:t>
        <w:br/>
        <w:t>[Refresh Word fields to calculate page references.]</w:t>
        <w:fldChar w:fldCharType="end"/>
      </w:r>
    </w:p>
    <w:p>
      <w:pPr>
        <w:pStyle w:val="Heading1"/>
      </w:pPr>
      <w:r>
        <w:t>List of figures</w:t>
      </w:r>
    </w:p>
    <w:p>
      <w:r>
        <w:fldChar w:fldCharType="begin"/>
        <w:instrText xml:space="preserve"> TOC \c "Figure" \h \z </w:instrText>
        <w:fldChar w:fldCharType="separate"/>
        <w:t>No figures in this standalone document.</w:t>
        <w:fldChar w:fldCharType="end"/>
      </w:r>
    </w:p>
    <w:p>
      <w:pPr>
        <w:pStyle w:val="Heading1"/>
      </w:pPr>
      <w:r>
        <w:t>List of tables</w:t>
      </w:r>
    </w:p>
    <w:p>
      <w:r>
        <w:fldChar w:fldCharType="begin"/>
        <w:instrText xml:space="preserve"> TOC \c "Table" \h \z </w:instrText>
        <w:fldChar w:fldCharType="separate"/>
        <w:t>Table 1 Management baseline and deliverables</w:t>
        <w:br/>
        <w:t>Table 2 Management and engineering terms</w:t>
        <w:br/>
        <w:t>Table 3 Proposed responsibility allocation requiring confirmation</w:t>
        <w:br/>
        <w:t>Table 4 Work breakdown and remaining acceptance work</w:t>
        <w:br/>
        <w:t>Table 5 Proposed schedule control without invented dates</w:t>
        <w:br/>
        <w:t>Table 6 Budget and resource confirmation form</w:t>
        <w:br/>
        <w:t>Table 7 Risk register and proposed responses</w:t>
        <w:br/>
        <w:t>[Refresh Word fields to calculate page references.]</w:t>
        <w:fldChar w:fldCharType="end"/>
      </w:r>
    </w:p>
    <w:p>
      <w:r>
        <w:br w:type="page"/>
      </w:r>
    </w:p>
    <w:p>
      <w:pPr>
        <w:pStyle w:val="Heading1"/>
      </w:pPr>
      <w:r>
        <w:t>Software Project Management Plan</w:t>
      </w:r>
    </w:p>
    <w:p>
      <w:pPr>
        <w:keepNext w:val="0"/>
        <w:widowControl/>
        <w:jc w:val="both"/>
      </w:pPr>
      <w:r>
        <w:rPr>
          <w:rFonts w:ascii="Arial" w:hAnsi="Arial"/>
          <w:b w:val="0"/>
          <w:color w:val="000000"/>
        </w:rPr>
        <w:t>Version 2.0 documentation reconciliation. Prepared for the TravelMate project team, adviser and capstone panel. This plan records supported project context and provides an explicitly proposed management baseline for remaining verification and maintenance. It does not reconstruct undocumented meetings, costs or completed milestones.</w:t>
      </w:r>
    </w:p>
    <w:p>
      <w:pPr>
        <w:pStyle w:val="Heading2"/>
      </w:pPr>
      <w:r>
        <w:t>SPMP 1 Overview</w:t>
      </w:r>
    </w:p>
    <w:p>
      <w:pPr>
        <w:keepNext w:val="0"/>
        <w:widowControl/>
        <w:jc w:val="both"/>
      </w:pPr>
      <w:r>
        <w:rPr>
          <w:rFonts w:ascii="Arial" w:hAnsi="Arial"/>
          <w:b w:val="0"/>
          <w:color w:val="000000"/>
        </w:rPr>
        <w:t>TravelMate is a travel planning system that helps a traveler identify a destination, describe a trip and budget, obtain a source-grounded itinerary, and manage saved activities. The current implementation combines an interactive public discovery globe, authenticated traveler workspace and administrator workspace. It provides planning guidance rather than commercial reservations, payment processing or live crowd surveillance. [1][2]</w:t>
      </w:r>
    </w:p>
    <w:p>
      <w:pPr>
        <w:keepNext w:val="0"/>
        <w:widowControl/>
        <w:jc w:val="both"/>
      </w:pPr>
      <w:r>
        <w:rPr>
          <w:rFonts w:ascii="Arial" w:hAnsi="Arial"/>
          <w:b w:val="0"/>
          <w:color w:val="000000"/>
        </w:rPr>
        <w:t>The institutional context retained from the supplied TravelMate documents is Cordova Public College, College of Computer Studies, Cordova, Cebu, Philippines, and the Bachelor of Science in Information Technology. The final roster, approved academic year, adviser and panel membership, submission date, and signatures remain [TO BE CONFIRMED]. The old title’s Cebu qualifier is treated as historical context because current destination search is worldwide. [3][4]</w:t>
      </w:r>
    </w:p>
    <w:p>
      <w:pPr>
        <w:keepNext w:val="0"/>
        <w:widowControl/>
        <w:jc w:val="both"/>
      </w:pPr>
      <w:r>
        <w:rPr>
          <w:rFonts w:ascii="Arial" w:hAnsi="Arial"/>
          <w:b w:val="0"/>
          <w:color w:val="000000"/>
        </w:rPr>
        <w:t>This revision documents the inspected working files on 15 October 2026. “Complete” in the inventory means a code path was located across its applicable layers; it does not mean end-to-end acceptance passed. Static inspection, historical reports, current isolated tests and unexecuted acceptance procedures have separate evidence records. [1][2][6][7]</w:t>
      </w:r>
    </w:p>
    <w:p>
      <w:pPr>
        <w:pStyle w:val="Caption"/>
        <w:keepNext/>
      </w:pPr>
      <w:r>
        <w:t xml:space="preserve">Table </w:t>
      </w:r>
      <w:r>
        <w:fldChar w:fldCharType="begin"/>
        <w:instrText xml:space="preserve"> SEQ Table \* ARABIC </w:instrText>
        <w:fldChar w:fldCharType="separate"/>
        <w:t>1</w:t>
        <w:fldChar w:fldCharType="end"/>
      </w:r>
      <w:r>
        <w:t xml:space="preserve"> Management baseline and deliverables</w:t>
      </w:r>
    </w:p>
    <w:tbl>
      <w:tblPr>
        <w:tblW w:type="auto" w:w="0"/>
        <w:jc w:val="center"/>
        <w:tblLayout w:type="fixed"/>
        <w:tblLook w:firstColumn="1" w:firstRow="1" w:lastColumn="0" w:lastRow="0" w:noHBand="0" w:noVBand="1" w:val="04A0"/>
      </w:tblPr>
      <w:tblGrid>
        <w:gridCol w:w="1440"/>
        <w:gridCol w:w="4032"/>
        <w:gridCol w:w="3168"/>
      </w:tblGrid>
      <w:tr>
        <w:trPr>
          <w:tblHeader/>
        </w:trPr>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Item</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Supported position</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Required action</w:t>
            </w:r>
          </w:p>
        </w:tc>
      </w:tr>
      <w:tr>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Scope</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Guest discovery; traveler planning, saved trips, maps, visits and feedback; administrator monitoring/moderation.</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Approve the reconciled SRS; explicitly exclude marketplace/payments.</w:t>
            </w:r>
          </w:p>
        </w:tc>
      </w:tr>
      <w:tr>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Delivery set</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Manuscript; SPMP; SRS; SDD; STD; manual; inventory; RTM; diagram sources; evidence/limitations.</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Review as one versioned package.</w:t>
            </w:r>
          </w:p>
        </w:tc>
      </w:tr>
      <w:tr>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Acceptance</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Source inspection and isolated regression available; manual system, UAT and deployment acceptance pending.</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Execute STD with disposable fixtures, then authorized staging checks.</w:t>
            </w:r>
          </w:p>
        </w:tc>
      </w:tr>
      <w:tr>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Constraints</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Existing data, source code and original documents remained read-only in this task.</w:t>
            </w:r>
          </w:p>
        </w:tc>
        <w:tc>
          <w:tcPr>
            <w:tcW w:type="dxa" w:w="316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Keep corrections as separately approved development changes.</w:t>
            </w:r>
          </w:p>
        </w:tc>
      </w:tr>
    </w:tbl>
    <w:p>
      <w:pPr>
        <w:spacing w:after="20"/>
      </w:pPr>
    </w:p>
    <w:p>
      <w:pPr>
        <w:pStyle w:val="Heading2"/>
      </w:pPr>
      <w:r>
        <w:t>SPMP 2 References</w:t>
      </w:r>
    </w:p>
    <w:p>
      <w:pPr>
        <w:keepNext w:val="0"/>
        <w:widowControl/>
        <w:jc w:val="both"/>
      </w:pPr>
      <w:r>
        <w:rPr>
          <w:rFonts w:ascii="Arial" w:hAnsi="Arial"/>
          <w:b w:val="0"/>
          <w:color w:val="000000"/>
        </w:rPr>
        <w:t>The consolidated References section identifies the current frontend and backend snapshots [1][2], old TravelMate SRS [3], old SPMP [4], supplied formatting reference [5], task test evidence [6], and dated engineering reports [7]. These sources have different authority: current code defines implementation; approved requirements would define intended acceptance; archived proposals do not prove historical execution.</w:t>
      </w:r>
    </w:p>
    <w:p>
      <w:pPr>
        <w:pStyle w:val="Heading2"/>
      </w:pPr>
      <w:r>
        <w:t>SPMP 3 Definitions</w:t>
      </w:r>
    </w:p>
    <w:p>
      <w:pPr>
        <w:pStyle w:val="Caption"/>
        <w:keepNext/>
      </w:pPr>
      <w:r>
        <w:t xml:space="preserve">Table </w:t>
      </w:r>
      <w:r>
        <w:fldChar w:fldCharType="begin"/>
        <w:instrText xml:space="preserve"> SEQ Table \* ARABIC </w:instrText>
        <w:fldChar w:fldCharType="separate"/>
        <w:t>2</w:t>
        <w:fldChar w:fldCharType="end"/>
      </w:r>
      <w:r>
        <w:t xml:space="preserve"> Management and engineering terms</w:t>
      </w:r>
    </w:p>
    <w:tbl>
      <w:tblPr>
        <w:tblW w:type="auto" w:w="0"/>
        <w:jc w:val="center"/>
        <w:tblLayout w:type="fixed"/>
        <w:tblLook w:firstColumn="1" w:firstRow="1" w:lastColumn="0" w:lastRow="0" w:noHBand="0" w:noVBand="1" w:val="04A0"/>
      </w:tblPr>
      <w:tblGrid>
        <w:gridCol w:w="1656"/>
        <w:gridCol w:w="6984"/>
      </w:tblGrid>
      <w:tr>
        <w:trPr>
          <w:tblHeader/>
        </w:trPr>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Term</w:t>
            </w:r>
          </w:p>
        </w:tc>
        <w:tc>
          <w:tcPr>
            <w:tcW w:type="dxa" w:w="6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Meaning</w:t>
            </w:r>
          </w:p>
        </w:tc>
      </w:tr>
      <w:tr>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Requirement</w:t>
            </w:r>
          </w:p>
        </w:tc>
        <w:tc>
          <w:tcPr>
            <w:tcW w:type="dxa" w:w="6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An identified intended behavior or quality condition; an implementation defect does not become a requirement.</w:t>
            </w:r>
          </w:p>
        </w:tc>
      </w:tr>
      <w:tr>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Grounding</w:t>
            </w:r>
          </w:p>
        </w:tc>
        <w:tc>
          <w:tcPr>
            <w:tcW w:type="dxa" w:w="6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Binding a venue to source-supported identity, geographic context and provenance before scheduling.</w:t>
            </w:r>
          </w:p>
        </w:tc>
      </w:tr>
      <w:tr>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Estimate</w:t>
            </w:r>
          </w:p>
        </w:tc>
        <w:tc>
          <w:tcPr>
            <w:tcW w:type="dxa" w:w="6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 supplied assumption or reference amount, not an offer, booking or guaranteed current price.</w:t>
            </w:r>
          </w:p>
        </w:tc>
      </w:tr>
      <w:tr>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Version</w:t>
            </w:r>
          </w:p>
        </w:tc>
        <w:tc>
          <w:tcPr>
            <w:tcW w:type="dxa" w:w="6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 persisted itinerary snapshot and its restorable request envelope.</w:t>
            </w:r>
          </w:p>
        </w:tc>
      </w:tr>
      <w:tr>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Verification</w:t>
            </w:r>
          </w:p>
        </w:tc>
        <w:tc>
          <w:tcPr>
            <w:tcW w:type="dxa" w:w="6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Evidence tied to a particular procedure, source state and environment.</w:t>
            </w:r>
          </w:p>
        </w:tc>
      </w:tr>
      <w:tr>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Acceptance</w:t>
            </w:r>
          </w:p>
        </w:tc>
        <w:tc>
          <w:tcPr>
            <w:tcW w:type="dxa" w:w="6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 reviewer-approved decision after required functional, operational and user evidence is complete.</w:t>
            </w:r>
          </w:p>
        </w:tc>
      </w:tr>
      <w:tr>
        <w:tc>
          <w:tcPr>
            <w:tcW w:type="dxa" w:w="16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Legacy</w:t>
            </w:r>
          </w:p>
        </w:tc>
        <w:tc>
          <w:tcPr>
            <w:tcW w:type="dxa" w:w="6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Retained code/schema or old intention without a current supported end-user flow.</w:t>
            </w:r>
          </w:p>
        </w:tc>
      </w:tr>
    </w:tbl>
    <w:p>
      <w:pPr>
        <w:spacing w:after="20"/>
      </w:pPr>
    </w:p>
    <w:p>
      <w:pPr>
        <w:pStyle w:val="Heading2"/>
      </w:pPr>
      <w:r>
        <w:t>SPMP 4 Project organization</w:t>
      </w:r>
    </w:p>
    <w:p>
      <w:pPr>
        <w:keepNext w:val="0"/>
        <w:widowControl/>
        <w:jc w:val="both"/>
      </w:pPr>
      <w:r>
        <w:rPr>
          <w:rFonts w:ascii="Arial" w:hAnsi="Arial"/>
          <w:b w:val="0"/>
          <w:color w:val="000000"/>
        </w:rPr>
        <w:t>The old SPMP identifies project-manager, frontend and backend responsibilities, but does not supply a reliable confirmed mapping for the final team. The old SRS contains one clear name entry and another combined name string. This revision does not split, join or assign those names. The team must confirm the roster and role allocation in the Development Team Profile. [3][4]</w:t>
      </w:r>
    </w:p>
    <w:p>
      <w:pPr>
        <w:pStyle w:val="Caption"/>
        <w:keepNext/>
      </w:pPr>
      <w:r>
        <w:t xml:space="preserve">Table </w:t>
      </w:r>
      <w:r>
        <w:fldChar w:fldCharType="begin"/>
        <w:instrText xml:space="preserve"> SEQ Table \* ARABIC </w:instrText>
        <w:fldChar w:fldCharType="separate"/>
        <w:t>3</w:t>
        <w:fldChar w:fldCharType="end"/>
      </w:r>
      <w:r>
        <w:t xml:space="preserve"> Proposed responsibility allocation requiring confirmation</w:t>
      </w:r>
    </w:p>
    <w:tbl>
      <w:tblPr>
        <w:tblW w:type="auto" w:w="0"/>
        <w:jc w:val="center"/>
        <w:tblLayout w:type="fixed"/>
        <w:tblLook w:firstColumn="1" w:firstRow="1" w:lastColumn="0" w:lastRow="0" w:noHBand="0" w:noVBand="1" w:val="04A0"/>
      </w:tblPr>
      <w:tblGrid>
        <w:gridCol w:w="2232"/>
        <w:gridCol w:w="2376"/>
        <w:gridCol w:w="4032"/>
      </w:tblGrid>
      <w:tr>
        <w:trPr>
          <w:tblHeader/>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Responsibility</w:t>
            </w:r>
          </w:p>
        </w:tc>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Accountable person</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Work and evidence</w:t>
            </w:r>
          </w:p>
        </w:tc>
      </w:tr>
      <w:t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Project coordination</w:t>
            </w:r>
          </w:p>
        </w:tc>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Scope, risk review, schedule/budget approvals and consolidated review records.</w:t>
            </w:r>
          </w:p>
        </w:tc>
      </w:tr>
      <w:t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Frontend engineering</w:t>
            </w:r>
          </w:p>
        </w:tc>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Current forms/navigation, globe, maps, responsive behavior, accessible feedback and generated contract consumption.</w:t>
            </w:r>
          </w:p>
        </w:tc>
      </w:tr>
      <w:t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Backend and data engineering</w:t>
            </w:r>
          </w:p>
        </w:tc>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Validation, authorization, grounding, scheduling, persistence, schema and provider controls.</w:t>
            </w:r>
          </w:p>
        </w:tc>
      </w:tr>
      <w:t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Verification and documentation</w:t>
            </w:r>
          </w:p>
        </w:tc>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Reproducible tests, RTM maintenance, defect retest evidence and manuscript consistency.</w:t>
            </w:r>
          </w:p>
        </w:tc>
      </w:tr>
      <w:t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Adviser and panel</w:t>
            </w:r>
          </w:p>
        </w:tc>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Academic guidance, review and formal acceptance signatures.</w:t>
            </w:r>
          </w:p>
        </w:tc>
      </w:tr>
      <w:t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Deployment/data operator</w:t>
            </w:r>
          </w:p>
        </w:tc>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c>
          <w:tcPr>
            <w:tcW w:type="dxa" w:w="40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Secrets, backups, migrations, provider agreements and incident handling.</w:t>
            </w:r>
          </w:p>
        </w:tc>
      </w:tr>
    </w:tbl>
    <w:p>
      <w:pPr>
        <w:spacing w:after="20"/>
      </w:pPr>
    </w:p>
    <w:p>
      <w:pPr>
        <w:pStyle w:val="Heading2"/>
      </w:pPr>
      <w:r>
        <w:t>SPMP 5 Managerial process</w:t>
      </w:r>
    </w:p>
    <w:p>
      <w:pPr>
        <w:keepNext w:val="0"/>
        <w:widowControl/>
        <w:jc w:val="both"/>
      </w:pPr>
      <w:r>
        <w:rPr>
          <w:rFonts w:ascii="Arial" w:hAnsi="Arial"/>
          <w:b w:val="0"/>
          <w:color w:val="000000"/>
        </w:rPr>
        <w:t>The current repositories show incremental source, tests and dated audit artifacts. They do not establish a particular Agile ceremony, sprint velocity, meeting attendance or percent contribution. The proposed process is a small change batch: agree on a requirement/defect, implement on an isolated branch, run the affected tests, inspect the user flow, update the RTM, and obtain review before release. Historical completion claims require dated evidence. [1][2][7]</w:t>
      </w:r>
    </w:p>
    <w:p>
      <w:pPr>
        <w:pStyle w:val="Caption"/>
        <w:keepNext/>
      </w:pPr>
      <w:r>
        <w:t xml:space="preserve">Table </w:t>
      </w:r>
      <w:r>
        <w:fldChar w:fldCharType="begin"/>
        <w:instrText xml:space="preserve"> SEQ Table \* ARABIC </w:instrText>
        <w:fldChar w:fldCharType="separate"/>
        <w:t>4</w:t>
        <w:fldChar w:fldCharType="end"/>
      </w:r>
      <w:r>
        <w:t xml:space="preserve"> Work breakdown and remaining acceptance work</w:t>
      </w:r>
    </w:p>
    <w:tbl>
      <w:tblPr>
        <w:tblW w:type="auto" w:w="0"/>
        <w:jc w:val="center"/>
        <w:tblLayout w:type="fixed"/>
        <w:tblLook w:firstColumn="1" w:firstRow="1" w:lastColumn="0" w:lastRow="0" w:noHBand="0" w:noVBand="1" w:val="04A0"/>
      </w:tblPr>
      <w:tblGrid>
        <w:gridCol w:w="1800"/>
        <w:gridCol w:w="4536"/>
        <w:gridCol w:w="2304"/>
      </w:tblGrid>
      <w:tr>
        <w:trPr>
          <w:tblHeader/>
        </w:trPr>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Work package</w:t>
            </w:r>
          </w:p>
        </w:tc>
        <w:tc>
          <w:tcPr>
            <w:tcW w:type="dxa" w:w="45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Deliverable or exit condition</w:t>
            </w:r>
          </w:p>
        </w:tc>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Status</w:t>
            </w:r>
          </w:p>
        </w:tc>
      </w:tr>
      <w:tr>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WBS 1 Scope and provenance</w:t>
            </w:r>
          </w:p>
        </w:tc>
        <w:tc>
          <w:tcPr>
            <w:tcW w:type="dxa" w:w="45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Reconcile old requirements, source snapshot, features, routes and processes.</w:t>
            </w:r>
          </w:p>
        </w:tc>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Documented in this package.</w:t>
            </w:r>
          </w:p>
        </w:tc>
      </w:tr>
      <w:tr>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WBS 2 Requirements and design</w:t>
            </w:r>
          </w:p>
        </w:tc>
        <w:tc>
          <w:tcPr>
            <w:tcW w:type="dxa" w:w="45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SRS, SDD, business rules, schema register and diagrams.</w:t>
            </w:r>
          </w:p>
        </w:tc>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Documented; team review pending.</w:t>
            </w:r>
          </w:p>
        </w:tc>
      </w:tr>
      <w:tr>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WBS 3 Isolated verification</w:t>
            </w:r>
          </w:p>
        </w:tc>
        <w:tc>
          <w:tcPr>
            <w:tcW w:type="dxa" w:w="45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Recorded unit/service regression and disposable system tests.</w:t>
            </w:r>
          </w:p>
        </w:tc>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152 frontend and 521 backend tests passed; manual system cases pending.</w:t>
            </w:r>
          </w:p>
        </w:tc>
      </w:tr>
      <w:tr>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WBS 4 Corrections</w:t>
            </w:r>
          </w:p>
        </w:tc>
        <w:tc>
          <w:tcPr>
            <w:tcW w:type="dxa" w:w="45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Resolve D-01 through D-09 where applicable and rerun relevant checks.</w:t>
            </w:r>
          </w:p>
        </w:tc>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Proposed development work; not performed here.</w:t>
            </w:r>
          </w:p>
        </w:tc>
      </w:tr>
      <w:tr>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WBS 5 Operational acceptance</w:t>
            </w:r>
          </w:p>
        </w:tc>
        <w:tc>
          <w:tcPr>
            <w:tcW w:type="dxa" w:w="45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Provider permissions, production-like auth/mail, persistence, recovery and performance.</w:t>
            </w:r>
          </w:p>
        </w:tc>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Not executed.</w:t>
            </w:r>
          </w:p>
        </w:tc>
      </w:tr>
      <w:tr>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WBS 6 Academic acceptance</w:t>
            </w:r>
          </w:p>
        </w:tc>
        <w:tc>
          <w:tcPr>
            <w:tcW w:type="dxa" w:w="45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Confirmed front matter, UAT, final document pagination review and signatures.</w:t>
            </w:r>
          </w:p>
        </w:tc>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Pending team/adviser/panel input.</w:t>
            </w:r>
          </w:p>
        </w:tc>
      </w:tr>
    </w:tbl>
    <w:p>
      <w:pPr>
        <w:spacing w:after="20"/>
      </w:pPr>
    </w:p>
    <w:p>
      <w:pPr>
        <w:keepNext w:val="0"/>
        <w:widowControl/>
        <w:jc w:val="both"/>
      </w:pPr>
      <w:r>
        <w:rPr>
          <w:rFonts w:ascii="Arial" w:hAnsi="Arial"/>
          <w:b w:val="0"/>
          <w:color w:val="000000"/>
        </w:rPr>
        <w:t>Historical schedule context: the old SPMP proposed initiation on 30 April 2026; requirements on 1 June; risk review on 15 June; QA on 1 July; prototype on 15 July; database/API work on 15 August; AI integration on 30 August; testing on 1 September; and documentation/defense on 1 October. It also described roughly sixteen weeks and 15-20 hours per person per week. These are archived planning statements, not verified actual dates or effort. The old SRS has separate March-May change records and defense claims that have not been independently validated. [3][4]</w:t>
      </w:r>
    </w:p>
    <w:p>
      <w:pPr>
        <w:pStyle w:val="Caption"/>
        <w:keepNext/>
      </w:pPr>
      <w:r>
        <w:t xml:space="preserve">Table </w:t>
      </w:r>
      <w:r>
        <w:fldChar w:fldCharType="begin"/>
        <w:instrText xml:space="preserve"> SEQ Table \* ARABIC </w:instrText>
        <w:fldChar w:fldCharType="separate"/>
        <w:t>5</w:t>
        <w:fldChar w:fldCharType="end"/>
      </w:r>
      <w:r>
        <w:t xml:space="preserve"> Proposed schedule control without invented dates</w:t>
      </w:r>
    </w:p>
    <w:tbl>
      <w:tblPr>
        <w:tblW w:type="auto" w:w="0"/>
        <w:jc w:val="center"/>
        <w:tblLayout w:type="fixed"/>
        <w:tblLook w:firstColumn="1" w:firstRow="1" w:lastColumn="0" w:lastRow="0" w:noHBand="0" w:noVBand="1" w:val="04A0"/>
      </w:tblPr>
      <w:tblGrid>
        <w:gridCol w:w="1728"/>
        <w:gridCol w:w="4608"/>
        <w:gridCol w:w="2304"/>
      </w:tblGrid>
      <w:tr>
        <w:trPr>
          <w:tblHeader/>
        </w:trPr>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Gate</w:t>
            </w:r>
          </w:p>
        </w:tc>
        <w:tc>
          <w:tcPr>
            <w:tcW w:type="dxa" w:w="4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Dependency</w:t>
            </w:r>
          </w:p>
        </w:tc>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Approved date and owner</w:t>
            </w:r>
          </w:p>
        </w:tc>
      </w:tr>
      <w:tr>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G1 Scope review</w:t>
            </w:r>
          </w:p>
        </w:tc>
        <w:tc>
          <w:tcPr>
            <w:tcW w:type="dxa" w:w="4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Review current inventory and requirements.</w:t>
            </w:r>
          </w:p>
        </w:tc>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r>
      <w:tr>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G2 Correctness review</w:t>
            </w:r>
          </w:p>
        </w:tc>
        <w:tc>
          <w:tcPr>
            <w:tcW w:type="dxa" w:w="4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Resolve acceptance-blocking defects and run boundary/ownership cases.</w:t>
            </w:r>
          </w:p>
        </w:tc>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r>
      <w:tr>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G3 Operations review</w:t>
            </w:r>
          </w:p>
        </w:tc>
        <w:tc>
          <w:tcPr>
            <w:tcW w:type="dxa" w:w="4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Authorize staging services and execute recovery/performance checks.</w:t>
            </w:r>
          </w:p>
        </w:tc>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r>
      <w:tr>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G4 User review</w:t>
            </w:r>
          </w:p>
        </w:tc>
        <w:tc>
          <w:tcPr>
            <w:tcW w:type="dxa" w:w="4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Approve tasks/participants; execute UAT and record results.</w:t>
            </w:r>
          </w:p>
        </w:tc>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r>
      <w:tr>
        <w:tc>
          <w:tcPr>
            <w:tcW w:type="dxa" w:w="17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G5 Submission</w:t>
            </w:r>
          </w:p>
        </w:tc>
        <w:tc>
          <w:tcPr>
            <w:tcW w:type="dxa" w:w="4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Confirm people/year/signatures and review Word pagination.</w:t>
            </w:r>
          </w:p>
        </w:tc>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r>
    </w:tbl>
    <w:p>
      <w:pPr>
        <w:spacing w:after="20"/>
      </w:pPr>
    </w:p>
    <w:p>
      <w:pPr>
        <w:keepNext w:val="0"/>
        <w:widowControl/>
        <w:jc w:val="both"/>
      </w:pPr>
      <w:r>
        <w:rPr>
          <w:rFonts w:ascii="Arial" w:hAnsi="Arial"/>
          <w:b w:val="0"/>
          <w:color w:val="000000"/>
        </w:rPr>
        <w:t>The old SPMP proposed a PHP 2,000 total with domain/API ranges of PHP 500-1,000 and a table allocating PHP 1,000 to each. This is an archived proposal, not an approved current budget or expense record. Actual cloud, email, AI, map/geocoding, media rights, domain and equipment costs depend on providers, agreements and usage. No paid service was called for this documentation task. [4]</w:t>
      </w:r>
    </w:p>
    <w:p>
      <w:pPr>
        <w:pStyle w:val="Caption"/>
        <w:keepNext/>
      </w:pPr>
      <w:r>
        <w:t xml:space="preserve">Table </w:t>
      </w:r>
      <w:r>
        <w:fldChar w:fldCharType="begin"/>
        <w:instrText xml:space="preserve"> SEQ Table \* ARABIC </w:instrText>
        <w:fldChar w:fldCharType="separate"/>
        <w:t>6</w:t>
        <w:fldChar w:fldCharType="end"/>
      </w:r>
      <w:r>
        <w:t xml:space="preserve"> Budget and resource confirmation form</w:t>
      </w:r>
    </w:p>
    <w:tbl>
      <w:tblPr>
        <w:tblW w:type="auto" w:w="0"/>
        <w:jc w:val="center"/>
        <w:tblLayout w:type="fixed"/>
        <w:tblLook w:firstColumn="1" w:firstRow="1" w:lastColumn="0" w:lastRow="0" w:noHBand="0" w:noVBand="1" w:val="04A0"/>
      </w:tblPr>
      <w:tblGrid>
        <w:gridCol w:w="2160"/>
        <w:gridCol w:w="4320"/>
        <w:gridCol w:w="2160"/>
      </w:tblGrid>
      <w:tr>
        <w:trPr>
          <w:tblHeader/>
        </w:trPr>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Cost/resource</w:t>
            </w:r>
          </w:p>
        </w:tc>
        <w:tc>
          <w:tcPr>
            <w:tcW w:type="dxa" w:w="43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Current evidence</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Approved amount or record</w:t>
            </w:r>
          </w:p>
        </w:tc>
      </w:tr>
      <w:tr>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Domain/hosting/database</w:t>
            </w:r>
          </w:p>
        </w:tc>
        <w:tc>
          <w:tcPr>
            <w:tcW w:type="dxa" w:w="43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Configuration exists; invoices and deployed ownership not provided.</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r>
      <w:tr>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AI/mail/data providers</w:t>
            </w:r>
          </w:p>
        </w:tc>
        <w:tc>
          <w:tcPr>
            <w:tcW w:type="dxa" w:w="43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Optional credentials and quotas; no usage billing inspected.</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r>
      <w:tr>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Equipment/connectivity</w:t>
            </w:r>
          </w:p>
        </w:tc>
        <w:tc>
          <w:tcPr>
            <w:tcW w:type="dxa" w:w="43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Browser, Node and PostgreSQL required; no asset register supplied.</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r>
      <w:tr>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Team effort</w:t>
            </w:r>
          </w:p>
        </w:tc>
        <w:tc>
          <w:tcPr>
            <w:tcW w:type="dxa" w:w="43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 verified timesheets or contribution percentages.</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r>
      <w:tr>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Contingency and maintenance</w:t>
            </w:r>
          </w:p>
        </w:tc>
        <w:tc>
          <w:tcPr>
            <w:tcW w:type="dxa" w:w="43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Recommended operational allocation; no approved figure.</w:t>
            </w:r>
          </w:p>
        </w:tc>
        <w:tc>
          <w:tcPr>
            <w:tcW w:type="dxa" w:w="21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r>
    </w:tbl>
    <w:p>
      <w:pPr>
        <w:spacing w:after="20"/>
      </w:pPr>
    </w:p>
    <w:p>
      <w:pPr>
        <w:pStyle w:val="Caption"/>
        <w:keepNext/>
      </w:pPr>
      <w:r>
        <w:t xml:space="preserve">Table </w:t>
      </w:r>
      <w:r>
        <w:fldChar w:fldCharType="begin"/>
        <w:instrText xml:space="preserve"> SEQ Table \* ARABIC </w:instrText>
        <w:fldChar w:fldCharType="separate"/>
        <w:t>7</w:t>
        <w:fldChar w:fldCharType="end"/>
      </w:r>
      <w:r>
        <w:t xml:space="preserve"> Risk register and proposed responses</w:t>
      </w:r>
    </w:p>
    <w:tbl>
      <w:tblPr>
        <w:tblW w:type="auto" w:w="0"/>
        <w:jc w:val="center"/>
        <w:tblLayout w:type="fixed"/>
        <w:tblLook w:firstColumn="1" w:firstRow="1" w:lastColumn="0" w:lastRow="0" w:noHBand="0" w:noVBand="1" w:val="04A0"/>
      </w:tblPr>
      <w:tblGrid>
        <w:gridCol w:w="1800"/>
        <w:gridCol w:w="2736"/>
        <w:gridCol w:w="4104"/>
      </w:tblGrid>
      <w:tr>
        <w:trPr>
          <w:tblHeader/>
        </w:trPr>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Risk</w:t>
            </w:r>
          </w:p>
        </w:tc>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Effect</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Response and review evidence</w:t>
            </w:r>
          </w:p>
        </w:tc>
      </w:tr>
      <w:tr>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R1 Wrong identity/media</w:t>
            </w:r>
          </w:p>
        </w:tc>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Wrong-country photo, attraction or route misleads a traveler.</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Use exact IDs/provenance; fail honestly; run TM-XT-014 and grounding tests.</w:t>
            </w:r>
          </w:p>
        </w:tc>
      </w:tr>
      <w:tr>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R2 Missing/stale prices</w:t>
            </w:r>
          </w:p>
        </w:tc>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 low apparent total is mistaken for a complete payable price.</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Separate known/estimated/unpriced costs; disclose references and verify externally.</w:t>
            </w:r>
          </w:p>
        </w:tc>
      </w:tr>
      <w:tr>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R3 Provider outage/quota</w:t>
            </w:r>
          </w:p>
        </w:tc>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Mail, AI, maps or search becomes unavailable.</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Bounded timeouts/limits; labeled fallback; rehearse with stubs before staging.</w:t>
            </w:r>
          </w:p>
        </w:tc>
      </w:tr>
      <w:tr>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R4 Concurrent edits</w:t>
            </w:r>
          </w:p>
        </w:tc>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 stale preview/save/visit batch overwrites current state.</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Revision hashes, row/advisory locks, unique keys and disposable contention tests.</w:t>
            </w:r>
          </w:p>
        </w:tc>
      </w:tr>
      <w:tr>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R5 Scope drift</w:t>
            </w:r>
          </w:p>
        </w:tc>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Retained schema is mistaken for a supported marketplace.</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Inventory status, current UI reconciliation and explicit excluded scope.</w:t>
            </w:r>
          </w:p>
        </w:tc>
      </w:tr>
      <w:tr>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R6 Privacy/access control</w:t>
            </w:r>
          </w:p>
        </w:tc>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User records, tokens or GPS exposed.</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Owner/role checks, secret handling, minimized evidence and privacy review.</w:t>
            </w:r>
          </w:p>
        </w:tc>
      </w:tr>
      <w:tr>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R7 Recovery failure</w:t>
            </w:r>
          </w:p>
        </w:tc>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Image rollback follows an incompatible schema migration.</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Backup/restore rehearsal and compatibility gate; image rollback is not schema rollback.</w:t>
            </w:r>
          </w:p>
        </w:tc>
      </w:tr>
      <w:tr>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R8 Academic evidence gap</w:t>
            </w:r>
          </w:p>
        </w:tc>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Unverified dates, UAT or performance presented as fact.</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Placeholders, evidence registers and explicit reviewer sign-off.</w:t>
            </w:r>
          </w:p>
        </w:tc>
      </w:tr>
    </w:tbl>
    <w:p>
      <w:pPr>
        <w:spacing w:after="20"/>
      </w:pPr>
    </w:p>
    <w:p>
      <w:pPr>
        <w:pStyle w:val="Heading2"/>
      </w:pPr>
      <w:r>
        <w:t>SPMP 6 Technical process</w:t>
      </w:r>
    </w:p>
    <w:p>
      <w:pPr>
        <w:keepNext w:val="0"/>
        <w:widowControl/>
        <w:jc w:val="both"/>
      </w:pPr>
      <w:r>
        <w:rPr>
          <w:rFonts w:ascii="Arial" w:hAnsi="Arial"/>
          <w:b w:val="0"/>
          <w:color w:val="000000"/>
        </w:rPr>
        <w:t>The frontend uses Next.js App Router and React; Express services validate and process requests; Prisma and PostgreSQL hold application data. Local GeoNames/PSGC records support discovery, and external providers enrich grounded planning. The SDD describes the actual scheduling and cost rules. Development and release procedures shall use the dependency locks and compatible paired repository revisions. Generated contract checks, unit tests, integration fixtures, production HTTP tests and browser tests have distinct purposes. Their presence in CI does not prove this task executed the pipeline. [1][2]</w:t>
      </w:r>
    </w:p>
    <w:p>
      <w:pPr>
        <w:pStyle w:val="Heading2"/>
      </w:pPr>
      <w:r>
        <w:t>SPMP 7 Supporting process</w:t>
      </w:r>
    </w:p>
    <w:p>
      <w:pPr>
        <w:keepNext w:val="0"/>
        <w:widowControl/>
        <w:jc w:val="both"/>
      </w:pPr>
      <w:r>
        <w:rPr>
          <w:rFonts w:ascii="Arial" w:hAnsi="Arial"/>
          <w:b w:val="0"/>
          <w:color w:val="000000"/>
        </w:rPr>
        <w:t>Configuration management: retain an immutable release identifier for each repository, its dirty-file diff when relevant, migration set, provider configuration names and evidence package. Do not commit .env files, credentials or test session cookies. Changes to scope, provider rights, currency rules or persisted JSON need a requirements/design review. Keep corrective changes out of this documentation-only output.</w:t>
      </w:r>
    </w:p>
    <w:p>
      <w:pPr>
        <w:keepNext w:val="0"/>
        <w:widowControl/>
        <w:jc w:val="both"/>
      </w:pPr>
      <w:r>
        <w:rPr>
          <w:rFonts w:ascii="Arial" w:hAnsi="Arial"/>
          <w:b w:val="0"/>
          <w:color w:val="000000"/>
        </w:rPr>
        <w:t>Quality assurance: map each requirement to its feature, implementation, test and manual entry; record actual results and defects separately. Review source-backed financial examples, ownership negatives, asynchronous country identity, provider failures and version concurrency. Review Word fields and every rendered page with a Word-compatible renderer before final academic submission. The available environment could not render DOCX; the supplied companion PDF is independently typeset from the same content, not a verified Word export. [6]</w:t>
      </w:r>
    </w:p>
    <w:p>
      <w:pPr>
        <w:keepNext w:val="0"/>
        <w:widowControl/>
        <w:jc w:val="both"/>
      </w:pPr>
      <w:r>
        <w:rPr>
          <w:rFonts w:ascii="Arial" w:hAnsi="Arial"/>
          <w:b w:val="0"/>
          <w:color w:val="000000"/>
        </w:rPr>
        <w:t>Communication and issue control are proposed: use a dated issue entry containing the affected requirement, evidence, owner, severity, decision and retest. No meetings or approvals are asserted. Critical data/security failures should block release; a reviewer must approve the disposition of lesser defects. Record decisions in the unresolved-details register rather than silently marking them complete.</w:t>
      </w:r>
    </w:p>
    <w:p>
      <w:pPr>
        <w:pStyle w:val="Heading2"/>
      </w:pPr>
      <w:r>
        <w:t>SPMP 8 Additional plans</w:t>
      </w:r>
    </w:p>
    <w:p>
      <w:pPr>
        <w:keepNext w:val="0"/>
        <w:widowControl/>
        <w:jc w:val="both"/>
      </w:pPr>
      <w:r>
        <w:rPr>
          <w:rFonts w:ascii="Arial" w:hAnsi="Arial"/>
          <w:b w:val="0"/>
          <w:color w:val="000000"/>
        </w:rPr>
        <w:t>Maintenance planning should cover dependency/security review, provider quota and license review, curated geographic/media refresh, database capacity, incident contact, session revocation and recovery exercises. No automatic daily backup worker was located. Retention periods, service-level objectives, recovery point/time objectives and actual maintenance ownership remain [TO BE CONFIRMED]. This plan proposes those controls without claiming they have been operated.</w:t>
      </w:r>
    </w:p>
    <w:p>
      <w:r>
        <w:br w:type="page"/>
      </w:r>
    </w:p>
    <w:p>
      <w:pPr>
        <w:pStyle w:val="Heading1"/>
      </w:pPr>
      <w:r>
        <w:t>References</w:t>
      </w:r>
    </w:p>
    <w:p>
      <w:pPr>
        <w:keepNext w:val="0"/>
        <w:widowControl/>
        <w:jc w:val="both"/>
      </w:pPr>
      <w:r>
        <w:rPr>
          <w:rFonts w:ascii="Arial" w:hAnsi="Arial"/>
          <w:b w:val="0"/>
          <w:color w:val="000000"/>
        </w:rPr>
        <w:t>[1] TravelMate frontend working tree. travelmate-frontend-new; HEAD 1d55ba3c2eb2a9387cb34c0cb6ca5edef8bfbc96 with recorded working changes; inspected 15 October 2026. Source snapshot, status and feature references in the evidence package.</w:t>
      </w:r>
    </w:p>
    <w:p>
      <w:pPr>
        <w:keepNext w:val="0"/>
        <w:widowControl/>
        <w:jc w:val="both"/>
      </w:pPr>
      <w:r>
        <w:rPr>
          <w:rFonts w:ascii="Arial" w:hAnsi="Arial"/>
          <w:b w:val="0"/>
          <w:color w:val="000000"/>
        </w:rPr>
        <w:t>[2] TravelMate backend working tree. travelmate-backend-api; HEAD 234e08d2317526f772854296bfaf6a33ca5dd0fa with recorded working changes; schema, 24 migration directories, controllers/services/config/tests inspected 15 October 2026.</w:t>
      </w:r>
    </w:p>
    <w:p>
      <w:pPr>
        <w:keepNext w:val="0"/>
        <w:widowControl/>
        <w:jc w:val="both"/>
      </w:pPr>
      <w:r>
        <w:rPr>
          <w:rFonts w:ascii="Arial" w:hAnsi="Arial"/>
          <w:b w:val="0"/>
          <w:color w:val="000000"/>
        </w:rPr>
        <w:t>[3] TravelMate. Supplied TravelMate-SRS.docx, documentation/mine. Historical requirements and administrative statements, not proof of present implementation. Original SHA256 26828397f5a0647ae2ecc0175f45ace40b19bf8e5d8212d6fc07db04df8ff9f6. Original ZIP CRC fault repaired in a separate reading copy only; all source media decoded.</w:t>
      </w:r>
    </w:p>
    <w:p>
      <w:pPr>
        <w:keepNext w:val="0"/>
        <w:widowControl/>
        <w:jc w:val="both"/>
      </w:pPr>
      <w:r>
        <w:rPr>
          <w:rFonts w:ascii="Arial" w:hAnsi="Arial"/>
          <w:b w:val="0"/>
          <w:color w:val="000000"/>
        </w:rPr>
        <w:t>[4] TravelMate. Supplied TravelMate-SPMP.docx, documentation/mine. Archived planning baseline. Original SHA256 cf5b9f119ba6cf7c8f39167dd6ff6208b1d881e73811a840665d038c15094f13.</w:t>
      </w:r>
    </w:p>
    <w:p>
      <w:pPr>
        <w:keepNext w:val="0"/>
        <w:widowControl/>
        <w:jc w:val="both"/>
      </w:pPr>
      <w:r>
        <w:rPr>
          <w:rFonts w:ascii="Arial" w:hAnsi="Arial"/>
          <w:b w:val="0"/>
          <w:color w:val="000000"/>
        </w:rPr>
        <w:t>[5] Supplied Herbal AI Pre Defense Manuscript v5 2026-2027, revised 15 October 2026, and its standalone engineering references. Used solely for organization/format by explicit user confirmation. No project facts, names, results or contributions transferred. Main reference SHA256 c8fde03149ba05b2f98b8a7e08b131ede9629313d1ae2b4114ee304d005df42c.</w:t>
      </w:r>
    </w:p>
    <w:p>
      <w:pPr>
        <w:keepNext w:val="0"/>
        <w:widowControl/>
        <w:jc w:val="both"/>
      </w:pPr>
      <w:r>
        <w:rPr>
          <w:rFonts w:ascii="Arial" w:hAnsi="Arial"/>
          <w:b w:val="0"/>
          <w:color w:val="000000"/>
        </w:rPr>
        <w:t>[6] TravelMate documentation execution evidence, 15 October 2026: final isolated frontend/backend logs, network guard, copied-source manifest, execution register and anonymous current screenshots. Included in the evidence bundle.</w:t>
      </w:r>
    </w:p>
    <w:p>
      <w:pPr>
        <w:keepNext w:val="0"/>
        <w:widowControl/>
        <w:jc w:val="both"/>
      </w:pPr>
      <w:r>
        <w:rPr>
          <w:rFonts w:ascii="Arial" w:hAnsi="Arial"/>
          <w:b w:val="0"/>
          <w:color w:val="000000"/>
        </w:rPr>
        <w:t>[7] TravelMate historical engineering reports: audit/2026-10-15/globe-photo-curation/REPORT.md; audit/2026-10-15/itinerary-overview/REPORT.md; audit/2026-10-13/remove-workspace-sections/REPORT.md. Each report is limited to its recorded environment/revision; historical counts are not added to current counts.</w:t>
      </w:r>
    </w:p>
    <w:p>
      <w:pPr>
        <w:keepNext w:val="0"/>
        <w:widowControl/>
        <w:jc w:val="both"/>
      </w:pPr>
      <w:r>
        <w:rPr>
          <w:rFonts w:ascii="Arial" w:hAnsi="Arial"/>
          <w:b w:val="0"/>
          <w:color w:val="000000"/>
        </w:rPr>
        <w:t>[8] TravelMate geographic/media source manifests and read-only catalogue metadata: frontend public discovery assets; backend GeoNames/PSGC/local geography and source metadata. Counts describe these snapshots, not guaranteed worldwide completeness.</w:t>
      </w:r>
    </w:p>
    <w:p>
      <w:pPr>
        <w:keepNext w:val="0"/>
        <w:widowControl/>
        <w:jc w:val="both"/>
      </w:pPr>
      <w:r>
        <w:rPr>
          <w:rFonts w:ascii="Arial" w:hAnsi="Arial"/>
          <w:b w:val="0"/>
          <w:color w:val="000000"/>
        </w:rPr>
        <w:t>[9] NASA Earth Observatory and Natural Earth source/licensing links retained in the current TravelMate image and map credits and asset attribution manifests. External provider/author-specific licenses remain asset-specific; footer attribution is not discarded.</w:t>
      </w:r>
    </w:p>
    <w:p>
      <w:pPr>
        <w:keepNext w:val="0"/>
        <w:widowControl/>
        <w:jc w:val="both"/>
      </w:pPr>
      <w:r>
        <w:rPr>
          <w:rFonts w:ascii="Arial" w:hAnsi="Arial"/>
          <w:b w:val="0"/>
          <w:color w:val="000000"/>
        </w:rPr>
        <w:t>[10] Next.js official App Router documentation, https://nextjs.org/docs/app, accessed 15 October 2026. Used for architectural context; inspected project code and dependency declarations govern this version-specific description.</w:t>
      </w:r>
    </w:p>
    <w:p>
      <w:pPr>
        <w:keepNext w:val="0"/>
        <w:widowControl/>
        <w:jc w:val="both"/>
      </w:pPr>
      <w:r>
        <w:rPr>
          <w:rFonts w:ascii="Arial" w:hAnsi="Arial"/>
          <w:b w:val="0"/>
          <w:color w:val="000000"/>
        </w:rPr>
        <w:t>[11] Republic of the Philippines, Republic Act No. 10173, Data Privacy Act of 2012, Official Gazette, https://officialgazette.gov.ph/2012/08/15/republic-act-no-10173/, accessed 15 October 2026. Legal context only; no compliance certification asserted.</w:t>
      </w:r>
    </w:p>
    <w:p>
      <w:pPr>
        <w:keepNext w:val="0"/>
        <w:widowControl/>
        <w:jc w:val="both"/>
      </w:pPr>
      <w:r>
        <w:rPr>
          <w:rFonts w:ascii="Arial" w:hAnsi="Arial"/>
          <w:b w:val="0"/>
          <w:color w:val="000000"/>
        </w:rPr>
        <w:t>[12] MediaWiki API Etiquette, https://www.mediawiki.org/wiki/API%3AEtiquette, accessed 15 October 2026. Provider identification, pacing and courteous API usage context; actual limits are taken from inspected code/configuration and agreements.</w:t>
      </w:r>
    </w:p>
    <w:sectPr>
      <w:headerReference w:type="default" r:id="rId1"/>
      <w:footerReference w:type="default" r:id="rId2"/>
      <w:pgSz w:w="12240" w:h="15840"/>
      <w:pgMar w:left="2160" w:right="1440" w:top="1440" w:bottom="1440" w:header="720" w:footer="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75665CD-46AD-432A-B048-3591FDC94D41}"/>
  </w:font>
  <w:font w:name="Calibri">
    <w:panose1 w:val="020F0502020204030204"/>
    <w:charset w:val="00"/>
    <w:family w:val="swiss"/>
    <w:pitch w:val="variable"/>
    <w:sig w:usb0="E4002EFF" w:usb1="C200247B" w:usb2="00000009" w:usb3="00000000" w:csb0="000001FF" w:csb1="00000000"/>
    <w:embedRegular r:id="rId2" w:fontKey="{1B33816A-22D6-41E4-BD4A-9DB07BBDE46C}"/>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000000"/>
        <w:sz w:val="16"/>
      </w:rPr>
      <w:t>CORDOVA PUBLIC COLLEGE | COLLEGE OF COMPUTER STUDIES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6D2E7C"/>
    <w:multiLevelType w:val="hybridMultilevel"/>
    <w:tmpl w:val="94DA03C4"/>
    <w:lvl w:ilvl="0" w:tplc="E28830AC">
      <w:start w:val="1"/>
      <w:numFmt w:val="bullet"/>
      <w:lvlText w:val="●"/>
      <w:lvlJc w:val="left"/>
      <w:pPr>
        <w:ind w:left="720" w:hanging="360"/>
      </w:pPr>
    </w:lvl>
    <w:lvl w:ilvl="1" w:tplc="7F487076">
      <w:start w:val="1"/>
      <w:numFmt w:val="bullet"/>
      <w:lvlText w:val="○"/>
      <w:lvlJc w:val="left"/>
      <w:pPr>
        <w:ind w:left="1440" w:hanging="360"/>
      </w:pPr>
    </w:lvl>
    <w:lvl w:ilvl="2" w:tplc="C0A4D410">
      <w:start w:val="1"/>
      <w:numFmt w:val="bullet"/>
      <w:lvlText w:val="■"/>
      <w:lvlJc w:val="left"/>
      <w:pPr>
        <w:ind w:left="2160" w:hanging="360"/>
      </w:pPr>
    </w:lvl>
    <w:lvl w:ilvl="3" w:tplc="0974FCDC">
      <w:start w:val="1"/>
      <w:numFmt w:val="bullet"/>
      <w:lvlText w:val="●"/>
      <w:lvlJc w:val="left"/>
      <w:pPr>
        <w:ind w:left="2880" w:hanging="360"/>
      </w:pPr>
    </w:lvl>
    <w:lvl w:ilvl="4" w:tplc="4E245520">
      <w:start w:val="1"/>
      <w:numFmt w:val="bullet"/>
      <w:lvlText w:val="○"/>
      <w:lvlJc w:val="left"/>
      <w:pPr>
        <w:ind w:left="3600" w:hanging="360"/>
      </w:pPr>
    </w:lvl>
    <w:lvl w:ilvl="5" w:tplc="06C06E76">
      <w:start w:val="1"/>
      <w:numFmt w:val="bullet"/>
      <w:lvlText w:val="■"/>
      <w:lvlJc w:val="left"/>
      <w:pPr>
        <w:ind w:left="4320" w:hanging="360"/>
      </w:pPr>
    </w:lvl>
    <w:lvl w:ilvl="6" w:tplc="1E7AA9B8">
      <w:start w:val="1"/>
      <w:numFmt w:val="bullet"/>
      <w:lvlText w:val="●"/>
      <w:lvlJc w:val="left"/>
      <w:pPr>
        <w:ind w:left="5040" w:hanging="360"/>
      </w:pPr>
    </w:lvl>
    <w:lvl w:ilvl="7" w:tplc="6F6AA9DE">
      <w:start w:val="1"/>
      <w:numFmt w:val="bullet"/>
      <w:lvlText w:val="●"/>
      <w:lvlJc w:val="left"/>
      <w:pPr>
        <w:ind w:left="5760" w:hanging="360"/>
      </w:pPr>
    </w:lvl>
    <w:lvl w:ilvl="8" w:tplc="3F60C912">
      <w:start w:val="1"/>
      <w:numFmt w:val="bullet"/>
      <w:lvlText w:val="●"/>
      <w:lvlJc w:val="left"/>
      <w:pPr>
        <w:ind w:left="6480" w:hanging="360"/>
      </w:pPr>
    </w:lvl>
  </w:abstractNum>
  <w:abstractNum w:abstractNumId="10" w15:restartNumberingAfterBreak="0">
    <w:nsid w:val="1A153C2A"/>
    <w:multiLevelType w:val="hybridMultilevel"/>
    <w:tmpl w:val="BD84FEFE"/>
    <w:lvl w:ilvl="0" w:tplc="F87419FA">
      <w:start w:val="1"/>
      <w:numFmt w:val="bullet"/>
      <w:lvlText w:val="•"/>
      <w:lvlJc w:val="left"/>
      <w:pPr>
        <w:ind w:left="720" w:hanging="360"/>
      </w:pPr>
    </w:lvl>
    <w:lvl w:ilvl="1" w:tplc="E3B8C4D4">
      <w:start w:val="1"/>
      <w:numFmt w:val="bullet"/>
      <w:lvlText w:val="–"/>
      <w:lvlJc w:val="left"/>
      <w:pPr>
        <w:ind w:left="1080" w:hanging="360"/>
      </w:pPr>
    </w:lvl>
    <w:lvl w:ilvl="2" w:tplc="795C49FA">
      <w:numFmt w:val="decimal"/>
      <w:lvlText w:val=""/>
      <w:lvlJc w:val="left"/>
    </w:lvl>
    <w:lvl w:ilvl="3" w:tplc="830264C6">
      <w:numFmt w:val="decimal"/>
      <w:lvlText w:val=""/>
      <w:lvlJc w:val="left"/>
    </w:lvl>
    <w:lvl w:ilvl="4" w:tplc="883AA898">
      <w:numFmt w:val="decimal"/>
      <w:lvlText w:val=""/>
      <w:lvlJc w:val="left"/>
    </w:lvl>
    <w:lvl w:ilvl="5" w:tplc="7110FB20">
      <w:numFmt w:val="decimal"/>
      <w:lvlText w:val=""/>
      <w:lvlJc w:val="left"/>
    </w:lvl>
    <w:lvl w:ilvl="6" w:tplc="95600C72">
      <w:numFmt w:val="decimal"/>
      <w:lvlText w:val=""/>
      <w:lvlJc w:val="left"/>
    </w:lvl>
    <w:lvl w:ilvl="7" w:tplc="BB7AE4E0">
      <w:numFmt w:val="decimal"/>
      <w:lvlText w:val=""/>
      <w:lvlJc w:val="left"/>
    </w:lvl>
    <w:lvl w:ilvl="8" w:tplc="18B8D390">
      <w:numFmt w:val="decimal"/>
      <w:lvlText w:val=""/>
      <w:lvlJc w:val="left"/>
    </w:lvl>
  </w:abstractNum>
  <w:abstractNum w:abstractNumId="11" w15:restartNumberingAfterBreak="0">
    <w:nsid w:val="2DDC1F8D"/>
    <w:multiLevelType w:val="multilevel"/>
    <w:tmpl w:val="EFB23FD8"/>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976036270">
    <w:abstractNumId w:val="11"/>
  </w:num>
  <w:num w:numId="2" w16cid:durableId="2037153280">
    <w:abstractNumId w:val="9"/>
    <w:lvlOverride w:ilvl="0">
      <w:startOverride w:val="1"/>
    </w:lvlOverride>
  </w:num>
  <w:num w:numId="3" w16cid:durableId="217596144">
    <w:abstractNumId w:val="10"/>
    <w:lvlOverride w:ilvl="0">
      <w:startOverride w:val="1"/>
    </w:lvlOverride>
  </w:num>
  <w:num w:numId="4" w16cid:durableId="385881777">
    <w:abstractNumId w:val="8"/>
  </w:num>
  <w:num w:numId="5" w16cid:durableId="2131892768">
    <w:abstractNumId w:val="6"/>
  </w:num>
  <w:num w:numId="6" w16cid:durableId="1747871553">
    <w:abstractNumId w:val="5"/>
  </w:num>
  <w:num w:numId="7" w16cid:durableId="565645159">
    <w:abstractNumId w:val="4"/>
  </w:num>
  <w:num w:numId="8" w16cid:durableId="1572887458">
    <w:abstractNumId w:val="7"/>
  </w:num>
  <w:num w:numId="9" w16cid:durableId="934168128">
    <w:abstractNumId w:val="3"/>
  </w:num>
  <w:num w:numId="10" w16cid:durableId="639190174">
    <w:abstractNumId w:val="2"/>
  </w:num>
  <w:num w:numId="11" w16cid:durableId="2034383823">
    <w:abstractNumId w:val="1"/>
  </w:num>
  <w:num w:numId="12" w16cid:durableId="205262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27284FB"/>
  <w15:docId w15:val="{E58C7978-1E40-4CA4-A8EC-35D626B61C3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after="120"/>
    </w:pPr>
    <w:rPr>
      <w:rFonts w:ascii="Arial" w:hAnsi="Arial"/>
      <w:color w:val="000000"/>
      <w:sz w:val="24"/>
      <w:u w:val="none"/>
    </w:rPr>
  </w:style>
  <w:style w:type="paragraph" w:styleId="Heading1">
    <w:name w:val="heading 1"/>
    <w:basedOn w:val="Normal"/>
    <w:next w:val="Normal"/>
    <w:link w:val="Heading1Char"/>
    <w:uiPriority w:val="9"/>
    <w:qFormat/>
    <w:pPr>
      <w:spacing w:after="160" w:before="240" w:line="276" w:lineRule="auto"/>
      <w:outlineLvl w:val="0"/>
    </w:pPr>
    <w:rPr>
      <w:rFonts w:ascii="Arial" w:hAnsi="Arial"/>
      <w:b/>
      <w:bCs/>
      <w:color w:val="000000"/>
      <w:sz w:val="32"/>
      <w:u w:val="none"/>
    </w:rPr>
  </w:style>
  <w:style w:type="paragraph" w:styleId="Heading2">
    <w:name w:val="heading 2"/>
    <w:basedOn w:val="Normal"/>
    <w:next w:val="Normal"/>
    <w:link w:val="Heading2Char"/>
    <w:uiPriority w:val="9"/>
    <w:unhideWhenUsed/>
    <w:qFormat/>
    <w:pPr>
      <w:spacing w:before="240" w:after="160" w:line="276" w:lineRule="auto"/>
      <w:outlineLvl w:val="1"/>
    </w:pPr>
    <w:rPr>
      <w:rFonts w:ascii="Arial" w:hAnsi="Arial"/>
      <w:b/>
      <w:bCs/>
      <w:color w:val="000000"/>
      <w:sz w:val="28"/>
      <w:u w:val="none"/>
    </w:rPr>
  </w:style>
  <w:style w:type="paragraph" w:styleId="Heading3">
    <w:name w:val="heading 3"/>
    <w:basedOn w:val="Normal"/>
    <w:next w:val="Normal"/>
    <w:link w:val="Heading3Char"/>
    <w:uiPriority w:val="9"/>
    <w:unhideWhenUsed/>
    <w:qFormat/>
    <w:pPr>
      <w:spacing w:before="240" w:after="160" w:line="276" w:lineRule="auto"/>
      <w:outlineLvl w:val="2"/>
    </w:pPr>
    <w:rPr>
      <w:rFonts w:ascii="Arial" w:hAnsi="Arial"/>
      <w:b/>
      <w:bCs/>
      <w:color w:val="000000"/>
      <w:sz w:val="24"/>
      <w:u w:val="none"/>
    </w:rPr>
  </w:style>
  <w:style w:type="paragraph" w:styleId="Heading4">
    <w:name w:val="heading 4"/>
    <w:basedOn w:val="Normal"/>
    <w:next w:val="Normal"/>
    <w:link w:val="Heading4Char"/>
    <w:uiPriority w:val="9"/>
    <w:semiHidden/>
    <w:unhideWhenUsed/>
    <w:qFormat/>
    <w:pPr>
      <w:pBdr>
        <w:top w:val="nil"/>
        <w:left w:val="nil"/>
        <w:bottom w:val="nil"/>
        <w:right w:val="nil"/>
        <w:between w:val="nil"/>
      </w:pBdr>
      <w:outlineLvl w:val="3"/>
    </w:pPr>
    <w:rPr>
      <w:i/>
      <w:iCs/>
    </w:rPr>
  </w:style>
  <w:style w:type="paragraph" w:styleId="Heading5">
    <w:name w:val="heading 5"/>
    <w:basedOn w:val="Normal"/>
    <w:next w:val="Normal"/>
    <w:link w:val="Heading5Char"/>
    <w:uiPriority w:val="9"/>
    <w:semiHidden/>
    <w:unhideWhenUsed/>
    <w:qFormat/>
    <w:pPr>
      <w:pBdr>
        <w:top w:val="nil"/>
        <w:left w:val="nil"/>
        <w:bottom w:val="nil"/>
        <w:right w:val="nil"/>
        <w:between w:val="nil"/>
      </w:pBdr>
      <w:outlineLvl w:val="4"/>
    </w:pPr>
  </w:style>
  <w:style w:type="paragraph" w:styleId="Heading6">
    <w:name w:val="heading 6"/>
    <w:basedOn w:val="Normal"/>
    <w:next w:val="Normal"/>
    <w:link w:val="Heading6Char"/>
    <w:uiPriority w:val="9"/>
    <w:semiHidden/>
    <w:unhideWhenUsed/>
    <w:qFormat/>
    <w:pPr>
      <w:pBdr>
        <w:top w:val="nil"/>
        <w:left w:val="nil"/>
        <w:bottom w:val="nil"/>
        <w:right w:val="nil"/>
        <w:between w:val="nil"/>
      </w:pBdr>
      <w:outlineLvl w:val="5"/>
    </w:pPr>
  </w:style>
  <w:style w:type="paragraph" w:styleId="Heading7">
    <w:name w:val="heading 7"/>
    <w:basedOn w:val="Normal"/>
    <w:next w:val="Normal"/>
    <w:link w:val="Heading7Char"/>
    <w:uiPriority w:val="9"/>
    <w:semiHidden/>
    <w:unhideWhenUsed/>
    <w:qFormat/>
    <w:rsid w:val="00145BE5"/>
    <w:pPr>
      <w:keepNext/>
      <w:keepLines/>
      <w:spacing w:before="200" w:line="276" w:lineRule="auto"/>
      <w:outlineLvl w:val="6"/>
    </w:pPr>
    <w:rPr>
      <w:i/>
      <w:iCs/>
      <w:lang w:val="en-US" w:eastAsia="en-US"/>
    </w:rPr>
  </w:style>
  <w:style w:type="paragraph" w:styleId="Heading8">
    <w:name w:val="heading 8"/>
    <w:basedOn w:val="Normal"/>
    <w:next w:val="Normal"/>
    <w:link w:val="Heading8Char"/>
    <w:uiPriority w:val="9"/>
    <w:semiHidden/>
    <w:unhideWhenUsed/>
    <w:qFormat/>
    <w:rsid w:val="00145BE5"/>
    <w:pPr>
      <w:keepNext/>
      <w:keepLines/>
      <w:spacing w:before="200" w:line="276" w:lineRule="auto"/>
      <w:outlineLvl w:val="7"/>
    </w:pPr>
    <w:rPr>
      <w:lang w:val="en-US" w:eastAsia="en-US"/>
    </w:rPr>
  </w:style>
  <w:style w:type="paragraph" w:styleId="Heading9">
    <w:name w:val="heading 9"/>
    <w:basedOn w:val="Normal"/>
    <w:next w:val="Normal"/>
    <w:link w:val="Heading9Char"/>
    <w:uiPriority w:val="9"/>
    <w:semiHidden/>
    <w:unhideWhenUsed/>
    <w:qFormat/>
    <w:rsid w:val="00145BE5"/>
    <w:pPr>
      <w:keepNext/>
      <w:keepLines/>
      <w:spacing w:before="200" w:line="276" w:lineRule="auto"/>
      <w:outlineLvl w:val="8"/>
    </w:pPr>
    <w:rPr>
      <w:i/>
      <w:iCs/>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Pr>
      <w:color w:val="000000"/>
    </w:rPr>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240" w:after="160" w:line="276" w:lineRule="auto"/>
    </w:pPr>
    <w:rPr>
      <w:rFonts w:ascii="Arial" w:hAnsi="Arial"/>
      <w:b/>
      <w:color w:val="000000"/>
      <w:sz w:val="36"/>
      <w:u w:val="none"/>
    </w:rPr>
  </w:style>
  <w:style w:type="paragraph" w:styleId="Subtitle">
    <w:name w:val="Subtitle"/>
    <w:basedOn w:val="Normal"/>
    <w:next w:val="Normal"/>
    <w:link w:val="SubtitleChar"/>
    <w:uiPriority w:val="11"/>
    <w:qFormat/>
    <w:pPr>
      <w:keepNext/>
      <w:keepLines/>
      <w:spacing w:before="360" w:after="80"/>
    </w:pPr>
    <w:rPr>
      <w:i/>
      <w:iCs/>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paragraph" w:styleId="TOCHeading">
    <w:name w:val="TOC Heading"/>
    <w:basedOn w:val="Heading1"/>
    <w:next w:val="Normal"/>
    <w:uiPriority w:val="39"/>
    <w:unhideWhenUsed/>
    <w:qFormat/>
    <w:rsid w:val="000D70F2"/>
    <w:pPr>
      <w:keepNext/>
      <w:keepLines/>
      <w:pBdr>
        <w:top w:val="none" w:sz="0" w:space="0" w:color="auto"/>
        <w:left w:val="none" w:sz="0" w:space="0" w:color="auto"/>
        <w:bottom w:val="none" w:sz="0" w:space="0" w:color="auto"/>
        <w:right w:val="none" w:sz="0" w:space="0" w:color="auto"/>
        <w:between w:val="none" w:sz="0" w:space="0" w:color="auto"/>
      </w:pBdr>
      <w:tabs>
        <w:tab w:val="right" w:leader="dot" w:pos="8640"/>
      </w:tabs>
      <w:spacing w:after="100"/>
      <w:outlineLvl w:val="9"/>
    </w:pPr>
    <w:rPr>
      <w:b w:val="0"/>
      <w:bCs w:val="0"/>
      <w:lang w:val="en-US" w:eastAsia="en-US"/>
    </w:rPr>
  </w:style>
  <w:style w:type="paragraph" w:styleId="TOC1">
    <w:name w:val="toc 1"/>
    <w:basedOn w:val="Normal"/>
    <w:next w:val="Normal"/>
    <w:autoRedefine/>
    <w:uiPriority w:val="39"/>
    <w:unhideWhenUsed/>
    <w:rsid w:val="000D70F2"/>
    <w:pPr>
      <w:tabs>
        <w:tab w:val="right" w:leader="dot" w:pos="8640"/>
      </w:tabs>
      <w:spacing w:after="100"/>
    </w:pPr>
    <w:rPr>
      <w:b/>
    </w:rPr>
  </w:style>
  <w:style w:type="paragraph" w:styleId="TOC2">
    <w:name w:val="toc 2"/>
    <w:basedOn w:val="Normal"/>
    <w:next w:val="Normal"/>
    <w:autoRedefine/>
    <w:uiPriority w:val="39"/>
    <w:unhideWhenUsed/>
    <w:rsid w:val="000D70F2"/>
    <w:pPr>
      <w:tabs>
        <w:tab w:val="right" w:leader="dot" w:pos="8640"/>
      </w:tabs>
      <w:spacing w:after="100"/>
      <w:ind w:left="240"/>
    </w:pPr>
  </w:style>
  <w:style w:type="paragraph" w:styleId="TOC3">
    <w:name w:val="toc 3"/>
    <w:basedOn w:val="Normal"/>
    <w:next w:val="Normal"/>
    <w:autoRedefine/>
    <w:uiPriority w:val="39"/>
    <w:unhideWhenUsed/>
    <w:rsid w:val="000D70F2"/>
    <w:pPr>
      <w:tabs>
        <w:tab w:val="right" w:leader="dot" w:pos="8640"/>
      </w:tabs>
      <w:spacing w:after="100"/>
      <w:ind w:left="480"/>
    </w:pPr>
  </w:style>
  <w:style w:type="character" w:styleId="Hyperlink">
    <w:name w:val="Hyperlink"/>
    <w:basedOn w:val="DefaultParagraphFont"/>
    <w:uiPriority w:val="99"/>
    <w:unhideWhenUsed/>
    <w:rsid w:val="000D70F2"/>
    <w:rPr>
      <w:rFonts w:ascii="Arial" w:eastAsia="Arial" w:hAnsi="Arial" w:cs="Arial"/>
      <w:color w:val="000000"/>
      <w:u w:val="single"/>
    </w:rPr>
  </w:style>
  <w:style w:type="paragraph" w:customStyle="1" w:styleId="Strong1">
    <w:name w:val="Strong1"/>
    <w:qFormat/>
    <w:rsid w:val="00145BE5"/>
    <w:rPr>
      <w:b/>
      <w:bCs/>
      <w:color w:val="000000"/>
    </w:rPr>
  </w:style>
  <w:style w:type="paragraph" w:styleId="ListParagraph">
    <w:name w:val="List Paragraph"/>
    <w:uiPriority w:val="34"/>
    <w:qFormat/>
    <w:rsid w:val="00145BE5"/>
    <w:rPr>
      <w:color w:val="000000"/>
    </w:rPr>
  </w:style>
  <w:style w:type="character" w:styleId="FootnoteReference">
    <w:name w:val="footnote reference"/>
    <w:uiPriority w:val="99"/>
    <w:semiHidden/>
    <w:unhideWhenUsed/>
    <w:rsid w:val="00145BE5"/>
    <w:rPr>
      <w:rFonts w:ascii="Arial" w:eastAsia="Arial" w:hAnsi="Arial" w:cs="Arial"/>
      <w:color w:val="000000"/>
      <w:vertAlign w:val="superscript"/>
    </w:rPr>
  </w:style>
  <w:style w:type="paragraph" w:styleId="FootnoteText">
    <w:name w:val="footnote text"/>
    <w:link w:val="FootnoteTextChar"/>
    <w:uiPriority w:val="99"/>
    <w:semiHidden/>
    <w:unhideWhenUsed/>
    <w:rsid w:val="00145BE5"/>
    <w:rPr>
      <w:color w:val="000000"/>
      <w:sz w:val="20"/>
      <w:szCs w:val="20"/>
    </w:rPr>
  </w:style>
  <w:style w:type="character" w:customStyle="1" w:styleId="FootnoteTextChar">
    <w:name w:val="Footnote Text Char"/>
    <w:basedOn w:val="DefaultParagraphFont"/>
    <w:link w:val="FootnoteText"/>
    <w:uiPriority w:val="99"/>
    <w:semiHidden/>
    <w:rsid w:val="00145BE5"/>
    <w:rPr>
      <w:rFonts w:ascii="Arial" w:eastAsia="Arial" w:hAnsi="Arial" w:cs="Arial"/>
      <w:color w:val="000000"/>
      <w:sz w:val="20"/>
      <w:szCs w:val="20"/>
    </w:rPr>
  </w:style>
  <w:style w:type="character" w:styleId="EndnoteReference">
    <w:name w:val="endnote reference"/>
    <w:uiPriority w:val="99"/>
    <w:semiHidden/>
    <w:unhideWhenUsed/>
    <w:rsid w:val="00145BE5"/>
    <w:rPr>
      <w:rFonts w:ascii="Arial" w:eastAsia="Arial" w:hAnsi="Arial" w:cs="Arial"/>
      <w:color w:val="000000"/>
      <w:vertAlign w:val="superscript"/>
    </w:rPr>
  </w:style>
  <w:style w:type="paragraph" w:styleId="EndnoteText">
    <w:name w:val="endnote text"/>
    <w:link w:val="EndnoteTextChar"/>
    <w:uiPriority w:val="99"/>
    <w:semiHidden/>
    <w:unhideWhenUsed/>
    <w:rsid w:val="00145BE5"/>
    <w:rPr>
      <w:color w:val="000000"/>
      <w:sz w:val="20"/>
      <w:szCs w:val="20"/>
    </w:rPr>
  </w:style>
  <w:style w:type="character" w:customStyle="1" w:styleId="EndnoteTextChar">
    <w:name w:val="Endnote Text Char"/>
    <w:basedOn w:val="DefaultParagraphFont"/>
    <w:link w:val="EndnoteText"/>
    <w:uiPriority w:val="99"/>
    <w:semiHidden/>
    <w:rsid w:val="00145BE5"/>
    <w:rPr>
      <w:rFonts w:ascii="Arial" w:eastAsia="Arial" w:hAnsi="Arial" w:cs="Arial"/>
      <w:color w:val="000000"/>
      <w:sz w:val="20"/>
      <w:szCs w:val="20"/>
    </w:rPr>
  </w:style>
  <w:style w:type="paragraph" w:styleId="Header">
    <w:name w:val="header"/>
    <w:basedOn w:val="Normal"/>
    <w:link w:val="HeaderChar"/>
    <w:uiPriority w:val="99"/>
    <w:unhideWhenUsed/>
    <w:rsid w:val="00145BE5"/>
    <w:pPr>
      <w:tabs>
        <w:tab w:val="center" w:pos="4513"/>
        <w:tab w:val="right" w:pos="9026"/>
      </w:tabs>
    </w:pPr>
  </w:style>
  <w:style w:type="character" w:customStyle="1" w:styleId="HeaderChar">
    <w:name w:val="Header Char"/>
    <w:basedOn w:val="DefaultParagraphFont"/>
    <w:link w:val="Header"/>
    <w:uiPriority w:val="99"/>
    <w:rsid w:val="00145BE5"/>
    <w:rPr>
      <w:rFonts w:ascii="Arial" w:eastAsia="Arial" w:hAnsi="Arial" w:cs="Arial"/>
      <w:color w:val="000000"/>
    </w:rPr>
  </w:style>
  <w:style w:type="paragraph" w:styleId="Footer">
    <w:name w:val="footer"/>
    <w:basedOn w:val="Normal"/>
    <w:link w:val="FooterChar"/>
    <w:uiPriority w:val="99"/>
    <w:unhideWhenUsed/>
    <w:rsid w:val="00145BE5"/>
    <w:pPr>
      <w:tabs>
        <w:tab w:val="center" w:pos="4513"/>
        <w:tab w:val="right" w:pos="9026"/>
      </w:tabs>
    </w:pPr>
  </w:style>
  <w:style w:type="character" w:customStyle="1" w:styleId="FooterChar">
    <w:name w:val="Footer Char"/>
    <w:basedOn w:val="DefaultParagraphFont"/>
    <w:link w:val="Footer"/>
    <w:uiPriority w:val="99"/>
    <w:rsid w:val="00145BE5"/>
    <w:rPr>
      <w:rFonts w:ascii="Arial" w:eastAsia="Arial" w:hAnsi="Arial" w:cs="Arial"/>
      <w:color w:val="000000"/>
    </w:rPr>
  </w:style>
  <w:style w:type="character" w:customStyle="1" w:styleId="Heading7Char">
    <w:name w:val="Heading 7 Char"/>
    <w:basedOn w:val="DefaultParagraphFont"/>
    <w:link w:val="Heading7"/>
    <w:uiPriority w:val="9"/>
    <w:semiHidden/>
    <w:rsid w:val="00145BE5"/>
    <w:rPr>
      <w:rFonts w:ascii="Arial" w:eastAsia="Arial" w:hAnsi="Arial" w:cs="Arial"/>
      <w:i/>
      <w:iCs/>
      <w:color w:val="000000"/>
      <w:sz w:val="24"/>
      <w:szCs w:val="24"/>
      <w:lang w:val="en-US" w:eastAsia="en-US"/>
    </w:rPr>
  </w:style>
  <w:style w:type="character" w:customStyle="1" w:styleId="Heading8Char">
    <w:name w:val="Heading 8 Char"/>
    <w:basedOn w:val="DefaultParagraphFont"/>
    <w:link w:val="Heading8"/>
    <w:uiPriority w:val="9"/>
    <w:semiHidden/>
    <w:rsid w:val="00145BE5"/>
    <w:rPr>
      <w:rFonts w:ascii="Arial" w:eastAsia="Arial" w:hAnsi="Arial" w:cs="Arial"/>
      <w:color w:val="000000"/>
      <w:sz w:val="24"/>
      <w:szCs w:val="24"/>
      <w:lang w:val="en-US" w:eastAsia="en-US"/>
    </w:rPr>
  </w:style>
  <w:style w:type="character" w:customStyle="1" w:styleId="Heading9Char">
    <w:name w:val="Heading 9 Char"/>
    <w:basedOn w:val="DefaultParagraphFont"/>
    <w:link w:val="Heading9"/>
    <w:uiPriority w:val="9"/>
    <w:semiHidden/>
    <w:rsid w:val="00145BE5"/>
    <w:rPr>
      <w:rFonts w:ascii="Arial" w:eastAsia="Arial" w:hAnsi="Arial" w:cs="Arial"/>
      <w:i/>
      <w:iCs/>
      <w:color w:val="000000"/>
      <w:sz w:val="24"/>
      <w:szCs w:val="24"/>
      <w:lang w:val="en-US" w:eastAsia="en-US"/>
    </w:rPr>
  </w:style>
  <w:style w:type="paragraph" w:styleId="NoSpacing">
    <w:name w:val="No Spacing"/>
    <w:uiPriority w:val="1"/>
    <w:qFormat/>
    <w:rsid w:val="00145BE5"/>
    <w:rPr>
      <w:color w:val="000000"/>
      <w:sz w:val="22"/>
      <w:szCs w:val="22"/>
      <w:lang w:val="en-US" w:eastAsia="en-US"/>
    </w:rPr>
  </w:style>
  <w:style w:type="character" w:customStyle="1" w:styleId="Heading1Char">
    <w:name w:val="Heading 1 Char"/>
    <w:basedOn w:val="DefaultParagraphFont"/>
    <w:link w:val="Heading1"/>
    <w:uiPriority w:val="9"/>
    <w:rsid w:val="00145BE5"/>
    <w:rPr>
      <w:rFonts w:ascii="Arial" w:eastAsia="Arial" w:hAnsi="Arial" w:cs="Arial"/>
      <w:b/>
      <w:bCs/>
      <w:color w:val="000000"/>
      <w:sz w:val="24"/>
      <w:szCs w:val="24"/>
    </w:rPr>
  </w:style>
  <w:style w:type="character" w:customStyle="1" w:styleId="Heading2Char">
    <w:name w:val="Heading 2 Char"/>
    <w:basedOn w:val="DefaultParagraphFont"/>
    <w:link w:val="Heading2"/>
    <w:uiPriority w:val="9"/>
    <w:rsid w:val="00145BE5"/>
    <w:rPr>
      <w:rFonts w:ascii="Arial" w:eastAsia="Arial" w:hAnsi="Arial" w:cs="Arial"/>
      <w:b/>
      <w:bCs/>
      <w:color w:val="000000"/>
      <w:sz w:val="24"/>
      <w:szCs w:val="24"/>
    </w:rPr>
  </w:style>
  <w:style w:type="character" w:customStyle="1" w:styleId="Heading3Char">
    <w:name w:val="Heading 3 Char"/>
    <w:basedOn w:val="DefaultParagraphFont"/>
    <w:link w:val="Heading3"/>
    <w:uiPriority w:val="9"/>
    <w:rsid w:val="00145BE5"/>
    <w:rPr>
      <w:rFonts w:ascii="Arial" w:eastAsia="Arial" w:hAnsi="Arial" w:cs="Arial"/>
      <w:b/>
      <w:bCs/>
      <w:color w:val="000000"/>
      <w:sz w:val="24"/>
      <w:szCs w:val="24"/>
    </w:rPr>
  </w:style>
  <w:style w:type="character" w:customStyle="1" w:styleId="TitleChar">
    <w:name w:val="Title Char"/>
    <w:basedOn w:val="DefaultParagraphFont"/>
    <w:link w:val="Title"/>
    <w:uiPriority w:val="10"/>
    <w:rsid w:val="00145BE5"/>
    <w:rPr>
      <w:rFonts w:ascii="Arial" w:eastAsia="Arial" w:hAnsi="Arial" w:cs="Arial"/>
      <w:color w:val="000000"/>
      <w:sz w:val="56"/>
      <w:szCs w:val="56"/>
    </w:rPr>
  </w:style>
  <w:style w:type="character" w:customStyle="1" w:styleId="SubtitleChar">
    <w:name w:val="Subtitle Char"/>
    <w:basedOn w:val="DefaultParagraphFont"/>
    <w:link w:val="Subtitle"/>
    <w:uiPriority w:val="11"/>
    <w:rsid w:val="00145BE5"/>
    <w:rPr>
      <w:rFonts w:ascii="Arial" w:eastAsia="Arial" w:hAnsi="Arial" w:cs="Arial"/>
      <w:i/>
      <w:iCs/>
      <w:color w:val="000000"/>
      <w:sz w:val="48"/>
      <w:szCs w:val="48"/>
    </w:rPr>
  </w:style>
  <w:style w:type="paragraph" w:styleId="BodyText">
    <w:name w:val="Body Text"/>
    <w:basedOn w:val="Normal"/>
    <w:link w:val="BodyTextChar"/>
    <w:uiPriority w:val="99"/>
    <w:unhideWhenUsed/>
    <w:rsid w:val="00145BE5"/>
    <w:pPr>
      <w:spacing w:after="120" w:line="276" w:lineRule="auto"/>
    </w:pPr>
    <w:rPr>
      <w:sz w:val="20"/>
      <w:szCs w:val="22"/>
      <w:lang w:val="en-US" w:eastAsia="en-US"/>
    </w:rPr>
  </w:style>
  <w:style w:type="character" w:customStyle="1" w:styleId="BodyTextChar">
    <w:name w:val="Body Text Char"/>
    <w:basedOn w:val="DefaultParagraphFont"/>
    <w:link w:val="BodyText"/>
    <w:uiPriority w:val="99"/>
    <w:rsid w:val="00145BE5"/>
    <w:rPr>
      <w:rFonts w:ascii="Arial" w:eastAsia="Arial" w:hAnsi="Arial" w:cs="Arial"/>
      <w:color w:val="000000"/>
      <w:sz w:val="20"/>
      <w:szCs w:val="22"/>
      <w:lang w:val="en-US" w:eastAsia="en-US"/>
    </w:rPr>
  </w:style>
  <w:style w:type="paragraph" w:styleId="BodyText2">
    <w:name w:val="Body Text 2"/>
    <w:basedOn w:val="Normal"/>
    <w:link w:val="BodyText2Char"/>
    <w:uiPriority w:val="99"/>
    <w:unhideWhenUsed/>
    <w:rsid w:val="00145BE5"/>
    <w:pPr>
      <w:spacing w:after="120" w:line="480" w:lineRule="auto"/>
    </w:pPr>
    <w:rPr>
      <w:sz w:val="20"/>
      <w:szCs w:val="22"/>
      <w:lang w:val="en-US" w:eastAsia="en-US"/>
    </w:rPr>
  </w:style>
  <w:style w:type="character" w:customStyle="1" w:styleId="BodyText2Char">
    <w:name w:val="Body Text 2 Char"/>
    <w:basedOn w:val="DefaultParagraphFont"/>
    <w:link w:val="BodyText2"/>
    <w:uiPriority w:val="99"/>
    <w:rsid w:val="00145BE5"/>
    <w:rPr>
      <w:rFonts w:ascii="Arial" w:eastAsia="Arial" w:hAnsi="Arial" w:cs="Arial"/>
      <w:color w:val="000000"/>
      <w:sz w:val="20"/>
      <w:szCs w:val="22"/>
      <w:lang w:val="en-US" w:eastAsia="en-US"/>
    </w:rPr>
  </w:style>
  <w:style w:type="paragraph" w:styleId="BodyText3">
    <w:name w:val="Body Text 3"/>
    <w:basedOn w:val="Normal"/>
    <w:link w:val="BodyText3Char"/>
    <w:uiPriority w:val="99"/>
    <w:unhideWhenUsed/>
    <w:rsid w:val="00145BE5"/>
    <w:pPr>
      <w:spacing w:after="120" w:line="276" w:lineRule="auto"/>
    </w:pPr>
    <w:rPr>
      <w:sz w:val="16"/>
      <w:szCs w:val="16"/>
      <w:lang w:val="en-US" w:eastAsia="en-US"/>
    </w:rPr>
  </w:style>
  <w:style w:type="character" w:customStyle="1" w:styleId="BodyText3Char">
    <w:name w:val="Body Text 3 Char"/>
    <w:basedOn w:val="DefaultParagraphFont"/>
    <w:link w:val="BodyText3"/>
    <w:uiPriority w:val="99"/>
    <w:rsid w:val="00145BE5"/>
    <w:rPr>
      <w:rFonts w:ascii="Arial" w:eastAsia="Arial" w:hAnsi="Arial" w:cs="Arial"/>
      <w:color w:val="000000"/>
      <w:sz w:val="16"/>
      <w:szCs w:val="16"/>
      <w:lang w:val="en-US" w:eastAsia="en-US"/>
    </w:rPr>
  </w:style>
  <w:style w:type="paragraph" w:styleId="List">
    <w:name w:val="List"/>
    <w:basedOn w:val="Normal"/>
    <w:uiPriority w:val="99"/>
    <w:unhideWhenUsed/>
    <w:rsid w:val="00145BE5"/>
    <w:pPr>
      <w:spacing w:after="200" w:line="276" w:lineRule="auto"/>
      <w:ind w:left="360" w:hanging="360"/>
      <w:contextualSpacing/>
    </w:pPr>
    <w:rPr>
      <w:sz w:val="20"/>
      <w:szCs w:val="22"/>
      <w:lang w:val="en-US" w:eastAsia="en-US"/>
    </w:rPr>
  </w:style>
  <w:style w:type="paragraph" w:styleId="List2">
    <w:name w:val="List 2"/>
    <w:basedOn w:val="Normal"/>
    <w:uiPriority w:val="99"/>
    <w:unhideWhenUsed/>
    <w:rsid w:val="00145BE5"/>
    <w:pPr>
      <w:spacing w:after="200" w:line="276" w:lineRule="auto"/>
      <w:ind w:left="720" w:hanging="360"/>
      <w:contextualSpacing/>
    </w:pPr>
    <w:rPr>
      <w:sz w:val="20"/>
      <w:szCs w:val="22"/>
      <w:lang w:val="en-US" w:eastAsia="en-US"/>
    </w:rPr>
  </w:style>
  <w:style w:type="paragraph" w:styleId="List3">
    <w:name w:val="List 3"/>
    <w:basedOn w:val="Normal"/>
    <w:uiPriority w:val="99"/>
    <w:unhideWhenUsed/>
    <w:rsid w:val="00145BE5"/>
    <w:pPr>
      <w:spacing w:after="200" w:line="276" w:lineRule="auto"/>
      <w:ind w:left="1080" w:hanging="360"/>
      <w:contextualSpacing/>
    </w:pPr>
    <w:rPr>
      <w:sz w:val="20"/>
      <w:szCs w:val="22"/>
      <w:lang w:val="en-US" w:eastAsia="en-US"/>
    </w:rPr>
  </w:style>
  <w:style w:type="paragraph" w:styleId="ListBullet">
    <w:name w:val="List Bullet"/>
    <w:basedOn w:val="Normal"/>
    <w:uiPriority w:val="99"/>
    <w:unhideWhenUsed/>
    <w:rsid w:val="00145BE5"/>
    <w:pPr>
      <w:numPr>
        <w:numId w:val="4"/>
      </w:numPr>
      <w:tabs>
        <w:tab w:val="clear" w:pos="360"/>
        <w:tab w:val="num" w:pos="1440"/>
      </w:tabs>
      <w:spacing w:after="200" w:line="276" w:lineRule="auto"/>
      <w:ind w:left="0" w:firstLine="0"/>
      <w:contextualSpacing/>
    </w:pPr>
    <w:rPr>
      <w:sz w:val="20"/>
      <w:szCs w:val="22"/>
      <w:lang w:val="en-US" w:eastAsia="en-US"/>
    </w:rPr>
  </w:style>
  <w:style w:type="paragraph" w:styleId="ListBullet2">
    <w:name w:val="List Bullet 2"/>
    <w:basedOn w:val="Normal"/>
    <w:uiPriority w:val="99"/>
    <w:unhideWhenUsed/>
    <w:rsid w:val="00145BE5"/>
    <w:pPr>
      <w:numPr>
        <w:numId w:val="5"/>
      </w:numPr>
      <w:tabs>
        <w:tab w:val="clear" w:pos="720"/>
      </w:tabs>
      <w:spacing w:after="200" w:line="276" w:lineRule="auto"/>
      <w:ind w:left="0" w:firstLine="0"/>
      <w:contextualSpacing/>
    </w:pPr>
    <w:rPr>
      <w:sz w:val="20"/>
      <w:szCs w:val="22"/>
      <w:lang w:val="en-US" w:eastAsia="en-US"/>
    </w:rPr>
  </w:style>
  <w:style w:type="paragraph" w:styleId="ListBullet3">
    <w:name w:val="List Bullet 3"/>
    <w:basedOn w:val="Normal"/>
    <w:uiPriority w:val="99"/>
    <w:unhideWhenUsed/>
    <w:rsid w:val="00145BE5"/>
    <w:pPr>
      <w:numPr>
        <w:numId w:val="6"/>
      </w:numPr>
      <w:tabs>
        <w:tab w:val="clear" w:pos="1080"/>
        <w:tab w:val="num" w:pos="720"/>
      </w:tabs>
      <w:spacing w:after="200" w:line="276" w:lineRule="auto"/>
      <w:ind w:left="0" w:firstLine="0"/>
      <w:contextualSpacing/>
    </w:pPr>
    <w:rPr>
      <w:sz w:val="20"/>
      <w:szCs w:val="22"/>
      <w:lang w:val="en-US" w:eastAsia="en-US"/>
    </w:rPr>
  </w:style>
  <w:style w:type="paragraph" w:styleId="ListNumber">
    <w:name w:val="List Number"/>
    <w:basedOn w:val="Normal"/>
    <w:uiPriority w:val="99"/>
    <w:unhideWhenUsed/>
    <w:rsid w:val="00145BE5"/>
    <w:pPr>
      <w:numPr>
        <w:numId w:val="8"/>
      </w:numPr>
      <w:tabs>
        <w:tab w:val="clear" w:pos="360"/>
        <w:tab w:val="num" w:pos="1440"/>
      </w:tabs>
      <w:spacing w:after="200" w:line="276" w:lineRule="auto"/>
      <w:ind w:left="0" w:firstLine="0"/>
      <w:contextualSpacing/>
    </w:pPr>
    <w:rPr>
      <w:sz w:val="20"/>
      <w:szCs w:val="22"/>
      <w:lang w:val="en-US" w:eastAsia="en-US"/>
    </w:rPr>
  </w:style>
  <w:style w:type="paragraph" w:styleId="ListNumber2">
    <w:name w:val="List Number 2"/>
    <w:basedOn w:val="Normal"/>
    <w:uiPriority w:val="99"/>
    <w:unhideWhenUsed/>
    <w:rsid w:val="00145BE5"/>
    <w:pPr>
      <w:numPr>
        <w:numId w:val="9"/>
      </w:numPr>
      <w:tabs>
        <w:tab w:val="clear" w:pos="720"/>
        <w:tab w:val="num" w:pos="1800"/>
      </w:tabs>
      <w:spacing w:after="200" w:line="276" w:lineRule="auto"/>
      <w:ind w:left="0" w:firstLine="0"/>
      <w:contextualSpacing/>
    </w:pPr>
    <w:rPr>
      <w:sz w:val="20"/>
      <w:szCs w:val="22"/>
      <w:lang w:val="en-US" w:eastAsia="en-US"/>
    </w:rPr>
  </w:style>
  <w:style w:type="paragraph" w:styleId="ListNumber3">
    <w:name w:val="List Number 3"/>
    <w:basedOn w:val="Normal"/>
    <w:uiPriority w:val="99"/>
    <w:unhideWhenUsed/>
    <w:rsid w:val="00145BE5"/>
    <w:pPr>
      <w:numPr>
        <w:numId w:val="10"/>
      </w:numPr>
      <w:tabs>
        <w:tab w:val="clear" w:pos="1080"/>
        <w:tab w:val="num" w:pos="360"/>
      </w:tabs>
      <w:spacing w:after="200" w:line="276" w:lineRule="auto"/>
      <w:ind w:left="0" w:firstLine="0"/>
      <w:contextualSpacing/>
    </w:pPr>
    <w:rPr>
      <w:sz w:val="20"/>
      <w:szCs w:val="22"/>
      <w:lang w:val="en-US" w:eastAsia="en-US"/>
    </w:rPr>
  </w:style>
  <w:style w:type="paragraph" w:styleId="ListContinue">
    <w:name w:val="List Continue"/>
    <w:basedOn w:val="Normal"/>
    <w:uiPriority w:val="99"/>
    <w:unhideWhenUsed/>
    <w:rsid w:val="00145BE5"/>
    <w:pPr>
      <w:spacing w:after="120" w:line="276" w:lineRule="auto"/>
      <w:ind w:left="360"/>
      <w:contextualSpacing/>
    </w:pPr>
    <w:rPr>
      <w:sz w:val="20"/>
      <w:szCs w:val="22"/>
      <w:lang w:val="en-US" w:eastAsia="en-US"/>
    </w:rPr>
  </w:style>
  <w:style w:type="paragraph" w:styleId="ListContinue2">
    <w:name w:val="List Continue 2"/>
    <w:basedOn w:val="Normal"/>
    <w:uiPriority w:val="99"/>
    <w:unhideWhenUsed/>
    <w:rsid w:val="00145BE5"/>
    <w:pPr>
      <w:spacing w:after="120" w:line="276" w:lineRule="auto"/>
      <w:ind w:left="720"/>
      <w:contextualSpacing/>
    </w:pPr>
    <w:rPr>
      <w:sz w:val="20"/>
      <w:szCs w:val="22"/>
      <w:lang w:val="en-US" w:eastAsia="en-US"/>
    </w:rPr>
  </w:style>
  <w:style w:type="paragraph" w:styleId="ListContinue3">
    <w:name w:val="List Continue 3"/>
    <w:basedOn w:val="Normal"/>
    <w:uiPriority w:val="99"/>
    <w:unhideWhenUsed/>
    <w:rsid w:val="00145BE5"/>
    <w:pPr>
      <w:spacing w:after="120" w:line="276" w:lineRule="auto"/>
      <w:ind w:left="1080"/>
      <w:contextualSpacing/>
    </w:pPr>
    <w:rPr>
      <w:sz w:val="20"/>
      <w:szCs w:val="22"/>
      <w:lang w:val="en-US" w:eastAsia="en-US"/>
    </w:rPr>
  </w:style>
  <w:style w:type="paragraph" w:styleId="MacroText">
    <w:name w:val="macro"/>
    <w:link w:val="MacroTextChar"/>
    <w:uiPriority w:val="99"/>
    <w:unhideWhenUsed/>
    <w:rsid w:val="00145BE5"/>
    <w:pPr>
      <w:tabs>
        <w:tab w:val="left" w:pos="576"/>
        <w:tab w:val="left" w:pos="1152"/>
        <w:tab w:val="left" w:pos="1728"/>
        <w:tab w:val="left" w:pos="2304"/>
        <w:tab w:val="left" w:pos="2880"/>
        <w:tab w:val="left" w:pos="3456"/>
        <w:tab w:val="left" w:pos="4032"/>
      </w:tabs>
      <w:spacing w:after="200" w:line="276" w:lineRule="auto"/>
    </w:pPr>
    <w:rPr>
      <w:color w:val="000000"/>
      <w:sz w:val="20"/>
      <w:szCs w:val="20"/>
      <w:lang w:val="en-US" w:eastAsia="en-US"/>
    </w:rPr>
  </w:style>
  <w:style w:type="character" w:customStyle="1" w:styleId="MacroTextChar">
    <w:name w:val="Macro Text Char"/>
    <w:basedOn w:val="DefaultParagraphFont"/>
    <w:link w:val="MacroText"/>
    <w:uiPriority w:val="99"/>
    <w:rsid w:val="00145BE5"/>
    <w:rPr>
      <w:rFonts w:ascii="Arial" w:eastAsia="Arial" w:hAnsi="Arial" w:cs="Arial"/>
      <w:color w:val="000000"/>
      <w:sz w:val="20"/>
      <w:szCs w:val="20"/>
      <w:lang w:val="en-US" w:eastAsia="en-US"/>
    </w:rPr>
  </w:style>
  <w:style w:type="paragraph" w:styleId="Quote">
    <w:name w:val="Quote"/>
    <w:basedOn w:val="Normal"/>
    <w:next w:val="Normal"/>
    <w:link w:val="QuoteChar"/>
    <w:uiPriority w:val="29"/>
    <w:qFormat/>
    <w:rsid w:val="00145BE5"/>
    <w:pPr>
      <w:spacing w:after="200" w:line="276" w:lineRule="auto"/>
    </w:pPr>
    <w:rPr>
      <w:i/>
      <w:iCs/>
      <w:sz w:val="20"/>
      <w:szCs w:val="22"/>
      <w:lang w:val="en-US" w:eastAsia="en-US"/>
    </w:rPr>
  </w:style>
  <w:style w:type="character" w:customStyle="1" w:styleId="QuoteChar">
    <w:name w:val="Quote Char"/>
    <w:basedOn w:val="DefaultParagraphFont"/>
    <w:link w:val="Quote"/>
    <w:uiPriority w:val="29"/>
    <w:rsid w:val="00145BE5"/>
    <w:rPr>
      <w:rFonts w:ascii="Arial" w:eastAsia="Arial" w:hAnsi="Arial" w:cs="Arial"/>
      <w:i/>
      <w:iCs/>
      <w:color w:val="000000"/>
      <w:sz w:val="20"/>
      <w:szCs w:val="22"/>
      <w:lang w:val="en-US" w:eastAsia="en-US"/>
    </w:rPr>
  </w:style>
  <w:style w:type="character" w:customStyle="1" w:styleId="Heading4Char">
    <w:name w:val="Heading 4 Char"/>
    <w:basedOn w:val="DefaultParagraphFont"/>
    <w:link w:val="Heading4"/>
    <w:uiPriority w:val="9"/>
    <w:semiHidden/>
    <w:rsid w:val="00145BE5"/>
    <w:rPr>
      <w:rFonts w:ascii="Arial" w:eastAsia="Arial" w:hAnsi="Arial" w:cs="Arial"/>
      <w:i/>
      <w:iCs/>
      <w:color w:val="000000"/>
      <w:sz w:val="24"/>
      <w:szCs w:val="24"/>
    </w:rPr>
  </w:style>
  <w:style w:type="character" w:customStyle="1" w:styleId="Heading5Char">
    <w:name w:val="Heading 5 Char"/>
    <w:basedOn w:val="DefaultParagraphFont"/>
    <w:link w:val="Heading5"/>
    <w:uiPriority w:val="9"/>
    <w:semiHidden/>
    <w:rsid w:val="00145BE5"/>
    <w:rPr>
      <w:rFonts w:ascii="Arial" w:eastAsia="Arial" w:hAnsi="Arial" w:cs="Arial"/>
      <w:color w:val="000000"/>
      <w:sz w:val="24"/>
      <w:szCs w:val="24"/>
    </w:rPr>
  </w:style>
  <w:style w:type="character" w:customStyle="1" w:styleId="Heading6Char">
    <w:name w:val="Heading 6 Char"/>
    <w:basedOn w:val="DefaultParagraphFont"/>
    <w:link w:val="Heading6"/>
    <w:uiPriority w:val="9"/>
    <w:semiHidden/>
    <w:rsid w:val="00145BE5"/>
    <w:rPr>
      <w:rFonts w:ascii="Arial" w:eastAsia="Arial" w:hAnsi="Arial" w:cs="Arial"/>
      <w:color w:val="000000"/>
      <w:sz w:val="24"/>
      <w:szCs w:val="24"/>
    </w:rPr>
  </w:style>
  <w:style w:type="paragraph" w:styleId="Caption">
    <w:name w:val="caption"/>
    <w:basedOn w:val="Normal"/>
    <w:next w:val="Normal"/>
    <w:uiPriority w:val="35"/>
    <w:semiHidden/>
    <w:unhideWhenUsed/>
    <w:qFormat/>
    <w:rsid w:val="00145BE5"/>
    <w:pPr>
      <w:spacing w:after="200" w:line="264" w:lineRule="auto"/>
    </w:pPr>
    <w:rPr>
      <w:rFonts w:ascii="Arial" w:hAnsi="Arial"/>
      <w:b w:val="0"/>
      <w:bCs/>
      <w:i w:val="0"/>
      <w:color w:val="000000"/>
      <w:sz w:val="21"/>
      <w:szCs w:val="18"/>
      <w:u w:val="none"/>
      <w:lang w:val="en-US" w:eastAsia="en-US"/>
    </w:rPr>
  </w:style>
  <w:style w:type="character" w:styleId="Strong">
    <w:name w:val="Strong"/>
    <w:basedOn w:val="DefaultParagraphFont"/>
    <w:uiPriority w:val="22"/>
    <w:qFormat/>
    <w:rsid w:val="00145BE5"/>
    <w:rPr>
      <w:rFonts w:ascii="Arial" w:eastAsia="Arial" w:hAnsi="Arial" w:cs="Arial"/>
      <w:b/>
      <w:bCs/>
      <w:color w:val="000000"/>
    </w:rPr>
  </w:style>
  <w:style w:type="character" w:styleId="Emphasis">
    <w:name w:val="Emphasis"/>
    <w:basedOn w:val="DefaultParagraphFont"/>
    <w:uiPriority w:val="20"/>
    <w:qFormat/>
    <w:rsid w:val="00145BE5"/>
    <w:rPr>
      <w:rFonts w:ascii="Arial" w:eastAsia="Arial" w:hAnsi="Arial" w:cs="Arial"/>
      <w:i/>
      <w:iCs/>
      <w:color w:val="000000"/>
    </w:rPr>
  </w:style>
  <w:style w:type="paragraph" w:styleId="IntenseQuote">
    <w:name w:val="Intense Quote"/>
    <w:basedOn w:val="Normal"/>
    <w:next w:val="Normal"/>
    <w:link w:val="IntenseQuoteChar"/>
    <w:uiPriority w:val="30"/>
    <w:qFormat/>
    <w:rsid w:val="00145BE5"/>
    <w:pPr>
      <w:pBdr>
        <w:bottom w:val="single" w:sz="4" w:space="4" w:color="4F81BD" w:themeColor="accent1"/>
      </w:pBdr>
      <w:spacing w:before="200" w:after="280" w:line="276" w:lineRule="auto"/>
      <w:ind w:left="936" w:right="936"/>
    </w:pPr>
    <w:rPr>
      <w:b/>
      <w:bCs/>
      <w:i/>
      <w:iCs/>
      <w:sz w:val="20"/>
      <w:szCs w:val="22"/>
      <w:lang w:val="en-US" w:eastAsia="en-US"/>
    </w:rPr>
  </w:style>
  <w:style w:type="character" w:customStyle="1" w:styleId="IntenseQuoteChar">
    <w:name w:val="Intense Quote Char"/>
    <w:basedOn w:val="DefaultParagraphFont"/>
    <w:link w:val="IntenseQuote"/>
    <w:uiPriority w:val="30"/>
    <w:rsid w:val="00145BE5"/>
    <w:rPr>
      <w:rFonts w:ascii="Arial" w:eastAsia="Arial" w:hAnsi="Arial" w:cs="Arial"/>
      <w:b/>
      <w:bCs/>
      <w:i/>
      <w:iCs/>
      <w:color w:val="000000"/>
      <w:sz w:val="20"/>
      <w:szCs w:val="22"/>
      <w:lang w:val="en-US" w:eastAsia="en-US"/>
    </w:rPr>
  </w:style>
  <w:style w:type="character" w:styleId="SubtleEmphasis">
    <w:name w:val="Subtle Emphasis"/>
    <w:basedOn w:val="DefaultParagraphFont"/>
    <w:uiPriority w:val="19"/>
    <w:qFormat/>
    <w:rsid w:val="00145BE5"/>
    <w:rPr>
      <w:rFonts w:ascii="Arial" w:eastAsia="Arial" w:hAnsi="Arial" w:cs="Arial"/>
      <w:i/>
      <w:iCs/>
      <w:color w:val="000000"/>
    </w:rPr>
  </w:style>
  <w:style w:type="character" w:styleId="IntenseEmphasis">
    <w:name w:val="Intense Emphasis"/>
    <w:basedOn w:val="DefaultParagraphFont"/>
    <w:uiPriority w:val="21"/>
    <w:qFormat/>
    <w:rsid w:val="00145BE5"/>
    <w:rPr>
      <w:rFonts w:ascii="Arial" w:eastAsia="Arial" w:hAnsi="Arial" w:cs="Arial"/>
      <w:b/>
      <w:bCs/>
      <w:i/>
      <w:iCs/>
      <w:color w:val="000000"/>
    </w:rPr>
  </w:style>
  <w:style w:type="character" w:styleId="SubtleReference">
    <w:name w:val="Subtle Reference"/>
    <w:basedOn w:val="DefaultParagraphFont"/>
    <w:uiPriority w:val="31"/>
    <w:qFormat/>
    <w:rsid w:val="00145BE5"/>
    <w:rPr>
      <w:rFonts w:ascii="Arial" w:eastAsia="Arial" w:hAnsi="Arial" w:cs="Arial"/>
      <w:smallCaps/>
      <w:color w:val="000000"/>
      <w:u w:val="single"/>
    </w:rPr>
  </w:style>
  <w:style w:type="character" w:styleId="IntenseReference">
    <w:name w:val="Intense Reference"/>
    <w:basedOn w:val="DefaultParagraphFont"/>
    <w:uiPriority w:val="32"/>
    <w:qFormat/>
    <w:rsid w:val="00145BE5"/>
    <w:rPr>
      <w:rFonts w:ascii="Arial" w:eastAsia="Arial" w:hAnsi="Arial" w:cs="Arial"/>
      <w:b/>
      <w:bCs/>
      <w:smallCaps/>
      <w:color w:val="000000"/>
      <w:spacing w:val="5"/>
      <w:u w:val="single"/>
    </w:rPr>
  </w:style>
  <w:style w:type="character" w:styleId="BookTitle">
    <w:name w:val="Book Title"/>
    <w:basedOn w:val="DefaultParagraphFont"/>
    <w:uiPriority w:val="33"/>
    <w:qFormat/>
    <w:rsid w:val="00145BE5"/>
    <w:rPr>
      <w:rFonts w:ascii="Arial" w:eastAsia="Arial" w:hAnsi="Arial" w:cs="Arial"/>
      <w:b/>
      <w:bCs/>
      <w:smallCaps/>
      <w:color w:val="000000"/>
      <w:spacing w:val="5"/>
    </w:rPr>
  </w:style>
  <w:style w:type="table" w:styleId="TableGrid">
    <w:name w:val="Table Grid"/>
    <w:basedOn w:val="TableNormal"/>
    <w:uiPriority w:val="59"/>
    <w:rsid w:val="00145BE5"/>
    <w:rPr>
      <w:color w:val="000000"/>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145BE5"/>
    <w:rPr>
      <w:color w:val="000000"/>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145BE5"/>
    <w:rPr>
      <w:color w:val="000000"/>
      <w:sz w:val="22"/>
      <w:szCs w:val="22"/>
      <w:lang w:val="en-US"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145BE5"/>
    <w:rPr>
      <w:color w:val="000000"/>
      <w:sz w:val="22"/>
      <w:szCs w:val="22"/>
      <w:lang w:val="en-US"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145BE5"/>
    <w:rPr>
      <w:color w:val="000000"/>
      <w:sz w:val="22"/>
      <w:szCs w:val="22"/>
      <w:lang w:val="en-US"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145BE5"/>
    <w:rPr>
      <w:color w:val="000000"/>
      <w:sz w:val="22"/>
      <w:szCs w:val="22"/>
      <w:lang w:val="en-US"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145BE5"/>
    <w:rPr>
      <w:color w:val="000000"/>
      <w:sz w:val="22"/>
      <w:szCs w:val="22"/>
      <w:lang w:val="en-US"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145BE5"/>
    <w:rPr>
      <w:color w:val="000000"/>
      <w:sz w:val="22"/>
      <w:szCs w:val="22"/>
      <w:lang w:val="en-US"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145BE5"/>
    <w:rPr>
      <w:color w:val="000000"/>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145BE5"/>
    <w:rPr>
      <w:color w:val="000000"/>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145BE5"/>
    <w:rPr>
      <w:color w:val="000000"/>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145BE5"/>
    <w:rPr>
      <w:color w:val="000000"/>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145BE5"/>
    <w:rPr>
      <w:color w:val="000000"/>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145BE5"/>
    <w:rPr>
      <w:color w:val="000000"/>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145BE5"/>
    <w:rPr>
      <w:color w:val="000000"/>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145BE5"/>
    <w:rPr>
      <w:color w:val="000000"/>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Arial" w:eastAsia="Arial" w:hAnsi="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eastAsia="Arial" w:hAnsi="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145BE5"/>
    <w:rPr>
      <w:color w:val="000000"/>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Arial" w:eastAsia="Arial" w:hAnsi="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eastAsia="Arial" w:hAnsi="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145BE5"/>
    <w:rPr>
      <w:color w:val="000000"/>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Arial" w:eastAsia="Arial" w:hAnsi="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eastAsia="Arial" w:hAnsi="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145BE5"/>
    <w:rPr>
      <w:color w:val="000000"/>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Arial" w:eastAsia="Arial" w:hAnsi="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eastAsia="Arial" w:hAnsi="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145BE5"/>
    <w:rPr>
      <w:color w:val="000000"/>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Arial" w:eastAsia="Arial" w:hAnsi="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eastAsia="Arial" w:hAnsi="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145BE5"/>
    <w:rPr>
      <w:color w:val="000000"/>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Arial" w:eastAsia="Arial" w:hAnsi="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eastAsia="Arial" w:hAnsi="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145BE5"/>
    <w:rPr>
      <w:color w:val="000000"/>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Arial" w:eastAsia="Arial" w:hAnsi="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eastAsia="Arial" w:hAnsi="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145BE5"/>
    <w:rPr>
      <w:color w:val="000000"/>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145BE5"/>
    <w:rPr>
      <w:color w:val="000000"/>
      <w:sz w:val="22"/>
      <w:szCs w:val="22"/>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145BE5"/>
    <w:rPr>
      <w:color w:val="000000"/>
      <w:sz w:val="22"/>
      <w:szCs w:val="22"/>
      <w:lang w:val="en-US"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145BE5"/>
    <w:rPr>
      <w:color w:val="000000"/>
      <w:sz w:val="22"/>
      <w:szCs w:val="22"/>
      <w:lang w:val="en-US"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145BE5"/>
    <w:rPr>
      <w:color w:val="000000"/>
      <w:sz w:val="22"/>
      <w:szCs w:val="22"/>
      <w:lang w:val="en-US"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145BE5"/>
    <w:rPr>
      <w:color w:val="000000"/>
      <w:sz w:val="22"/>
      <w:szCs w:val="22"/>
      <w:lang w:val="en-US"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145BE5"/>
    <w:rPr>
      <w:color w:val="000000"/>
      <w:sz w:val="22"/>
      <w:szCs w:val="22"/>
      <w:lang w:val="en-US"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145BE5"/>
    <w:rPr>
      <w:color w:val="000000"/>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Arial" w:eastAsia="Arial" w:hAnsi="Arial" w:cs="Arial"/>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145BE5"/>
    <w:rPr>
      <w:color w:val="000000"/>
      <w:sz w:val="22"/>
      <w:szCs w:val="22"/>
      <w:lang w:val="en-US"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Arial" w:eastAsia="Arial" w:hAnsi="Arial" w:cs="Arial"/>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145BE5"/>
    <w:rPr>
      <w:color w:val="000000"/>
      <w:sz w:val="22"/>
      <w:szCs w:val="22"/>
      <w:lang w:val="en-US"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Arial" w:eastAsia="Arial" w:hAnsi="Arial" w:cs="Arial"/>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145BE5"/>
    <w:rPr>
      <w:color w:val="000000"/>
      <w:sz w:val="22"/>
      <w:szCs w:val="22"/>
      <w:lang w:val="en-US"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Arial" w:eastAsia="Arial" w:hAnsi="Arial" w:cs="Arial"/>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145BE5"/>
    <w:rPr>
      <w:color w:val="000000"/>
      <w:sz w:val="22"/>
      <w:szCs w:val="22"/>
      <w:lang w:val="en-US"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Arial" w:eastAsia="Arial" w:hAnsi="Arial" w:cs="Arial"/>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145BE5"/>
    <w:rPr>
      <w:color w:val="000000"/>
      <w:sz w:val="22"/>
      <w:szCs w:val="22"/>
      <w:lang w:val="en-US"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Arial" w:eastAsia="Arial" w:hAnsi="Arial" w:cs="Arial"/>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145BE5"/>
    <w:rPr>
      <w:color w:val="000000"/>
      <w:sz w:val="22"/>
      <w:szCs w:val="22"/>
      <w:lang w:val="en-US"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Arial" w:eastAsia="Arial" w:hAnsi="Arial" w:cs="Arial"/>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145BE5"/>
    <w:rPr>
      <w:color w:val="000000"/>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145BE5"/>
    <w:rPr>
      <w:color w:val="000000"/>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145BE5"/>
    <w:rPr>
      <w:color w:val="000000"/>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145BE5"/>
    <w:rPr>
      <w:color w:val="000000"/>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145BE5"/>
    <w:rPr>
      <w:color w:val="000000"/>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145BE5"/>
    <w:rPr>
      <w:color w:val="000000"/>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145BE5"/>
    <w:rPr>
      <w:color w:val="000000"/>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145BE5"/>
    <w:rPr>
      <w:color w:val="000000"/>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145BE5"/>
    <w:rPr>
      <w:color w:val="000000"/>
      <w:sz w:val="22"/>
      <w:szCs w:val="22"/>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145BE5"/>
    <w:rPr>
      <w:color w:val="000000"/>
      <w:sz w:val="22"/>
      <w:szCs w:val="22"/>
      <w:lang w:val="en-US"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145BE5"/>
    <w:rPr>
      <w:color w:val="000000"/>
      <w:sz w:val="22"/>
      <w:szCs w:val="22"/>
      <w:lang w:val="en-US"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145BE5"/>
    <w:rPr>
      <w:color w:val="000000"/>
      <w:sz w:val="22"/>
      <w:szCs w:val="22"/>
      <w:lang w:val="en-US"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145BE5"/>
    <w:rPr>
      <w:color w:val="000000"/>
      <w:sz w:val="22"/>
      <w:szCs w:val="22"/>
      <w:lang w:val="en-US"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145BE5"/>
    <w:rPr>
      <w:color w:val="000000"/>
      <w:sz w:val="22"/>
      <w:szCs w:val="22"/>
      <w:lang w:val="en-US"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145BE5"/>
    <w:rPr>
      <w:color w:val="000000"/>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145BE5"/>
    <w:rPr>
      <w:color w:val="000000"/>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145BE5"/>
    <w:rPr>
      <w:color w:val="000000"/>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145BE5"/>
    <w:rPr>
      <w:color w:val="000000"/>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145BE5"/>
    <w:rPr>
      <w:color w:val="000000"/>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145BE5"/>
    <w:rPr>
      <w:color w:val="000000"/>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145BE5"/>
    <w:rPr>
      <w:color w:val="000000"/>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145BE5"/>
    <w:rPr>
      <w:color w:val="000000"/>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145BE5"/>
    <w:rPr>
      <w:color w:val="000000"/>
      <w:sz w:val="22"/>
      <w:szCs w:val="22"/>
      <w:lang w:val="en-US"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145BE5"/>
    <w:rPr>
      <w:color w:val="000000"/>
      <w:sz w:val="22"/>
      <w:szCs w:val="22"/>
      <w:lang w:val="en-US"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145BE5"/>
    <w:rPr>
      <w:color w:val="000000"/>
      <w:sz w:val="22"/>
      <w:szCs w:val="22"/>
      <w:lang w:val="en-US"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145BE5"/>
    <w:rPr>
      <w:color w:val="000000"/>
      <w:sz w:val="22"/>
      <w:szCs w:val="22"/>
      <w:lang w:val="en-US"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145BE5"/>
    <w:rPr>
      <w:color w:val="000000"/>
      <w:sz w:val="22"/>
      <w:szCs w:val="22"/>
      <w:lang w:val="en-US"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145BE5"/>
    <w:rPr>
      <w:color w:val="000000"/>
      <w:sz w:val="22"/>
      <w:szCs w:val="22"/>
      <w:lang w:val="en-US"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145BE5"/>
    <w:rPr>
      <w:color w:val="000000"/>
      <w:sz w:val="22"/>
      <w:szCs w:val="22"/>
      <w:lang w:val="en-US"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145BE5"/>
    <w:rPr>
      <w:color w:val="000000"/>
      <w:sz w:val="22"/>
      <w:szCs w:val="22"/>
      <w:lang w:val="en-US"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145BE5"/>
    <w:rPr>
      <w:color w:val="000000"/>
      <w:sz w:val="22"/>
      <w:szCs w:val="22"/>
      <w:lang w:val="en-US"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145BE5"/>
    <w:rPr>
      <w:color w:val="000000"/>
      <w:sz w:val="22"/>
      <w:szCs w:val="22"/>
      <w:lang w:val="en-US"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145BE5"/>
    <w:rPr>
      <w:color w:val="000000"/>
      <w:sz w:val="22"/>
      <w:szCs w:val="22"/>
      <w:lang w:val="en-US"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145BE5"/>
    <w:rPr>
      <w:color w:val="000000"/>
      <w:sz w:val="22"/>
      <w:szCs w:val="22"/>
      <w:lang w:val="en-US"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145BE5"/>
    <w:rPr>
      <w:color w:val="000000"/>
      <w:sz w:val="22"/>
      <w:szCs w:val="22"/>
      <w:lang w:val="en-US"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145BE5"/>
    <w:rPr>
      <w:color w:val="000000"/>
      <w:sz w:val="22"/>
      <w:szCs w:val="22"/>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145BE5"/>
    <w:rPr>
      <w:color w:val="000000"/>
      <w:sz w:val="22"/>
      <w:szCs w:val="22"/>
      <w:lang w:val="en-US"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145BE5"/>
    <w:rPr>
      <w:color w:val="000000"/>
      <w:sz w:val="22"/>
      <w:szCs w:val="22"/>
      <w:lang w:val="en-US"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145BE5"/>
    <w:rPr>
      <w:color w:val="000000"/>
      <w:sz w:val="22"/>
      <w:szCs w:val="22"/>
      <w:lang w:val="en-US"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145BE5"/>
    <w:rPr>
      <w:color w:val="000000"/>
      <w:sz w:val="22"/>
      <w:szCs w:val="22"/>
      <w:lang w:val="en-US"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145BE5"/>
    <w:rPr>
      <w:color w:val="000000"/>
      <w:sz w:val="22"/>
      <w:szCs w:val="22"/>
      <w:lang w:val="en-US"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145BE5"/>
    <w:rPr>
      <w:color w:val="000000"/>
      <w:sz w:val="22"/>
      <w:szCs w:val="22"/>
      <w:lang w:val="en-US"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fontTable" Target="fontTable.xml"/><Relationship Id="rId5" Type="http://schemas.openxmlformats.org/officeDocument/2006/relationships/settings" Target="settings.xml"/><Relationship Id="rId118" Type="http://schemas.openxmlformats.org/officeDocument/2006/relationships/theme" Target="theme/theme1.xml"/><Relationship Id="rId6" Type="http://schemas.openxmlformats.org/officeDocument/2006/relationships/webSettings" Target="webSettings.xml"/><Relationship Id="rId4" Type="http://schemas.openxmlformats.org/officeDocument/2006/relationships/styles" Target="styles.xml"/><Relationship Id="rId3" Type="http://schemas.openxmlformats.org/officeDocument/2006/relationships/numbering" Target="numbering.xml"/><Relationship Id="rId1" Type="http://schemas.openxmlformats.org/officeDocument/2006/relationships/header" Target="header1.xml"/><Relationship Id="rId2"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TravelMate Documentation Generator</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TravelMate</cp:lastModifiedBy>
  <cp:revision>2</cp:revision>
  <dcterms:created xsi:type="dcterms:W3CDTF">2026-10-15T00:00:00Z</dcterms:created>
  <dcterms:modified xsi:type="dcterms:W3CDTF">2026-10-15T00:00:00Z</dcterms:modified>
  <dc:title>TravelMate</dc:title>
  <dc:subject>Source reconciled capstone documentation</dc:subject>
  <dc:creator>TravelMate</dc:creator>
  <dc:description/>
  <cp:keywords>TravelMate documentation baseline 2026-10-15</cp:keywords>
</cp:coreProperties>
</file>