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2A" w:rsidRPr="00A87A83" w:rsidRDefault="0090422A" w:rsidP="0090422A">
      <w:pPr>
        <w:rPr>
          <w:b/>
          <w:u w:val="single"/>
        </w:rPr>
      </w:pPr>
      <w:r>
        <w:rPr>
          <w:b/>
          <w:u w:val="single"/>
        </w:rPr>
        <w:t>Chapter 3: M</w:t>
      </w:r>
      <w:bookmarkStart w:id="0" w:name="_GoBack"/>
      <w:bookmarkEnd w:id="0"/>
      <w:r>
        <w:rPr>
          <w:b/>
          <w:u w:val="single"/>
        </w:rPr>
        <w:t>ethodology</w:t>
      </w:r>
    </w:p>
    <w:p w:rsidR="0090422A" w:rsidRPr="00CC0A31" w:rsidRDefault="0090422A" w:rsidP="0090422A">
      <w:pPr>
        <w:rPr>
          <w:b/>
        </w:rPr>
      </w:pPr>
      <w:r w:rsidRPr="00CC0A31">
        <w:rPr>
          <w:b/>
        </w:rPr>
        <w:t xml:space="preserve"> 3.1 System Design and Architecture</w:t>
      </w:r>
    </w:p>
    <w:p w:rsidR="0090422A" w:rsidRPr="00CD78D6" w:rsidRDefault="0090422A" w:rsidP="0090422A">
      <w:pPr>
        <w:rPr>
          <w:b/>
          <w:i/>
        </w:rPr>
      </w:pPr>
      <w:r>
        <w:t>The Internal Plagiarism Detector is designed as a modular system with the following components:</w:t>
      </w:r>
    </w:p>
    <w:p w:rsidR="0090422A" w:rsidRDefault="0090422A" w:rsidP="0090422A">
      <w:r w:rsidRPr="00CD78D6">
        <w:rPr>
          <w:b/>
          <w:i/>
        </w:rPr>
        <w:t>1. File Upload Module:</w:t>
      </w:r>
      <w:r>
        <w:t xml:space="preserve"> Handles the upload of assignment submissions in various formats (e.g., `.</w:t>
      </w:r>
      <w:proofErr w:type="spellStart"/>
      <w:r>
        <w:t>docx</w:t>
      </w:r>
      <w:proofErr w:type="spellEnd"/>
      <w:r>
        <w:t>`, `.pdf`, `.rtf`).</w:t>
      </w:r>
    </w:p>
    <w:p w:rsidR="0090422A" w:rsidRDefault="0090422A" w:rsidP="0090422A">
      <w:r w:rsidRPr="00CD78D6">
        <w:rPr>
          <w:b/>
          <w:i/>
        </w:rPr>
        <w:t>2. File Conversion Module:</w:t>
      </w:r>
      <w:r>
        <w:t xml:space="preserve"> Converts uploaded files into `.txt` format for uniform processing.</w:t>
      </w:r>
    </w:p>
    <w:p w:rsidR="0090422A" w:rsidRDefault="0090422A" w:rsidP="0090422A">
      <w:r w:rsidRPr="00CD78D6">
        <w:rPr>
          <w:b/>
          <w:i/>
        </w:rPr>
        <w:t>3. Text Processing Module:</w:t>
      </w:r>
      <w:r>
        <w:t xml:space="preserve"> Tokenizes the text and applies TF-IDF </w:t>
      </w:r>
      <w:proofErr w:type="spellStart"/>
      <w:r>
        <w:t>vectorization</w:t>
      </w:r>
      <w:proofErr w:type="spellEnd"/>
      <w:r>
        <w:t>.</w:t>
      </w:r>
    </w:p>
    <w:p w:rsidR="0090422A" w:rsidRDefault="0090422A" w:rsidP="0090422A">
      <w:r w:rsidRPr="00CD78D6">
        <w:rPr>
          <w:b/>
          <w:i/>
        </w:rPr>
        <w:t>4. Similarity Calculation Module:</w:t>
      </w:r>
      <w:r>
        <w:t xml:space="preserve"> Computes cosine similarity scores between documents.</w:t>
      </w:r>
    </w:p>
    <w:p w:rsidR="0090422A" w:rsidRDefault="0090422A" w:rsidP="0090422A">
      <w:r w:rsidRPr="00CD78D6">
        <w:rPr>
          <w:b/>
          <w:i/>
        </w:rPr>
        <w:t>5. Reporting Module:</w:t>
      </w:r>
      <w:r>
        <w:t xml:space="preserve"> Generates detailed reports highlighting potential plagiarism.</w:t>
      </w:r>
    </w:p>
    <w:p w:rsidR="0090422A" w:rsidRDefault="0090422A" w:rsidP="0090422A">
      <w:r w:rsidRPr="00CD78D6">
        <w:rPr>
          <w:b/>
          <w:i/>
        </w:rPr>
        <w:t>6. User Interface:</w:t>
      </w:r>
      <w:r>
        <w:t xml:space="preserve"> Provides a user-friendly interface for academic professionals to interact with the system.</w:t>
      </w:r>
    </w:p>
    <w:p w:rsidR="0090422A" w:rsidRDefault="0090422A" w:rsidP="0090422A"/>
    <w:p w:rsidR="0090422A" w:rsidRPr="00CC0A31" w:rsidRDefault="0090422A" w:rsidP="0090422A">
      <w:pPr>
        <w:rPr>
          <w:b/>
        </w:rPr>
      </w:pPr>
      <w:r w:rsidRPr="00CC0A31">
        <w:rPr>
          <w:b/>
        </w:rPr>
        <w:t xml:space="preserve"> 3.2 File Conversion Process</w:t>
      </w:r>
    </w:p>
    <w:p w:rsidR="0090422A" w:rsidRDefault="0090422A" w:rsidP="0090422A">
      <w:r>
        <w:t>The file conversion module is a critical component of the system, as it ensures that all submissions are in a uniform format for processing. The module supports the following file formats:</w:t>
      </w:r>
    </w:p>
    <w:p w:rsidR="0090422A" w:rsidRDefault="0090422A" w:rsidP="0090422A">
      <w:r>
        <w:t>- .</w:t>
      </w:r>
      <w:proofErr w:type="spellStart"/>
      <w:r>
        <w:t>docx</w:t>
      </w:r>
      <w:proofErr w:type="spellEnd"/>
      <w:r>
        <w:t>: Microsoft Word documents.</w:t>
      </w:r>
    </w:p>
    <w:p w:rsidR="0090422A" w:rsidRDefault="0090422A" w:rsidP="0090422A">
      <w:r>
        <w:t>- .pdf: Portable Document Format files.</w:t>
      </w:r>
    </w:p>
    <w:p w:rsidR="0090422A" w:rsidRDefault="0090422A" w:rsidP="0090422A">
      <w:r>
        <w:t>- .rtf: Rich Text Format files.</w:t>
      </w:r>
    </w:p>
    <w:p w:rsidR="0090422A" w:rsidRDefault="0090422A" w:rsidP="0090422A"/>
    <w:p w:rsidR="0090422A" w:rsidRDefault="0090422A" w:rsidP="0090422A">
      <w:r>
        <w:t>The conversion process involves the following steps:</w:t>
      </w:r>
    </w:p>
    <w:p w:rsidR="0090422A" w:rsidRDefault="0090422A" w:rsidP="0090422A">
      <w:r w:rsidRPr="00CD78D6">
        <w:rPr>
          <w:b/>
          <w:i/>
        </w:rPr>
        <w:t>1. File Upload:</w:t>
      </w:r>
      <w:r>
        <w:t xml:space="preserve"> Users upload assignment submissions through the user interface.</w:t>
      </w:r>
    </w:p>
    <w:p w:rsidR="0090422A" w:rsidRDefault="0090422A" w:rsidP="0090422A">
      <w:r w:rsidRPr="00CD78D6">
        <w:rPr>
          <w:b/>
          <w:i/>
        </w:rPr>
        <w:t>2. Format Detection:</w:t>
      </w:r>
      <w:r>
        <w:t xml:space="preserve"> The system identifies the file format using file extensions and metadata.</w:t>
      </w:r>
    </w:p>
    <w:p w:rsidR="0090422A" w:rsidRDefault="0090422A" w:rsidP="0090422A">
      <w:r w:rsidRPr="00CD78D6">
        <w:rPr>
          <w:b/>
          <w:i/>
        </w:rPr>
        <w:t>3. Conversion to .txt:</w:t>
      </w:r>
      <w:r>
        <w:t xml:space="preserve"> The system converts the file content into plain text using appropriate libraries (e.g., `python-</w:t>
      </w:r>
      <w:proofErr w:type="spellStart"/>
      <w:r>
        <w:t>docx</w:t>
      </w:r>
      <w:proofErr w:type="spellEnd"/>
      <w:r>
        <w:t>` for `.</w:t>
      </w:r>
      <w:proofErr w:type="spellStart"/>
      <w:r>
        <w:t>docx</w:t>
      </w:r>
      <w:proofErr w:type="spellEnd"/>
      <w:r>
        <w:t>`, `PyPDF2` for `.pdf`).</w:t>
      </w:r>
    </w:p>
    <w:p w:rsidR="0090422A" w:rsidRDefault="0090422A" w:rsidP="0090422A">
      <w:r w:rsidRPr="00CD78D6">
        <w:rPr>
          <w:b/>
          <w:i/>
        </w:rPr>
        <w:t>4. Text Cleaning:</w:t>
      </w:r>
      <w:r>
        <w:t xml:space="preserve"> The converted text is cleaned to remove unnecessary characters, such as extra spaces, line breaks, and special symbols.</w:t>
      </w:r>
    </w:p>
    <w:p w:rsidR="0090422A" w:rsidRDefault="0090422A" w:rsidP="0090422A"/>
    <w:p w:rsidR="0090422A" w:rsidRDefault="0090422A" w:rsidP="0090422A"/>
    <w:p w:rsidR="0090422A" w:rsidRDefault="0090422A" w:rsidP="0090422A"/>
    <w:p w:rsidR="0090422A" w:rsidRDefault="0090422A" w:rsidP="0090422A"/>
    <w:p w:rsidR="0090422A" w:rsidRDefault="0090422A" w:rsidP="0090422A">
      <w:r>
        <w:lastRenderedPageBreak/>
        <w:t>The workflow for file conversion is illustrated below:</w:t>
      </w:r>
    </w:p>
    <w:p w:rsidR="0090422A" w:rsidRDefault="0090422A" w:rsidP="0090422A"/>
    <w:p w:rsidR="0090422A" w:rsidRPr="00E71608" w:rsidRDefault="0090422A" w:rsidP="0090422A">
      <w:pPr>
        <w:rPr>
          <w:b/>
          <w:i/>
        </w:rPr>
      </w:pPr>
      <w:r>
        <w:rPr>
          <w:b/>
          <w:i/>
        </w:rPr>
        <w:t>File</w:t>
      </w:r>
      <w:r w:rsidRPr="00E71608">
        <w:rPr>
          <w:b/>
          <w:i/>
        </w:rPr>
        <w:t xml:space="preserve"> </w:t>
      </w:r>
      <w:r>
        <w:rPr>
          <w:b/>
          <w:i/>
        </w:rPr>
        <w:t xml:space="preserve">Upload </w:t>
      </w:r>
      <w:r w:rsidRPr="00E71608">
        <w:rPr>
          <w:b/>
          <w:i/>
        </w:rPr>
        <w:t xml:space="preserve">→ </w:t>
      </w:r>
      <w:r>
        <w:rPr>
          <w:b/>
          <w:i/>
        </w:rPr>
        <w:t>Format Detection</w:t>
      </w:r>
      <w:r w:rsidRPr="00E71608">
        <w:rPr>
          <w:b/>
          <w:i/>
        </w:rPr>
        <w:t xml:space="preserve"> → </w:t>
      </w:r>
      <w:r>
        <w:rPr>
          <w:b/>
          <w:i/>
        </w:rPr>
        <w:t>Conversion to .txt</w:t>
      </w:r>
      <w:r w:rsidRPr="00E71608">
        <w:rPr>
          <w:b/>
          <w:i/>
        </w:rPr>
        <w:t xml:space="preserve"> → </w:t>
      </w:r>
      <w:r>
        <w:rPr>
          <w:b/>
          <w:i/>
        </w:rPr>
        <w:t>Text Cleaning</w:t>
      </w:r>
    </w:p>
    <w:p w:rsidR="0090422A" w:rsidRDefault="0090422A" w:rsidP="0090422A"/>
    <w:p w:rsidR="0090422A" w:rsidRDefault="0090422A" w:rsidP="0090422A"/>
    <w:p w:rsidR="0090422A" w:rsidRPr="00CC0A31" w:rsidRDefault="0090422A" w:rsidP="0090422A">
      <w:pPr>
        <w:rPr>
          <w:b/>
        </w:rPr>
      </w:pPr>
      <w:r w:rsidRPr="00CC0A31">
        <w:rPr>
          <w:b/>
        </w:rPr>
        <w:t xml:space="preserve"> 3.3 TF-IDF </w:t>
      </w:r>
      <w:proofErr w:type="spellStart"/>
      <w:r w:rsidRPr="00CC0A31">
        <w:rPr>
          <w:b/>
        </w:rPr>
        <w:t>Vectorization</w:t>
      </w:r>
      <w:proofErr w:type="spellEnd"/>
    </w:p>
    <w:p w:rsidR="0090422A" w:rsidRDefault="0090422A" w:rsidP="0090422A">
      <w:r>
        <w:t xml:space="preserve">The TF-IDF </w:t>
      </w:r>
      <w:proofErr w:type="spellStart"/>
      <w:r>
        <w:t>vectorization</w:t>
      </w:r>
      <w:proofErr w:type="spellEnd"/>
      <w:r>
        <w:t xml:space="preserve"> process transforms the text content of each document into a numerical representation, enabling similarity analysis. The process involves the following steps:</w:t>
      </w:r>
    </w:p>
    <w:p w:rsidR="0090422A" w:rsidRDefault="0090422A" w:rsidP="0090422A">
      <w:r>
        <w:t>1. Tokenization: The text is split into individual words or tokens.</w:t>
      </w:r>
    </w:p>
    <w:p w:rsidR="0090422A" w:rsidRDefault="0090422A" w:rsidP="0090422A">
      <w:r>
        <w:t>2. Term Frequency (TF) Calculation: The frequency of each term in the document is calculated.</w:t>
      </w:r>
    </w:p>
    <w:p w:rsidR="0090422A" w:rsidRDefault="0090422A" w:rsidP="0090422A">
      <w:r>
        <w:t>3. Inverse Document Frequency (IDF) Calculation: The importance of each term across the entire corpus is determined.</w:t>
      </w:r>
    </w:p>
    <w:p w:rsidR="0090422A" w:rsidRDefault="0090422A" w:rsidP="0090422A">
      <w:r>
        <w:t>4. TF-IDF Score Calculation: The TF and IDF scores are combined to generate the TF-IDF vector for each document.</w:t>
      </w:r>
    </w:p>
    <w:p w:rsidR="0090422A" w:rsidRDefault="0090422A" w:rsidP="0090422A"/>
    <w:p w:rsidR="0090422A" w:rsidRDefault="0090422A" w:rsidP="0090422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The formula for TF-IDF is as follows:</w:t>
      </w:r>
    </w:p>
    <w:p w:rsidR="0090422A" w:rsidRPr="00F84837" w:rsidRDefault="0090422A" w:rsidP="0090422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404040"/>
          <w:sz w:val="24"/>
          <w:szCs w:val="24"/>
        </w:rPr>
      </w:pPr>
      <w:r w:rsidRPr="000D0F00">
        <w:rPr>
          <w:rStyle w:val="mord"/>
          <w:b/>
          <w:i/>
          <w:color w:val="404040"/>
          <w:sz w:val="29"/>
          <w:szCs w:val="29"/>
        </w:rPr>
        <w:t>TF-</w:t>
      </w:r>
      <w:proofErr w:type="gramStart"/>
      <w:r w:rsidRPr="000D0F00">
        <w:rPr>
          <w:rStyle w:val="mord"/>
          <w:b/>
          <w:i/>
          <w:color w:val="404040"/>
          <w:sz w:val="29"/>
          <w:szCs w:val="29"/>
        </w:rPr>
        <w:t>IDF</w:t>
      </w:r>
      <w:r w:rsidRPr="000D0F00">
        <w:rPr>
          <w:rStyle w:val="mopen"/>
          <w:b/>
          <w:i/>
          <w:color w:val="404040"/>
          <w:sz w:val="29"/>
          <w:szCs w:val="29"/>
        </w:rPr>
        <w:t>(</w:t>
      </w:r>
      <w:proofErr w:type="gramEnd"/>
      <w:r w:rsidRPr="000D0F00">
        <w:rPr>
          <w:rStyle w:val="mord"/>
          <w:rFonts w:ascii="KaTeX_Math" w:hAnsi="KaTeX_Math"/>
          <w:b/>
          <w:i/>
          <w:iCs/>
          <w:color w:val="404040"/>
          <w:sz w:val="29"/>
          <w:szCs w:val="29"/>
        </w:rPr>
        <w:t>t</w:t>
      </w:r>
      <w:r w:rsidRPr="000D0F00">
        <w:rPr>
          <w:rStyle w:val="mpunct"/>
          <w:b/>
          <w:i/>
          <w:color w:val="404040"/>
          <w:sz w:val="29"/>
          <w:szCs w:val="29"/>
        </w:rPr>
        <w:t xml:space="preserve">, </w:t>
      </w:r>
      <w:r w:rsidRPr="000D0F00">
        <w:rPr>
          <w:rStyle w:val="mord"/>
          <w:rFonts w:ascii="KaTeX_Math" w:hAnsi="KaTeX_Math"/>
          <w:b/>
          <w:i/>
          <w:iCs/>
          <w:color w:val="404040"/>
          <w:sz w:val="29"/>
          <w:szCs w:val="29"/>
        </w:rPr>
        <w:t>d</w:t>
      </w:r>
      <w:r w:rsidRPr="000D0F00">
        <w:rPr>
          <w:rStyle w:val="mclose"/>
          <w:b/>
          <w:i/>
          <w:color w:val="404040"/>
          <w:sz w:val="29"/>
          <w:szCs w:val="29"/>
        </w:rPr>
        <w:t xml:space="preserve">) </w:t>
      </w:r>
      <w:r w:rsidRPr="000D0F00">
        <w:rPr>
          <w:rStyle w:val="mrel"/>
          <w:b/>
          <w:i/>
          <w:color w:val="404040"/>
          <w:sz w:val="29"/>
          <w:szCs w:val="29"/>
        </w:rPr>
        <w:t xml:space="preserve">= </w:t>
      </w:r>
      <w:r w:rsidRPr="000D0F00">
        <w:rPr>
          <w:rStyle w:val="mord"/>
          <w:b/>
          <w:i/>
          <w:color w:val="404040"/>
          <w:sz w:val="29"/>
          <w:szCs w:val="29"/>
        </w:rPr>
        <w:t>TF</w:t>
      </w:r>
      <w:r w:rsidRPr="000D0F00">
        <w:rPr>
          <w:rStyle w:val="mopen"/>
          <w:b/>
          <w:i/>
          <w:color w:val="404040"/>
          <w:sz w:val="29"/>
          <w:szCs w:val="29"/>
        </w:rPr>
        <w:t>(</w:t>
      </w:r>
      <w:r w:rsidRPr="000D0F00">
        <w:rPr>
          <w:rStyle w:val="mord"/>
          <w:rFonts w:ascii="KaTeX_Math" w:hAnsi="KaTeX_Math"/>
          <w:b/>
          <w:i/>
          <w:iCs/>
          <w:color w:val="404040"/>
          <w:sz w:val="29"/>
          <w:szCs w:val="29"/>
        </w:rPr>
        <w:t>t</w:t>
      </w:r>
      <w:r w:rsidRPr="000D0F00">
        <w:rPr>
          <w:rStyle w:val="mpunct"/>
          <w:b/>
          <w:i/>
          <w:color w:val="404040"/>
          <w:sz w:val="29"/>
          <w:szCs w:val="29"/>
        </w:rPr>
        <w:t xml:space="preserve">, </w:t>
      </w:r>
      <w:r w:rsidRPr="000D0F00">
        <w:rPr>
          <w:rStyle w:val="mord"/>
          <w:rFonts w:ascii="KaTeX_Math" w:hAnsi="KaTeX_Math"/>
          <w:b/>
          <w:i/>
          <w:iCs/>
          <w:color w:val="404040"/>
          <w:sz w:val="29"/>
          <w:szCs w:val="29"/>
        </w:rPr>
        <w:t>d</w:t>
      </w:r>
      <w:r w:rsidRPr="000D0F00">
        <w:rPr>
          <w:rStyle w:val="mclose"/>
          <w:b/>
          <w:i/>
          <w:color w:val="404040"/>
          <w:sz w:val="29"/>
          <w:szCs w:val="29"/>
        </w:rPr>
        <w:t xml:space="preserve">) </w:t>
      </w:r>
      <w:r w:rsidRPr="000D0F00">
        <w:rPr>
          <w:rStyle w:val="mbin"/>
          <w:b/>
          <w:i/>
          <w:color w:val="404040"/>
          <w:sz w:val="29"/>
          <w:szCs w:val="29"/>
        </w:rPr>
        <w:t xml:space="preserve">× </w:t>
      </w:r>
      <w:r w:rsidRPr="000D0F00">
        <w:rPr>
          <w:rStyle w:val="mord"/>
          <w:b/>
          <w:i/>
          <w:color w:val="404040"/>
          <w:sz w:val="29"/>
          <w:szCs w:val="29"/>
        </w:rPr>
        <w:t>IDF</w:t>
      </w:r>
      <w:r w:rsidRPr="000D0F00">
        <w:rPr>
          <w:rStyle w:val="mopen"/>
          <w:b/>
          <w:i/>
          <w:color w:val="404040"/>
          <w:sz w:val="29"/>
          <w:szCs w:val="29"/>
        </w:rPr>
        <w:t>(</w:t>
      </w:r>
      <w:r w:rsidRPr="000D0F00">
        <w:rPr>
          <w:rStyle w:val="mord"/>
          <w:rFonts w:ascii="KaTeX_Math" w:hAnsi="KaTeX_Math"/>
          <w:b/>
          <w:i/>
          <w:iCs/>
          <w:color w:val="404040"/>
          <w:sz w:val="29"/>
          <w:szCs w:val="29"/>
        </w:rPr>
        <w:t>t</w:t>
      </w:r>
      <w:r w:rsidRPr="000D0F00">
        <w:rPr>
          <w:rStyle w:val="mclose"/>
          <w:b/>
          <w:i/>
          <w:color w:val="404040"/>
          <w:sz w:val="29"/>
          <w:szCs w:val="29"/>
        </w:rPr>
        <w:t>)</w:t>
      </w:r>
    </w:p>
    <w:p w:rsidR="0090422A" w:rsidRPr="00F84837" w:rsidRDefault="0090422A" w:rsidP="0090422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Where:</w:t>
      </w:r>
    </w:p>
    <w:p w:rsidR="0090422A" w:rsidRPr="00F84837" w:rsidRDefault="0090422A" w:rsidP="0090422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0D0F00">
        <w:rPr>
          <w:rFonts w:ascii="KaTeX_Math" w:eastAsia="Times New Roman" w:hAnsi="KaTeX_Math" w:cs="Times New Roman"/>
          <w:b/>
          <w:i/>
          <w:iCs/>
          <w:color w:val="404040"/>
          <w:sz w:val="29"/>
          <w:szCs w:val="29"/>
        </w:rPr>
        <w:t>t</w:t>
      </w:r>
      <w:proofErr w:type="gramEnd"/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 is a term.</w:t>
      </w:r>
    </w:p>
    <w:p w:rsidR="0090422A" w:rsidRPr="00F84837" w:rsidRDefault="0090422A" w:rsidP="0090422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0D0F00">
        <w:rPr>
          <w:rFonts w:ascii="KaTeX_Math" w:eastAsia="Times New Roman" w:hAnsi="KaTeX_Math" w:cs="Times New Roman"/>
          <w:b/>
          <w:i/>
          <w:iCs/>
          <w:color w:val="404040"/>
          <w:sz w:val="29"/>
          <w:szCs w:val="29"/>
        </w:rPr>
        <w:t>d</w:t>
      </w:r>
      <w:proofErr w:type="gramEnd"/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 is a document.</w:t>
      </w:r>
    </w:p>
    <w:p w:rsidR="0090422A" w:rsidRPr="00F84837" w:rsidRDefault="0090422A" w:rsidP="0090422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0D0F00">
        <w:rPr>
          <w:rFonts w:ascii="Times New Roman" w:eastAsia="Times New Roman" w:hAnsi="Times New Roman" w:cs="Times New Roman"/>
          <w:b/>
          <w:color w:val="404040"/>
          <w:sz w:val="29"/>
          <w:szCs w:val="29"/>
        </w:rPr>
        <w:t>TF(</w:t>
      </w:r>
      <w:proofErr w:type="gramEnd"/>
      <w:r w:rsidRPr="000D0F00">
        <w:rPr>
          <w:rFonts w:ascii="KaTeX_Math" w:eastAsia="Times New Roman" w:hAnsi="KaTeX_Math" w:cs="Times New Roman"/>
          <w:b/>
          <w:i/>
          <w:iCs/>
          <w:color w:val="404040"/>
          <w:sz w:val="29"/>
          <w:szCs w:val="29"/>
        </w:rPr>
        <w:t>t</w:t>
      </w:r>
      <w:r w:rsidRPr="000D0F00">
        <w:rPr>
          <w:rFonts w:ascii="Times New Roman" w:eastAsia="Times New Roman" w:hAnsi="Times New Roman" w:cs="Times New Roman"/>
          <w:b/>
          <w:color w:val="404040"/>
          <w:sz w:val="29"/>
          <w:szCs w:val="29"/>
        </w:rPr>
        <w:t xml:space="preserve">, </w:t>
      </w:r>
      <w:r w:rsidRPr="000D0F00">
        <w:rPr>
          <w:rFonts w:ascii="KaTeX_Math" w:eastAsia="Times New Roman" w:hAnsi="KaTeX_Math" w:cs="Times New Roman"/>
          <w:b/>
          <w:i/>
          <w:iCs/>
          <w:color w:val="404040"/>
          <w:sz w:val="29"/>
          <w:szCs w:val="29"/>
        </w:rPr>
        <w:t>d</w:t>
      </w:r>
      <w:r w:rsidRPr="000D0F00">
        <w:rPr>
          <w:rFonts w:ascii="Times New Roman" w:eastAsia="Times New Roman" w:hAnsi="Times New Roman" w:cs="Times New Roman"/>
          <w:b/>
          <w:color w:val="404040"/>
          <w:sz w:val="29"/>
          <w:szCs w:val="29"/>
        </w:rPr>
        <w:t>)</w:t>
      </w: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 is the term frequency of </w:t>
      </w:r>
      <w:r w:rsidRPr="00F84837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t</w:t>
      </w: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 in </w:t>
      </w:r>
      <w:r w:rsidRPr="00F84837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d</w:t>
      </w: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422A" w:rsidRPr="00F84837" w:rsidRDefault="0090422A" w:rsidP="0090422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0D0F00">
        <w:rPr>
          <w:rFonts w:ascii="Times New Roman" w:eastAsia="Times New Roman" w:hAnsi="Times New Roman" w:cs="Times New Roman"/>
          <w:b/>
          <w:color w:val="404040"/>
          <w:sz w:val="29"/>
          <w:szCs w:val="29"/>
        </w:rPr>
        <w:t>IDF(</w:t>
      </w:r>
      <w:proofErr w:type="gramEnd"/>
      <w:r w:rsidRPr="000D0F00">
        <w:rPr>
          <w:rFonts w:ascii="KaTeX_Math" w:eastAsia="Times New Roman" w:hAnsi="KaTeX_Math" w:cs="Times New Roman"/>
          <w:b/>
          <w:i/>
          <w:iCs/>
          <w:color w:val="404040"/>
          <w:sz w:val="29"/>
          <w:szCs w:val="29"/>
        </w:rPr>
        <w:t>t</w:t>
      </w:r>
      <w:r w:rsidRPr="000D0F00">
        <w:rPr>
          <w:rFonts w:ascii="Times New Roman" w:eastAsia="Times New Roman" w:hAnsi="Times New Roman" w:cs="Times New Roman"/>
          <w:b/>
          <w:color w:val="404040"/>
          <w:sz w:val="29"/>
          <w:szCs w:val="29"/>
        </w:rPr>
        <w:t>)</w:t>
      </w: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 is the inverse document frequency of </w:t>
      </w:r>
      <w:r w:rsidRPr="00F84837">
        <w:rPr>
          <w:rFonts w:ascii="KaTeX_Math" w:eastAsia="Times New Roman" w:hAnsi="KaTeX_Math" w:cs="Times New Roman"/>
          <w:i/>
          <w:iCs/>
          <w:color w:val="404040"/>
          <w:sz w:val="29"/>
          <w:szCs w:val="29"/>
        </w:rPr>
        <w:t>t</w:t>
      </w:r>
      <w:r w:rsidRPr="00F8483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0422A" w:rsidRDefault="0090422A" w:rsidP="0090422A"/>
    <w:p w:rsidR="0090422A" w:rsidRDefault="0090422A" w:rsidP="0090422A">
      <w:r>
        <w:t xml:space="preserve">The TF-IDF </w:t>
      </w:r>
      <w:proofErr w:type="spellStart"/>
      <w:r>
        <w:t>vectorization</w:t>
      </w:r>
      <w:proofErr w:type="spellEnd"/>
      <w:r>
        <w:t xml:space="preserve"> process is illustrated below:</w:t>
      </w:r>
    </w:p>
    <w:p w:rsidR="0090422A" w:rsidRDefault="0090422A" w:rsidP="0090422A">
      <w:pPr>
        <w:rPr>
          <w:b/>
          <w:i/>
        </w:rPr>
      </w:pPr>
    </w:p>
    <w:p w:rsidR="0090422A" w:rsidRDefault="0090422A" w:rsidP="0090422A">
      <w:pPr>
        <w:rPr>
          <w:b/>
          <w:i/>
        </w:rPr>
      </w:pPr>
      <w:r>
        <w:rPr>
          <w:b/>
          <w:i/>
        </w:rPr>
        <w:t>Tokenization → TF Calculation → IDF Calculation → TF-IDF Vector</w:t>
      </w:r>
    </w:p>
    <w:p w:rsidR="0090422A" w:rsidRDefault="0090422A" w:rsidP="0090422A"/>
    <w:p w:rsidR="0090422A" w:rsidRDefault="0090422A" w:rsidP="0090422A"/>
    <w:p w:rsidR="0090422A" w:rsidRDefault="0090422A" w:rsidP="0090422A">
      <w:pPr>
        <w:rPr>
          <w:b/>
        </w:rPr>
      </w:pPr>
    </w:p>
    <w:p w:rsidR="0090422A" w:rsidRDefault="0090422A" w:rsidP="0090422A">
      <w:pPr>
        <w:rPr>
          <w:b/>
        </w:rPr>
      </w:pPr>
    </w:p>
    <w:p w:rsidR="0090422A" w:rsidRDefault="0090422A" w:rsidP="0090422A">
      <w:pPr>
        <w:rPr>
          <w:b/>
        </w:rPr>
      </w:pPr>
    </w:p>
    <w:p w:rsidR="0090422A" w:rsidRPr="00CC0A31" w:rsidRDefault="0090422A" w:rsidP="0090422A">
      <w:pPr>
        <w:rPr>
          <w:b/>
        </w:rPr>
      </w:pPr>
      <w:r w:rsidRPr="00CC0A31">
        <w:rPr>
          <w:b/>
        </w:rPr>
        <w:t xml:space="preserve"> 3.4 Cosine Similarity Calculation</w:t>
      </w:r>
    </w:p>
    <w:p w:rsidR="0090422A" w:rsidRDefault="0090422A" w:rsidP="0090422A">
      <w:r>
        <w:t>Cosine similarity is used to quantify the similarity between two documents based on their TF-IDF vectors. The process involves the following steps:</w:t>
      </w:r>
    </w:p>
    <w:p w:rsidR="0090422A" w:rsidRDefault="0090422A" w:rsidP="0090422A">
      <w:r>
        <w:t>1. Vector Representation: Each document is represented as a TF-IDF vector.</w:t>
      </w:r>
    </w:p>
    <w:p w:rsidR="0090422A" w:rsidRDefault="0090422A" w:rsidP="0090422A">
      <w:r>
        <w:t>2. Dot Product Calculation: The dot product of the two vectors is calculated.</w:t>
      </w:r>
    </w:p>
    <w:p w:rsidR="0090422A" w:rsidRDefault="0090422A" w:rsidP="0090422A">
      <w:r>
        <w:t>3. Magnitude Calculation: The magnitude (Euclidean norm) of each vector is determined.</w:t>
      </w:r>
    </w:p>
    <w:p w:rsidR="0090422A" w:rsidRDefault="0090422A" w:rsidP="0090422A">
      <w:r>
        <w:t>4. Cosine Similarity Score: The cosine similarity score is computed using the formula:</w:t>
      </w:r>
    </w:p>
    <w:p w:rsidR="0090422A" w:rsidRDefault="0090422A" w:rsidP="0090422A"/>
    <w:p w:rsidR="0090422A" w:rsidRPr="00B04A31" w:rsidRDefault="0090422A" w:rsidP="009042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Style w:val="mord"/>
          <w:color w:val="404040"/>
          <w:sz w:val="29"/>
          <w:szCs w:val="29"/>
        </w:rPr>
        <w:t xml:space="preserve">Cosine Similarity </w:t>
      </w:r>
      <w:r>
        <w:rPr>
          <w:rStyle w:val="mrel"/>
          <w:color w:val="404040"/>
          <w:sz w:val="29"/>
          <w:szCs w:val="29"/>
        </w:rPr>
        <w:t xml:space="preserve">= </w:t>
      </w:r>
      <w:r>
        <w:rPr>
          <w:rStyle w:val="mord"/>
          <w:rFonts w:ascii="KaTeX_Main" w:hAnsi="KaTeX_Main"/>
          <w:b/>
          <w:bCs/>
          <w:color w:val="404040"/>
          <w:sz w:val="29"/>
          <w:szCs w:val="29"/>
        </w:rPr>
        <w:t>A</w:t>
      </w:r>
      <w:r>
        <w:rPr>
          <w:rFonts w:ascii="Cambria Math" w:hAnsi="Cambria Math" w:cs="Cambria Math"/>
          <w:color w:val="404040"/>
          <w:sz w:val="29"/>
          <w:szCs w:val="29"/>
        </w:rPr>
        <w:t>⋅</w:t>
      </w:r>
      <w:r>
        <w:rPr>
          <w:rFonts w:ascii="KaTeX_Main" w:hAnsi="KaTeX_Main"/>
          <w:b/>
          <w:bCs/>
          <w:color w:val="404040"/>
          <w:sz w:val="29"/>
          <w:szCs w:val="29"/>
        </w:rPr>
        <w:t xml:space="preserve">B </w:t>
      </w:r>
      <w:r w:rsidRPr="00B04A31">
        <w:rPr>
          <w:rFonts w:ascii="Calibri" w:hAnsi="Calibri" w:cs="Calibri"/>
          <w:b/>
          <w:sz w:val="24"/>
          <w:szCs w:val="24"/>
        </w:rPr>
        <w:t>÷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Style w:val="mord"/>
          <w:rFonts w:ascii="Cambria Math" w:hAnsi="Cambria Math" w:cs="Cambria Math"/>
          <w:color w:val="404040"/>
          <w:sz w:val="29"/>
          <w:szCs w:val="29"/>
        </w:rPr>
        <w:t>∥</w:t>
      </w:r>
      <w:r>
        <w:rPr>
          <w:rFonts w:ascii="KaTeX_Main" w:hAnsi="KaTeX_Main"/>
          <w:b/>
          <w:bCs/>
          <w:color w:val="404040"/>
          <w:sz w:val="29"/>
          <w:szCs w:val="29"/>
        </w:rPr>
        <w:t>A</w:t>
      </w:r>
      <w:r>
        <w:rPr>
          <w:rFonts w:ascii="Cambria Math" w:hAnsi="Cambria Math" w:cs="Cambria Math"/>
          <w:color w:val="404040"/>
          <w:sz w:val="29"/>
          <w:szCs w:val="29"/>
        </w:rPr>
        <w:t>∥∥</w:t>
      </w:r>
      <w:r>
        <w:rPr>
          <w:rFonts w:ascii="KaTeX_Main" w:hAnsi="KaTeX_Main"/>
          <w:b/>
          <w:bCs/>
          <w:color w:val="404040"/>
          <w:sz w:val="29"/>
          <w:szCs w:val="29"/>
        </w:rPr>
        <w:t>B</w:t>
      </w:r>
      <w:r>
        <w:rPr>
          <w:rFonts w:ascii="Cambria Math" w:hAnsi="Cambria Math" w:cs="Cambria Math"/>
          <w:color w:val="404040"/>
          <w:sz w:val="29"/>
          <w:szCs w:val="29"/>
        </w:rPr>
        <w:t>∥</w:t>
      </w:r>
    </w:p>
    <w:p w:rsidR="0090422A" w:rsidRDefault="0090422A" w:rsidP="0090422A">
      <w:pPr>
        <w:rPr>
          <w:rStyle w:val="mord"/>
          <w:rFonts w:ascii="Cambria Math" w:hAnsi="Cambria Math" w:cs="Cambria Math"/>
          <w:color w:val="404040"/>
          <w:sz w:val="29"/>
          <w:szCs w:val="29"/>
        </w:rPr>
      </w:pPr>
      <w:r>
        <w:rPr>
          <w:rFonts w:ascii="KaTeX_Main" w:hAnsi="KaTeX_Main"/>
          <w:b/>
          <w:bCs/>
          <w:color w:val="404040"/>
          <w:sz w:val="29"/>
          <w:szCs w:val="29"/>
        </w:rPr>
        <w:t xml:space="preserve">                             </w:t>
      </w:r>
    </w:p>
    <w:p w:rsidR="0090422A" w:rsidRPr="000D0F00" w:rsidRDefault="0090422A" w:rsidP="0090422A">
      <w:pPr>
        <w:rPr>
          <w:rFonts w:ascii="Cambria Math" w:hAnsi="Cambria Math" w:cs="Cambria Math"/>
          <w:color w:val="404040"/>
          <w:sz w:val="29"/>
          <w:szCs w:val="29"/>
        </w:rPr>
      </w:pPr>
      <w:r w:rsidRPr="000D0F00">
        <w:rPr>
          <w:rFonts w:ascii="Segoe UI" w:eastAsia="Times New Roman" w:hAnsi="Segoe UI" w:cs="Segoe UI"/>
          <w:color w:val="404040"/>
          <w:sz w:val="24"/>
          <w:szCs w:val="24"/>
        </w:rPr>
        <w:t>Where:</w:t>
      </w:r>
    </w:p>
    <w:p w:rsidR="0090422A" w:rsidRPr="000D0F00" w:rsidRDefault="0090422A" w:rsidP="0090422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proofErr w:type="gramStart"/>
      <w:r w:rsidRPr="000D0F00">
        <w:rPr>
          <w:rFonts w:ascii="KaTeX_Main" w:eastAsia="Times New Roman" w:hAnsi="KaTeX_Main" w:cs="Segoe UI"/>
          <w:b/>
          <w:bCs/>
          <w:color w:val="404040"/>
          <w:sz w:val="29"/>
          <w:szCs w:val="29"/>
        </w:rPr>
        <w:t>A</w:t>
      </w:r>
      <w:r w:rsidRPr="000D0F00">
        <w:rPr>
          <w:rFonts w:ascii="Segoe UI" w:eastAsia="Times New Roman" w:hAnsi="Segoe UI" w:cs="Segoe UI"/>
          <w:color w:val="404040"/>
          <w:sz w:val="24"/>
          <w:szCs w:val="24"/>
        </w:rPr>
        <w:t> and</w:t>
      </w:r>
      <w:proofErr w:type="gramEnd"/>
      <w:r w:rsidRPr="000D0F00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D0F00">
        <w:rPr>
          <w:rFonts w:ascii="KaTeX_Main" w:eastAsia="Times New Roman" w:hAnsi="KaTeX_Main" w:cs="Segoe UI"/>
          <w:b/>
          <w:bCs/>
          <w:color w:val="404040"/>
          <w:sz w:val="29"/>
          <w:szCs w:val="29"/>
        </w:rPr>
        <w:t>B</w:t>
      </w:r>
      <w:r w:rsidRPr="000D0F00">
        <w:rPr>
          <w:rFonts w:ascii="Segoe UI" w:eastAsia="Times New Roman" w:hAnsi="Segoe UI" w:cs="Segoe UI"/>
          <w:color w:val="404040"/>
          <w:sz w:val="24"/>
          <w:szCs w:val="24"/>
        </w:rPr>
        <w:t> are the TF-IDF vectors of two documents.</w:t>
      </w:r>
    </w:p>
    <w:p w:rsidR="0090422A" w:rsidRPr="000D0F00" w:rsidRDefault="0090422A" w:rsidP="0090422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D0F00">
        <w:rPr>
          <w:rFonts w:ascii="KaTeX_Main" w:eastAsia="Times New Roman" w:hAnsi="KaTeX_Main" w:cs="Segoe UI"/>
          <w:b/>
          <w:bCs/>
          <w:color w:val="404040"/>
          <w:sz w:val="29"/>
          <w:szCs w:val="29"/>
        </w:rPr>
        <w:t>A</w:t>
      </w:r>
      <w:r w:rsidRPr="000D0F00">
        <w:rPr>
          <w:rFonts w:ascii="Cambria Math" w:eastAsia="Times New Roman" w:hAnsi="Cambria Math" w:cs="Cambria Math"/>
          <w:color w:val="404040"/>
          <w:sz w:val="29"/>
          <w:szCs w:val="29"/>
        </w:rPr>
        <w:t>⋅</w:t>
      </w:r>
      <w:r w:rsidRPr="000D0F00">
        <w:rPr>
          <w:rFonts w:ascii="KaTeX_Main" w:eastAsia="Times New Roman" w:hAnsi="KaTeX_Main" w:cs="Segoe UI"/>
          <w:b/>
          <w:bCs/>
          <w:color w:val="404040"/>
          <w:sz w:val="29"/>
          <w:szCs w:val="29"/>
        </w:rPr>
        <w:t>B</w:t>
      </w:r>
      <w:r w:rsidRPr="000D0F00">
        <w:rPr>
          <w:rFonts w:ascii="Segoe UI" w:eastAsia="Times New Roman" w:hAnsi="Segoe UI" w:cs="Segoe UI"/>
          <w:color w:val="404040"/>
          <w:sz w:val="24"/>
          <w:szCs w:val="24"/>
        </w:rPr>
        <w:t> is the dot product of the vectors.</w:t>
      </w:r>
    </w:p>
    <w:p w:rsidR="0090422A" w:rsidRPr="000D0F00" w:rsidRDefault="0090422A" w:rsidP="0090422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0D0F00">
        <w:rPr>
          <w:rFonts w:ascii="Cambria Math" w:eastAsia="Times New Roman" w:hAnsi="Cambria Math" w:cs="Cambria Math"/>
          <w:color w:val="404040"/>
          <w:sz w:val="29"/>
          <w:szCs w:val="29"/>
        </w:rPr>
        <w:t>∥</w:t>
      </w:r>
      <w:r w:rsidRPr="000D0F00">
        <w:rPr>
          <w:rFonts w:ascii="KaTeX_Main" w:eastAsia="Times New Roman" w:hAnsi="KaTeX_Main" w:cs="Segoe UI"/>
          <w:b/>
          <w:bCs/>
          <w:color w:val="404040"/>
          <w:sz w:val="29"/>
          <w:szCs w:val="29"/>
        </w:rPr>
        <w:t>A</w:t>
      </w:r>
      <w:r w:rsidRPr="000D0F00">
        <w:rPr>
          <w:rFonts w:ascii="Cambria Math" w:eastAsia="Times New Roman" w:hAnsi="Cambria Math" w:cs="Cambria Math"/>
          <w:color w:val="404040"/>
          <w:sz w:val="29"/>
          <w:szCs w:val="29"/>
        </w:rPr>
        <w:t>∥</w:t>
      </w:r>
      <w:r>
        <w:rPr>
          <w:rFonts w:ascii="Segoe UI" w:eastAsia="Times New Roman" w:hAnsi="Segoe UI" w:cs="Segoe UI"/>
          <w:color w:val="404040"/>
          <w:sz w:val="24"/>
          <w:szCs w:val="24"/>
        </w:rPr>
        <w:t xml:space="preserve"> and </w:t>
      </w:r>
      <w:r w:rsidRPr="000D0F00">
        <w:rPr>
          <w:rFonts w:ascii="Cambria Math" w:eastAsia="Times New Roman" w:hAnsi="Cambria Math" w:cs="Cambria Math"/>
          <w:color w:val="404040"/>
          <w:sz w:val="29"/>
          <w:szCs w:val="29"/>
        </w:rPr>
        <w:t>∥</w:t>
      </w:r>
      <w:r w:rsidRPr="000D0F00">
        <w:rPr>
          <w:rFonts w:ascii="KaTeX_Main" w:eastAsia="Times New Roman" w:hAnsi="KaTeX_Main" w:cs="Segoe UI"/>
          <w:b/>
          <w:bCs/>
          <w:color w:val="404040"/>
          <w:sz w:val="29"/>
          <w:szCs w:val="29"/>
        </w:rPr>
        <w:t>B</w:t>
      </w:r>
      <w:r w:rsidRPr="000D0F00">
        <w:rPr>
          <w:rFonts w:ascii="Cambria Math" w:eastAsia="Times New Roman" w:hAnsi="Cambria Math" w:cs="Cambria Math"/>
          <w:color w:val="404040"/>
          <w:sz w:val="29"/>
          <w:szCs w:val="29"/>
        </w:rPr>
        <w:t>∥</w:t>
      </w:r>
      <w:r w:rsidRPr="000D0F00">
        <w:rPr>
          <w:rFonts w:ascii="Segoe UI" w:eastAsia="Times New Roman" w:hAnsi="Segoe UI" w:cs="Segoe UI"/>
          <w:color w:val="404040"/>
          <w:sz w:val="24"/>
          <w:szCs w:val="24"/>
        </w:rPr>
        <w:t> are the magnitudes of the vectors.</w:t>
      </w:r>
    </w:p>
    <w:p w:rsidR="0090422A" w:rsidRDefault="0090422A" w:rsidP="0090422A"/>
    <w:p w:rsidR="0090422A" w:rsidRDefault="0090422A" w:rsidP="0090422A"/>
    <w:p w:rsidR="0090422A" w:rsidRDefault="0090422A" w:rsidP="0090422A">
      <w:r>
        <w:t>The cosine similarity calculation process is illustrated below:</w:t>
      </w:r>
    </w:p>
    <w:p w:rsidR="0090422A" w:rsidRDefault="0090422A" w:rsidP="0090422A"/>
    <w:p w:rsidR="0090422A" w:rsidRDefault="0090422A" w:rsidP="0090422A">
      <w:pPr>
        <w:rPr>
          <w:b/>
          <w:i/>
        </w:rPr>
      </w:pPr>
      <w:r>
        <w:rPr>
          <w:b/>
          <w:i/>
        </w:rPr>
        <w:t>Vector Representation → Dot Product Calculation → Cosine Similarity</w:t>
      </w:r>
    </w:p>
    <w:p w:rsidR="0090422A" w:rsidRDefault="0090422A" w:rsidP="0090422A"/>
    <w:p w:rsidR="0090422A" w:rsidRDefault="0090422A" w:rsidP="0090422A"/>
    <w:p w:rsidR="0090422A" w:rsidRDefault="0090422A" w:rsidP="0090422A"/>
    <w:p w:rsidR="0090422A" w:rsidRDefault="0090422A" w:rsidP="0090422A"/>
    <w:p w:rsidR="0090422A" w:rsidRDefault="0090422A" w:rsidP="0090422A"/>
    <w:p w:rsidR="0090422A" w:rsidRDefault="0090422A" w:rsidP="0090422A"/>
    <w:p w:rsidR="0090422A" w:rsidRDefault="0090422A" w:rsidP="0090422A">
      <w:pPr>
        <w:rPr>
          <w:b/>
        </w:rPr>
      </w:pPr>
    </w:p>
    <w:p w:rsidR="0090422A" w:rsidRDefault="0090422A" w:rsidP="0090422A">
      <w:pPr>
        <w:rPr>
          <w:b/>
        </w:rPr>
      </w:pPr>
    </w:p>
    <w:p w:rsidR="0090422A" w:rsidRPr="00CC0A31" w:rsidRDefault="0090422A" w:rsidP="0090422A">
      <w:pPr>
        <w:rPr>
          <w:b/>
        </w:rPr>
      </w:pPr>
      <w:r w:rsidRPr="00CC0A31">
        <w:rPr>
          <w:b/>
        </w:rPr>
        <w:lastRenderedPageBreak/>
        <w:t xml:space="preserve"> 3.5 Similarity Score Interpretation</w:t>
      </w:r>
    </w:p>
    <w:p w:rsidR="0090422A" w:rsidRDefault="0090422A" w:rsidP="0090422A">
      <w:r>
        <w:t>The similarity scores generated by the system are interpreted as follows:</w:t>
      </w:r>
    </w:p>
    <w:p w:rsidR="0090422A" w:rsidRDefault="0090422A" w:rsidP="0090422A">
      <w:r>
        <w:t>- 0.0: No similarity (completely original work).</w:t>
      </w:r>
    </w:p>
    <w:p w:rsidR="0090422A" w:rsidRDefault="0090422A" w:rsidP="0090422A">
      <w:r>
        <w:t>- 0.1–0.4: Low similarity (common wording or structure).</w:t>
      </w:r>
    </w:p>
    <w:p w:rsidR="0090422A" w:rsidRDefault="0090422A" w:rsidP="0090422A">
      <w:r>
        <w:t>- 0.4–0.7: Moderate similarity (potential plagiarism, requires investigation).</w:t>
      </w:r>
    </w:p>
    <w:p w:rsidR="0090422A" w:rsidRDefault="0090422A" w:rsidP="0090422A">
      <w:r>
        <w:t>- 0.7–1.0: High similarity (strong evidence of plagiarism).</w:t>
      </w:r>
    </w:p>
    <w:p w:rsidR="0090422A" w:rsidRDefault="0090422A" w:rsidP="0090422A"/>
    <w:p w:rsidR="0090422A" w:rsidRDefault="0090422A" w:rsidP="0090422A">
      <w:r>
        <w:t>The table below provides a detailed interpretation of similarity scores:</w:t>
      </w:r>
    </w:p>
    <w:p w:rsidR="0090422A" w:rsidRDefault="0090422A" w:rsidP="009042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943"/>
        <w:gridCol w:w="3885"/>
      </w:tblGrid>
      <w:tr w:rsidR="0090422A" w:rsidTr="00A814D2">
        <w:tc>
          <w:tcPr>
            <w:tcW w:w="0" w:type="auto"/>
          </w:tcPr>
          <w:p w:rsidR="0090422A" w:rsidRPr="00B04A31" w:rsidRDefault="0090422A" w:rsidP="00A814D2">
            <w:pPr>
              <w:rPr>
                <w:b/>
              </w:rPr>
            </w:pPr>
            <w:r>
              <w:rPr>
                <w:b/>
              </w:rPr>
              <w:t>Score Range</w:t>
            </w:r>
          </w:p>
        </w:tc>
        <w:tc>
          <w:tcPr>
            <w:tcW w:w="0" w:type="auto"/>
          </w:tcPr>
          <w:p w:rsidR="0090422A" w:rsidRPr="00B04A31" w:rsidRDefault="0090422A" w:rsidP="00A814D2">
            <w:pPr>
              <w:rPr>
                <w:b/>
              </w:rPr>
            </w:pPr>
            <w:r>
              <w:rPr>
                <w:b/>
              </w:rPr>
              <w:t>Interpretation</w:t>
            </w:r>
          </w:p>
        </w:tc>
        <w:tc>
          <w:tcPr>
            <w:tcW w:w="0" w:type="auto"/>
          </w:tcPr>
          <w:p w:rsidR="0090422A" w:rsidRPr="00B04A31" w:rsidRDefault="0090422A" w:rsidP="00A814D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0422A" w:rsidTr="00A814D2">
        <w:tc>
          <w:tcPr>
            <w:tcW w:w="0" w:type="auto"/>
          </w:tcPr>
          <w:p w:rsidR="0090422A" w:rsidRDefault="0090422A" w:rsidP="00A814D2">
            <w:r>
              <w:t>0.0</w:t>
            </w:r>
          </w:p>
        </w:tc>
        <w:tc>
          <w:tcPr>
            <w:tcW w:w="0" w:type="auto"/>
          </w:tcPr>
          <w:p w:rsidR="0090422A" w:rsidRDefault="0090422A" w:rsidP="00A814D2">
            <w:r>
              <w:t>No plagiarism detected</w:t>
            </w:r>
          </w:p>
        </w:tc>
        <w:tc>
          <w:tcPr>
            <w:tcW w:w="0" w:type="auto"/>
          </w:tcPr>
          <w:p w:rsidR="0090422A" w:rsidRDefault="0090422A" w:rsidP="00A814D2">
            <w:r>
              <w:t>No action required</w:t>
            </w:r>
          </w:p>
        </w:tc>
      </w:tr>
      <w:tr w:rsidR="0090422A" w:rsidTr="00A814D2">
        <w:tc>
          <w:tcPr>
            <w:tcW w:w="0" w:type="auto"/>
          </w:tcPr>
          <w:p w:rsidR="0090422A" w:rsidRDefault="0090422A" w:rsidP="00A814D2">
            <w:r>
              <w:t>0.1 – 0.4</w:t>
            </w:r>
          </w:p>
        </w:tc>
        <w:tc>
          <w:tcPr>
            <w:tcW w:w="0" w:type="auto"/>
          </w:tcPr>
          <w:p w:rsidR="0090422A" w:rsidRDefault="0090422A" w:rsidP="00A814D2">
            <w:r>
              <w:t>Common wording or structure</w:t>
            </w:r>
          </w:p>
        </w:tc>
        <w:tc>
          <w:tcPr>
            <w:tcW w:w="0" w:type="auto"/>
          </w:tcPr>
          <w:p w:rsidR="0090422A" w:rsidRDefault="0090422A" w:rsidP="00A814D2">
            <w:r>
              <w:t>Review for context</w:t>
            </w:r>
          </w:p>
        </w:tc>
      </w:tr>
      <w:tr w:rsidR="0090422A" w:rsidTr="00A814D2">
        <w:tc>
          <w:tcPr>
            <w:tcW w:w="0" w:type="auto"/>
          </w:tcPr>
          <w:p w:rsidR="0090422A" w:rsidRDefault="0090422A" w:rsidP="00A814D2">
            <w:r>
              <w:t>0.4 – 0.7</w:t>
            </w:r>
          </w:p>
        </w:tc>
        <w:tc>
          <w:tcPr>
            <w:tcW w:w="0" w:type="auto"/>
          </w:tcPr>
          <w:p w:rsidR="0090422A" w:rsidRDefault="0090422A" w:rsidP="00A814D2">
            <w:r>
              <w:t>Moderate similarity (potential plagiarism)</w:t>
            </w:r>
          </w:p>
        </w:tc>
        <w:tc>
          <w:tcPr>
            <w:tcW w:w="0" w:type="auto"/>
          </w:tcPr>
          <w:p w:rsidR="0090422A" w:rsidRDefault="0090422A" w:rsidP="00A814D2">
            <w:r>
              <w:t>Investigate further</w:t>
            </w:r>
          </w:p>
        </w:tc>
      </w:tr>
      <w:tr w:rsidR="0090422A" w:rsidTr="00A814D2">
        <w:tc>
          <w:tcPr>
            <w:tcW w:w="0" w:type="auto"/>
          </w:tcPr>
          <w:p w:rsidR="0090422A" w:rsidRDefault="0090422A" w:rsidP="00A814D2">
            <w:r>
              <w:t>0.7 – 1.0</w:t>
            </w:r>
          </w:p>
        </w:tc>
        <w:tc>
          <w:tcPr>
            <w:tcW w:w="0" w:type="auto"/>
          </w:tcPr>
          <w:p w:rsidR="0090422A" w:rsidRDefault="0090422A" w:rsidP="00A814D2">
            <w:r>
              <w:t>Strong evidence of plagiarism</w:t>
            </w:r>
          </w:p>
        </w:tc>
        <w:tc>
          <w:tcPr>
            <w:tcW w:w="0" w:type="auto"/>
          </w:tcPr>
          <w:p w:rsidR="0090422A" w:rsidRDefault="0090422A" w:rsidP="00A814D2">
            <w:r>
              <w:t>Apply penalties as per institutional policy</w:t>
            </w:r>
          </w:p>
        </w:tc>
      </w:tr>
    </w:tbl>
    <w:p w:rsidR="006206C7" w:rsidRDefault="006206C7"/>
    <w:sectPr w:rsidR="00620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00"/>
    <w:family w:val="auto"/>
    <w:notTrueType/>
    <w:pitch w:val="default"/>
    <w:sig w:usb0="00000003" w:usb1="00000000" w:usb2="00000000" w:usb3="00000000" w:csb0="00000001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D5FC9"/>
    <w:multiLevelType w:val="multilevel"/>
    <w:tmpl w:val="DF6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F0756"/>
    <w:multiLevelType w:val="multilevel"/>
    <w:tmpl w:val="41E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2A"/>
    <w:rsid w:val="006206C7"/>
    <w:rsid w:val="009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412ED-92A4-4FC7-87BE-AB711A7B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90422A"/>
  </w:style>
  <w:style w:type="character" w:customStyle="1" w:styleId="mopen">
    <w:name w:val="mopen"/>
    <w:basedOn w:val="DefaultParagraphFont"/>
    <w:rsid w:val="0090422A"/>
  </w:style>
  <w:style w:type="character" w:customStyle="1" w:styleId="mpunct">
    <w:name w:val="mpunct"/>
    <w:basedOn w:val="DefaultParagraphFont"/>
    <w:rsid w:val="0090422A"/>
  </w:style>
  <w:style w:type="character" w:customStyle="1" w:styleId="mclose">
    <w:name w:val="mclose"/>
    <w:basedOn w:val="DefaultParagraphFont"/>
    <w:rsid w:val="0090422A"/>
  </w:style>
  <w:style w:type="character" w:customStyle="1" w:styleId="mrel">
    <w:name w:val="mrel"/>
    <w:basedOn w:val="DefaultParagraphFont"/>
    <w:rsid w:val="0090422A"/>
  </w:style>
  <w:style w:type="character" w:customStyle="1" w:styleId="mbin">
    <w:name w:val="mbin"/>
    <w:basedOn w:val="DefaultParagraphFont"/>
    <w:rsid w:val="0090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2025-01-29T18:11:00Z</dcterms:created>
  <dcterms:modified xsi:type="dcterms:W3CDTF">2025-01-29T18:13:00Z</dcterms:modified>
</cp:coreProperties>
</file>