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3024" w14:textId="77777777" w:rsidR="00386AC3" w:rsidRPr="0026293B" w:rsidRDefault="00386AC3" w:rsidP="00386AC3">
      <w:pPr>
        <w:pStyle w:val="Ttulo3"/>
        <w:rPr>
          <w:color w:val="auto"/>
        </w:rPr>
      </w:pPr>
      <w:bookmarkStart w:id="0" w:name="_Toc211784063"/>
      <w:r w:rsidRPr="0026293B">
        <w:rPr>
          <w:color w:val="auto"/>
        </w:rPr>
        <w:t xml:space="preserve">3.4.1 Políticas de Configuración Segura de </w:t>
      </w:r>
      <w:proofErr w:type="spellStart"/>
      <w:r w:rsidRPr="0026293B">
        <w:rPr>
          <w:color w:val="auto"/>
        </w:rPr>
        <w:t>APIs</w:t>
      </w:r>
      <w:proofErr w:type="spellEnd"/>
      <w:r w:rsidRPr="0026293B">
        <w:rPr>
          <w:color w:val="auto"/>
        </w:rPr>
        <w:t xml:space="preserve"> en la Nube</w:t>
      </w:r>
      <w:bookmarkEnd w:id="0"/>
    </w:p>
    <w:p w14:paraId="748E8F98" w14:textId="77777777" w:rsidR="00386AC3" w:rsidRPr="0026293B" w:rsidRDefault="00386AC3" w:rsidP="00386AC3">
      <w:pPr>
        <w:pStyle w:val="APA7MAEDICION"/>
      </w:pPr>
      <w:r w:rsidRPr="0026293B">
        <w:t xml:space="preserve">La configuración segura de las </w:t>
      </w:r>
      <w:proofErr w:type="spellStart"/>
      <w:r w:rsidRPr="0026293B">
        <w:t>APIs</w:t>
      </w:r>
      <w:proofErr w:type="spellEnd"/>
      <w:r w:rsidRPr="0026293B">
        <w:t xml:space="preserve"> constituye el eje central de la arquitectura de seguridad en entornos de nube híbrida o pública. Estas políticas establecen lineamientos técnicos que garantizan la integridad, confidencialidad y disponibilidad de los servicios expuestos, así como la trazabilidad de las operaciones y la gestión segura de credenciales, de acuerdo con las directrices de OWASP API Security Top 10 (2023) y la norma ISO/IEC 27001:2022.</w:t>
      </w:r>
    </w:p>
    <w:p w14:paraId="1C27B51B" w14:textId="77777777" w:rsidR="00386AC3" w:rsidRPr="0026293B" w:rsidRDefault="00386AC3" w:rsidP="00386AC3">
      <w:pPr>
        <w:pStyle w:val="APA7MAEDICION"/>
      </w:pPr>
      <w:r w:rsidRPr="0026293B">
        <w:t>1. Gestión de Identidad y Acceso (IAM)</w:t>
      </w:r>
    </w:p>
    <w:p w14:paraId="3A5B87A1" w14:textId="77777777" w:rsidR="00386AC3" w:rsidRPr="0026293B" w:rsidRDefault="00386AC3" w:rsidP="00386AC3">
      <w:pPr>
        <w:pStyle w:val="APA7MAEDICION"/>
      </w:pPr>
      <w:r w:rsidRPr="0026293B">
        <w:t>La gestión de identidades se rige por el principio de mínimo privilegio y de separación de funciones.</w:t>
      </w:r>
    </w:p>
    <w:p w14:paraId="646EF584" w14:textId="77777777" w:rsidR="00386AC3" w:rsidRPr="0026293B" w:rsidRDefault="00386AC3" w:rsidP="00386AC3">
      <w:pPr>
        <w:pStyle w:val="APA7MAEDICION"/>
      </w:pPr>
      <w:r w:rsidRPr="0026293B">
        <w:t>Cada API y servicio en la nube debe operar bajo roles dedicados y políticas granulares que limiten el acceso exclusivamente a los recursos necesarios.</w:t>
      </w:r>
    </w:p>
    <w:p w14:paraId="0FCDB47A" w14:textId="77777777" w:rsidR="00386AC3" w:rsidRPr="0026293B" w:rsidRDefault="00386AC3" w:rsidP="00386AC3">
      <w:pPr>
        <w:pStyle w:val="APA7MAEDICION"/>
      </w:pPr>
      <w:r w:rsidRPr="0026293B">
        <w:t xml:space="preserve">Se implementarán autenticación </w:t>
      </w:r>
      <w:proofErr w:type="spellStart"/>
      <w:r w:rsidRPr="0026293B">
        <w:t>multifactor</w:t>
      </w:r>
      <w:proofErr w:type="spellEnd"/>
      <w:r w:rsidRPr="0026293B">
        <w:t xml:space="preserve"> (MFA) para administradores y tokens JWT u OAuth 2.0 para el consumo de </w:t>
      </w:r>
      <w:proofErr w:type="spellStart"/>
      <w:r w:rsidRPr="0026293B">
        <w:t>APIs</w:t>
      </w:r>
      <w:proofErr w:type="spellEnd"/>
      <w:r w:rsidRPr="0026293B">
        <w:t>.</w:t>
      </w:r>
    </w:p>
    <w:p w14:paraId="619178E5" w14:textId="77777777" w:rsidR="00386AC3" w:rsidRPr="0026293B" w:rsidRDefault="00386AC3" w:rsidP="00386AC3">
      <w:pPr>
        <w:pStyle w:val="APA7MAEDICION"/>
      </w:pPr>
      <w:r w:rsidRPr="0026293B">
        <w:t>La rotación periódica de credenciales y la revocación automática de tokens inactivos se ejecutarán conforme a políticas de ciclo de vida seguro (ISO 27001 A.9.2).</w:t>
      </w:r>
    </w:p>
    <w:p w14:paraId="24D7DB76" w14:textId="77777777" w:rsidR="00386AC3" w:rsidRPr="0026293B" w:rsidRDefault="00386AC3" w:rsidP="00386AC3">
      <w:pPr>
        <w:pStyle w:val="APA7MAEDICION"/>
      </w:pPr>
      <w:r w:rsidRPr="0026293B">
        <w:t xml:space="preserve">Los accesos privilegiados deben ser auditados mediante herramientas de </w:t>
      </w:r>
      <w:proofErr w:type="spellStart"/>
      <w:r w:rsidRPr="0026293B">
        <w:t>Privileged</w:t>
      </w:r>
      <w:proofErr w:type="spellEnd"/>
      <w:r w:rsidRPr="0026293B">
        <w:t xml:space="preserve"> Access Management (PAM) o los servicios nativos de la nube.</w:t>
      </w:r>
    </w:p>
    <w:p w14:paraId="080AF16C" w14:textId="77777777" w:rsidR="00386AC3" w:rsidRPr="0026293B" w:rsidRDefault="00386AC3" w:rsidP="00386AC3">
      <w:pPr>
        <w:pStyle w:val="APA7MAEDICION"/>
      </w:pPr>
    </w:p>
    <w:p w14:paraId="26DC6E83" w14:textId="77777777" w:rsidR="00386AC3" w:rsidRPr="0026293B" w:rsidRDefault="00386AC3" w:rsidP="00386AC3">
      <w:pPr>
        <w:pStyle w:val="APA7MAEDICION"/>
      </w:pPr>
      <w:r w:rsidRPr="0026293B">
        <w:t>2. Segmentación y Aislamiento de Red</w:t>
      </w:r>
    </w:p>
    <w:p w14:paraId="71886CDB" w14:textId="77777777" w:rsidR="00386AC3" w:rsidRPr="0026293B" w:rsidRDefault="00386AC3" w:rsidP="00386AC3">
      <w:pPr>
        <w:pStyle w:val="APA7MAEDICION"/>
      </w:pPr>
      <w:r w:rsidRPr="0026293B">
        <w:lastRenderedPageBreak/>
        <w:t>El aislamiento lógico es esencial para mitigar movimientos laterales y ataques de escalamiento.</w:t>
      </w:r>
    </w:p>
    <w:p w14:paraId="19C50286" w14:textId="77777777" w:rsidR="00386AC3" w:rsidRPr="0026293B" w:rsidRDefault="00386AC3" w:rsidP="00386AC3">
      <w:pPr>
        <w:pStyle w:val="APA7MAEDICION"/>
      </w:pPr>
      <w:r w:rsidRPr="0026293B">
        <w:t xml:space="preserve">Las </w:t>
      </w:r>
      <w:proofErr w:type="spellStart"/>
      <w:r w:rsidRPr="0026293B">
        <w:t>APIs</w:t>
      </w:r>
      <w:proofErr w:type="spellEnd"/>
      <w:r w:rsidRPr="0026293B">
        <w:t xml:space="preserve"> deben desplegarse dentro de Virtual Private </w:t>
      </w:r>
      <w:proofErr w:type="spellStart"/>
      <w:r w:rsidRPr="0026293B">
        <w:t>Clouds</w:t>
      </w:r>
      <w:proofErr w:type="spellEnd"/>
      <w:r w:rsidRPr="0026293B">
        <w:t xml:space="preserve"> (</w:t>
      </w:r>
      <w:proofErr w:type="spellStart"/>
      <w:r w:rsidRPr="0026293B">
        <w:t>VPCs</w:t>
      </w:r>
      <w:proofErr w:type="spellEnd"/>
      <w:r w:rsidRPr="0026293B">
        <w:t>) con subredes privadas y zonas desmilitarizadas (DMZ).</w:t>
      </w:r>
    </w:p>
    <w:p w14:paraId="35FE96FD" w14:textId="77777777" w:rsidR="00386AC3" w:rsidRPr="0026293B" w:rsidRDefault="00386AC3" w:rsidP="00386AC3">
      <w:pPr>
        <w:pStyle w:val="APA7MAEDICION"/>
      </w:pPr>
      <w:r w:rsidRPr="0026293B">
        <w:t>El tráfico entre componentes se controlará con Listas de Control de Acceso (</w:t>
      </w:r>
      <w:proofErr w:type="spellStart"/>
      <w:r w:rsidRPr="0026293B">
        <w:t>ACLs</w:t>
      </w:r>
      <w:proofErr w:type="spellEnd"/>
      <w:r w:rsidRPr="0026293B">
        <w:t xml:space="preserve">), Security </w:t>
      </w:r>
      <w:proofErr w:type="spellStart"/>
      <w:r w:rsidRPr="0026293B">
        <w:t>Groups</w:t>
      </w:r>
      <w:proofErr w:type="spellEnd"/>
      <w:r w:rsidRPr="0026293B">
        <w:t xml:space="preserve"> y Network </w:t>
      </w:r>
      <w:proofErr w:type="spellStart"/>
      <w:r w:rsidRPr="0026293B">
        <w:t>Policies</w:t>
      </w:r>
      <w:proofErr w:type="spellEnd"/>
      <w:r w:rsidRPr="0026293B">
        <w:t>.</w:t>
      </w:r>
    </w:p>
    <w:p w14:paraId="02F32641" w14:textId="77777777" w:rsidR="00386AC3" w:rsidRPr="0026293B" w:rsidRDefault="00386AC3" w:rsidP="00386AC3">
      <w:pPr>
        <w:pStyle w:val="APA7MAEDICION"/>
      </w:pPr>
      <w:r w:rsidRPr="0026293B">
        <w:t>Se recomienda integrar mecanismos de microsegmentación basados en etiquetas (</w:t>
      </w:r>
      <w:proofErr w:type="spellStart"/>
      <w:r w:rsidRPr="0026293B">
        <w:t>tagging</w:t>
      </w:r>
      <w:proofErr w:type="spellEnd"/>
      <w:r w:rsidRPr="0026293B">
        <w:t>) y Zero Trust Network Access (ZTNA) para garantizar que ninguna comunicación ocurra sin autenticación y validación explícita.</w:t>
      </w:r>
    </w:p>
    <w:p w14:paraId="450F43E2" w14:textId="77777777" w:rsidR="00386AC3" w:rsidRPr="0026293B" w:rsidRDefault="00386AC3" w:rsidP="00386AC3">
      <w:pPr>
        <w:pStyle w:val="APA7MAEDICION"/>
      </w:pPr>
      <w:r w:rsidRPr="0026293B">
        <w:t xml:space="preserve">Los registros de tráfico se enviarán a herramientas de análisis como </w:t>
      </w:r>
      <w:proofErr w:type="spellStart"/>
      <w:r w:rsidRPr="0026293B">
        <w:t>Wazuh</w:t>
      </w:r>
      <w:proofErr w:type="spellEnd"/>
      <w:r w:rsidRPr="0026293B">
        <w:t xml:space="preserve"> o </w:t>
      </w:r>
      <w:proofErr w:type="spellStart"/>
      <w:r w:rsidRPr="0026293B">
        <w:t>Elastic</w:t>
      </w:r>
      <w:proofErr w:type="spellEnd"/>
      <w:r w:rsidRPr="0026293B">
        <w:t xml:space="preserve"> SIEM para su correlación.</w:t>
      </w:r>
    </w:p>
    <w:p w14:paraId="75AC1EC0" w14:textId="77777777" w:rsidR="00386AC3" w:rsidRPr="0026293B" w:rsidRDefault="00386AC3" w:rsidP="00386AC3">
      <w:pPr>
        <w:pStyle w:val="APA7MAEDICION"/>
      </w:pPr>
      <w:r w:rsidRPr="0026293B">
        <w:t xml:space="preserve">3. Protección de </w:t>
      </w:r>
      <w:proofErr w:type="spellStart"/>
      <w:r w:rsidRPr="0026293B">
        <w:t>Endpoints</w:t>
      </w:r>
      <w:proofErr w:type="spellEnd"/>
      <w:r w:rsidRPr="0026293B">
        <w:t xml:space="preserve"> y Superficie de Exposición</w:t>
      </w:r>
    </w:p>
    <w:p w14:paraId="6724A0F0" w14:textId="77777777" w:rsidR="00386AC3" w:rsidRPr="0026293B" w:rsidRDefault="00386AC3" w:rsidP="00386AC3">
      <w:pPr>
        <w:pStyle w:val="APA7MAEDICION"/>
      </w:pPr>
      <w:r w:rsidRPr="0026293B">
        <w:t xml:space="preserve">Las </w:t>
      </w:r>
      <w:proofErr w:type="spellStart"/>
      <w:r w:rsidRPr="0026293B">
        <w:t>APIs</w:t>
      </w:r>
      <w:proofErr w:type="spellEnd"/>
      <w:r w:rsidRPr="0026293B">
        <w:t xml:space="preserve"> deben estar protegidas mediante una capa de control de acceso y filtrado que inspeccione todas las solicitudes externas:</w:t>
      </w:r>
    </w:p>
    <w:p w14:paraId="033EF454" w14:textId="77777777" w:rsidR="00386AC3" w:rsidRPr="0026293B" w:rsidRDefault="00386AC3" w:rsidP="00386AC3">
      <w:pPr>
        <w:pStyle w:val="APA7MAEDICION"/>
      </w:pPr>
      <w:r w:rsidRPr="0026293B">
        <w:t xml:space="preserve">Desplegar API </w:t>
      </w:r>
      <w:proofErr w:type="spellStart"/>
      <w:r w:rsidRPr="0026293B">
        <w:t>Gateways</w:t>
      </w:r>
      <w:proofErr w:type="spellEnd"/>
      <w:r w:rsidRPr="0026293B">
        <w:t xml:space="preserve"> y Web </w:t>
      </w:r>
      <w:proofErr w:type="spellStart"/>
      <w:r w:rsidRPr="0026293B">
        <w:t>Application</w:t>
      </w:r>
      <w:proofErr w:type="spellEnd"/>
      <w:r w:rsidRPr="0026293B">
        <w:t xml:space="preserve"> Firewalls (WAF) con políticas de protección contra ataques de inyección, Cross-Site Scripting (XSS), denegación de servicio (DoS) y manipulación de cabeceras.</w:t>
      </w:r>
    </w:p>
    <w:p w14:paraId="212FE587" w14:textId="77777777" w:rsidR="00386AC3" w:rsidRPr="0026293B" w:rsidRDefault="00386AC3" w:rsidP="00386AC3">
      <w:pPr>
        <w:pStyle w:val="APA7MAEDICION"/>
      </w:pPr>
      <w:r w:rsidRPr="0026293B">
        <w:t xml:space="preserve">Implementar Rate </w:t>
      </w:r>
      <w:proofErr w:type="spellStart"/>
      <w:r w:rsidRPr="0026293B">
        <w:t>Limiting</w:t>
      </w:r>
      <w:proofErr w:type="spellEnd"/>
      <w:r w:rsidRPr="0026293B">
        <w:t xml:space="preserve">, </w:t>
      </w:r>
      <w:proofErr w:type="spellStart"/>
      <w:r w:rsidRPr="0026293B">
        <w:t>Quota</w:t>
      </w:r>
      <w:proofErr w:type="spellEnd"/>
      <w:r w:rsidRPr="0026293B">
        <w:t xml:space="preserve"> </w:t>
      </w:r>
      <w:proofErr w:type="spellStart"/>
      <w:r w:rsidRPr="0026293B">
        <w:t>Enforcement</w:t>
      </w:r>
      <w:proofErr w:type="spellEnd"/>
      <w:r w:rsidRPr="0026293B">
        <w:t xml:space="preserve"> y validación de esquema JSON/XML para evitar abusos de consumo.</w:t>
      </w:r>
    </w:p>
    <w:p w14:paraId="45852990" w14:textId="77777777" w:rsidR="00386AC3" w:rsidRPr="0026293B" w:rsidRDefault="00386AC3" w:rsidP="00386AC3">
      <w:pPr>
        <w:pStyle w:val="APA7MAEDICION"/>
      </w:pPr>
      <w:r w:rsidRPr="0026293B">
        <w:t>Registrar cada solicitud entrante y bloquear automáticamente patrones anómalos detectados por sistemas de detección de intrusos (IDS/IPS).</w:t>
      </w:r>
    </w:p>
    <w:p w14:paraId="209848AA" w14:textId="77777777" w:rsidR="00386AC3" w:rsidRPr="0026293B" w:rsidRDefault="00386AC3" w:rsidP="00386AC3">
      <w:pPr>
        <w:pStyle w:val="APA7MAEDICION"/>
      </w:pPr>
      <w:r w:rsidRPr="0026293B">
        <w:lastRenderedPageBreak/>
        <w:t xml:space="preserve">Los </w:t>
      </w:r>
      <w:proofErr w:type="spellStart"/>
      <w:r w:rsidRPr="0026293B">
        <w:t>gateways</w:t>
      </w:r>
      <w:proofErr w:type="spellEnd"/>
      <w:r w:rsidRPr="0026293B">
        <w:t xml:space="preserve"> deben aplicar TLS 1.2+, firmar las respuestas y autenticar clientes mediante certificados válidos.</w:t>
      </w:r>
    </w:p>
    <w:p w14:paraId="0D2862F3" w14:textId="77777777" w:rsidR="00386AC3" w:rsidRPr="0026293B" w:rsidRDefault="00386AC3" w:rsidP="00386AC3">
      <w:pPr>
        <w:pStyle w:val="APA7MAEDICION"/>
      </w:pPr>
    </w:p>
    <w:p w14:paraId="6168B8CD" w14:textId="77777777" w:rsidR="00386AC3" w:rsidRPr="0026293B" w:rsidRDefault="00386AC3" w:rsidP="00386AC3">
      <w:pPr>
        <w:pStyle w:val="APA7MAEDICION"/>
      </w:pPr>
    </w:p>
    <w:p w14:paraId="098676FA" w14:textId="77777777" w:rsidR="00386AC3" w:rsidRPr="0026293B" w:rsidRDefault="00386AC3" w:rsidP="00386AC3">
      <w:pPr>
        <w:pStyle w:val="APA7MAEDICION"/>
      </w:pPr>
      <w:r w:rsidRPr="0026293B">
        <w:t>4. Cifrado de Datos en Tránsito y en Reposo</w:t>
      </w:r>
    </w:p>
    <w:p w14:paraId="068F1AE2" w14:textId="77777777" w:rsidR="00386AC3" w:rsidRPr="0026293B" w:rsidRDefault="00386AC3" w:rsidP="00386AC3">
      <w:pPr>
        <w:pStyle w:val="APA7MAEDICION"/>
      </w:pPr>
      <w:r w:rsidRPr="0026293B">
        <w:t>Todo intercambio de información entre clientes y servicios debe realizarse bajo canales cifrados:</w:t>
      </w:r>
    </w:p>
    <w:p w14:paraId="3B06FD36" w14:textId="77777777" w:rsidR="00386AC3" w:rsidRPr="0026293B" w:rsidRDefault="00386AC3" w:rsidP="00386AC3">
      <w:pPr>
        <w:pStyle w:val="APA7MAEDICION"/>
      </w:pPr>
      <w:r w:rsidRPr="0026293B">
        <w:t>TLS 1.3 o superior para las comunicaciones API, con certificados administrados centralmente y rotación automática.</w:t>
      </w:r>
    </w:p>
    <w:p w14:paraId="162CC16F" w14:textId="77777777" w:rsidR="00386AC3" w:rsidRPr="0026293B" w:rsidRDefault="00386AC3" w:rsidP="00386AC3">
      <w:pPr>
        <w:pStyle w:val="APA7MAEDICION"/>
      </w:pPr>
      <w:r w:rsidRPr="0026293B">
        <w:t>Cifrado simétrico AES-256 o asimétrico RSA-2048/4096 para bases de datos y almacenamiento en reposo.</w:t>
      </w:r>
    </w:p>
    <w:p w14:paraId="4E05775F" w14:textId="77777777" w:rsidR="00386AC3" w:rsidRPr="0026293B" w:rsidRDefault="00386AC3" w:rsidP="00386AC3">
      <w:pPr>
        <w:pStyle w:val="APA7MAEDICION"/>
      </w:pPr>
      <w:r w:rsidRPr="0026293B">
        <w:t xml:space="preserve">Las claves de cifrado se gestionarán mediante Key Management </w:t>
      </w:r>
      <w:proofErr w:type="spellStart"/>
      <w:r w:rsidRPr="0026293B">
        <w:t>Services</w:t>
      </w:r>
      <w:proofErr w:type="spellEnd"/>
      <w:r w:rsidRPr="0026293B">
        <w:t xml:space="preserve"> (KMS) de la nube o módulos de seguridad de hardware (HSM) conforme a FIPS 140-2.</w:t>
      </w:r>
    </w:p>
    <w:p w14:paraId="42C14C41" w14:textId="77777777" w:rsidR="00386AC3" w:rsidRPr="0026293B" w:rsidRDefault="00386AC3" w:rsidP="00386AC3">
      <w:pPr>
        <w:pStyle w:val="APA7MAEDICION"/>
      </w:pPr>
      <w:r w:rsidRPr="0026293B">
        <w:t>Las políticas de cifrado deberán revisarse periódicamente para asegurar compatibilidad con nuevas versiones y algoritmos seguros.</w:t>
      </w:r>
    </w:p>
    <w:p w14:paraId="0C97442A" w14:textId="77777777" w:rsidR="00386AC3" w:rsidRPr="0026293B" w:rsidRDefault="00386AC3" w:rsidP="00386AC3">
      <w:pPr>
        <w:pStyle w:val="APA7MAEDICION"/>
      </w:pPr>
      <w:r w:rsidRPr="0026293B">
        <w:t>5. Gestión de Secretos y Claves</w:t>
      </w:r>
    </w:p>
    <w:p w14:paraId="221EBDFA" w14:textId="77777777" w:rsidR="00386AC3" w:rsidRPr="0026293B" w:rsidRDefault="00386AC3" w:rsidP="00386AC3">
      <w:pPr>
        <w:pStyle w:val="APA7MAEDICION"/>
      </w:pPr>
      <w:r w:rsidRPr="0026293B">
        <w:t xml:space="preserve">La exposición de credenciales o tokens es uno de los principales vectores de ataque en entornos </w:t>
      </w:r>
      <w:proofErr w:type="spellStart"/>
      <w:r w:rsidRPr="0026293B">
        <w:t>cloud</w:t>
      </w:r>
      <w:proofErr w:type="spellEnd"/>
      <w:r w:rsidRPr="0026293B">
        <w:t>.</w:t>
      </w:r>
    </w:p>
    <w:p w14:paraId="106AD493" w14:textId="77777777" w:rsidR="00386AC3" w:rsidRPr="0026293B" w:rsidRDefault="00386AC3" w:rsidP="00386AC3">
      <w:pPr>
        <w:pStyle w:val="APA7MAEDICION"/>
      </w:pPr>
      <w:r w:rsidRPr="0026293B">
        <w:lastRenderedPageBreak/>
        <w:t xml:space="preserve">Todas las claves API, contraseñas y certificados deben almacenarse en servicios de gestión de secretos (por ejemplo, AWS </w:t>
      </w:r>
      <w:proofErr w:type="spellStart"/>
      <w:r w:rsidRPr="0026293B">
        <w:t>Secrets</w:t>
      </w:r>
      <w:proofErr w:type="spellEnd"/>
      <w:r w:rsidRPr="0026293B">
        <w:t xml:space="preserve"> Manager, Azure Key Vault o </w:t>
      </w:r>
      <w:proofErr w:type="spellStart"/>
      <w:r w:rsidRPr="0026293B">
        <w:t>HashiCorp</w:t>
      </w:r>
      <w:proofErr w:type="spellEnd"/>
      <w:r w:rsidRPr="0026293B">
        <w:t xml:space="preserve"> Vault).</w:t>
      </w:r>
    </w:p>
    <w:p w14:paraId="6D69BA15" w14:textId="77777777" w:rsidR="00386AC3" w:rsidRPr="0026293B" w:rsidRDefault="00386AC3" w:rsidP="00386AC3">
      <w:pPr>
        <w:pStyle w:val="APA7MAEDICION"/>
      </w:pPr>
      <w:r w:rsidRPr="0026293B">
        <w:t>Se prohíbe expresamente el almacenamiento de credenciales en repositorios de código o archivos de configuración.</w:t>
      </w:r>
    </w:p>
    <w:p w14:paraId="0C1497B1" w14:textId="77777777" w:rsidR="00386AC3" w:rsidRPr="0026293B" w:rsidRDefault="00386AC3" w:rsidP="00386AC3">
      <w:pPr>
        <w:pStyle w:val="APA7MAEDICION"/>
      </w:pPr>
      <w:r w:rsidRPr="0026293B">
        <w:t>Se habilitará rotación automática de secretos y controles de acceso basados en roles (RBAC).</w:t>
      </w:r>
    </w:p>
    <w:p w14:paraId="0D0C0FAF" w14:textId="77777777" w:rsidR="00386AC3" w:rsidRPr="0026293B" w:rsidRDefault="00386AC3" w:rsidP="00386AC3">
      <w:pPr>
        <w:pStyle w:val="APA7MAEDICION"/>
      </w:pPr>
      <w:r w:rsidRPr="0026293B">
        <w:t>Los logs de acceso a secretos deberán auditarse y conservarse por al menos 180 días, en cumplimiento con los lineamientos del Anexo A.12.4 de ISO 27001.</w:t>
      </w:r>
    </w:p>
    <w:p w14:paraId="22C270C3" w14:textId="77777777" w:rsidR="00386AC3" w:rsidRPr="0026293B" w:rsidRDefault="00386AC3" w:rsidP="00386AC3">
      <w:pPr>
        <w:pStyle w:val="APA7MAEDICION"/>
      </w:pPr>
      <w:r w:rsidRPr="0026293B">
        <w:t xml:space="preserve">6. Monitoreo, </w:t>
      </w:r>
      <w:proofErr w:type="spellStart"/>
      <w:r w:rsidRPr="0026293B">
        <w:t>Logging</w:t>
      </w:r>
      <w:proofErr w:type="spellEnd"/>
      <w:r w:rsidRPr="0026293B">
        <w:t xml:space="preserve"> y Respuesta a Incidentes</w:t>
      </w:r>
    </w:p>
    <w:p w14:paraId="186CA78F" w14:textId="77777777" w:rsidR="00386AC3" w:rsidRPr="0026293B" w:rsidRDefault="00386AC3" w:rsidP="00386AC3">
      <w:pPr>
        <w:pStyle w:val="APA7MAEDICION"/>
      </w:pPr>
      <w:r w:rsidRPr="0026293B">
        <w:t>El monitoreo continuo es clave para la detección temprana de amenazas y el cumplimiento normativo:</w:t>
      </w:r>
    </w:p>
    <w:p w14:paraId="1B64CDB4" w14:textId="77777777" w:rsidR="00386AC3" w:rsidRPr="0026293B" w:rsidRDefault="00386AC3" w:rsidP="00386AC3">
      <w:pPr>
        <w:pStyle w:val="APA7MAEDICION"/>
      </w:pPr>
      <w:r w:rsidRPr="0026293B">
        <w:t xml:space="preserve">Se habilitarán registros detallados (logs de auditoría, acceso, errores y métricas de rendimiento) en todas las </w:t>
      </w:r>
      <w:proofErr w:type="spellStart"/>
      <w:r w:rsidRPr="0026293B">
        <w:t>APIs</w:t>
      </w:r>
      <w:proofErr w:type="spellEnd"/>
      <w:r w:rsidRPr="0026293B">
        <w:t xml:space="preserve"> y servicios </w:t>
      </w:r>
      <w:proofErr w:type="spellStart"/>
      <w:r w:rsidRPr="0026293B">
        <w:t>cloud</w:t>
      </w:r>
      <w:proofErr w:type="spellEnd"/>
      <w:r w:rsidRPr="0026293B">
        <w:t>.</w:t>
      </w:r>
    </w:p>
    <w:p w14:paraId="05342113" w14:textId="77777777" w:rsidR="00386AC3" w:rsidRPr="0026293B" w:rsidRDefault="00386AC3" w:rsidP="00386AC3">
      <w:pPr>
        <w:pStyle w:val="APA7MAEDICION"/>
      </w:pPr>
      <w:r w:rsidRPr="0026293B">
        <w:t>Los registros se centralizarán en un sistema SIEM institucional (</w:t>
      </w:r>
      <w:proofErr w:type="spellStart"/>
      <w:r w:rsidRPr="0026293B">
        <w:t>Elastic</w:t>
      </w:r>
      <w:proofErr w:type="spellEnd"/>
      <w:r w:rsidRPr="0026293B">
        <w:t xml:space="preserve"> Stack + </w:t>
      </w:r>
      <w:proofErr w:type="spellStart"/>
      <w:r w:rsidRPr="0026293B">
        <w:t>Wazuh</w:t>
      </w:r>
      <w:proofErr w:type="spellEnd"/>
      <w:r w:rsidRPr="0026293B">
        <w:t>) que permita detección de anomalías, correlación de eventos y generación de alertas tempranas.</w:t>
      </w:r>
    </w:p>
    <w:p w14:paraId="3BE58F99" w14:textId="77777777" w:rsidR="00386AC3" w:rsidRPr="0026293B" w:rsidRDefault="00386AC3" w:rsidP="00386AC3">
      <w:pPr>
        <w:pStyle w:val="APA7MAEDICION"/>
      </w:pPr>
      <w:r w:rsidRPr="0026293B">
        <w:t>Se establecerán umbrales de alerta para detectar accesos no autorizados, consumo anómalo de recursos y patrones de ataque.</w:t>
      </w:r>
    </w:p>
    <w:p w14:paraId="70C2B52C" w14:textId="77777777" w:rsidR="00386AC3" w:rsidRPr="0026293B" w:rsidRDefault="00386AC3" w:rsidP="00386AC3">
      <w:pPr>
        <w:pStyle w:val="APA7MAEDICION"/>
      </w:pPr>
      <w:r w:rsidRPr="0026293B">
        <w:lastRenderedPageBreak/>
        <w:t>Todos los eventos críticos deberán activar los procedimientos del Plan de Respuesta a Incidentes (PRI) definidos por la Secretaría de las TIC y alineados con el NIST SP 800-61 r2.</w:t>
      </w:r>
    </w:p>
    <w:p w14:paraId="78AD5BF5" w14:textId="77777777" w:rsidR="00386AC3" w:rsidRPr="0026293B" w:rsidRDefault="00386AC3" w:rsidP="00386AC3">
      <w:pPr>
        <w:pStyle w:val="APA7MAEDICION"/>
      </w:pPr>
      <w:r w:rsidRPr="0026293B">
        <w:t>7. Integración con la Política Institucional de Seguridad</w:t>
      </w:r>
    </w:p>
    <w:p w14:paraId="2DADB353" w14:textId="77777777" w:rsidR="00386AC3" w:rsidRPr="0026293B" w:rsidRDefault="00386AC3" w:rsidP="00386AC3">
      <w:pPr>
        <w:pStyle w:val="APA7MAEDICION"/>
      </w:pPr>
      <w:r w:rsidRPr="0026293B">
        <w:t>Estas políticas de configuración segura se integran con la Política Institucional de Seguridad de la Información de la Alcaldía de Ibagué, fortaleciendo el cumplimiento de los dominios:</w:t>
      </w:r>
    </w:p>
    <w:p w14:paraId="7BC55196" w14:textId="77777777" w:rsidR="00386AC3" w:rsidRPr="0026293B" w:rsidRDefault="00386AC3" w:rsidP="00386AC3">
      <w:pPr>
        <w:pStyle w:val="APA7MAEDICION"/>
      </w:pPr>
      <w:r w:rsidRPr="0026293B">
        <w:t>Control de acceso (A.9)</w:t>
      </w:r>
    </w:p>
    <w:p w14:paraId="5BD7F0E9" w14:textId="77777777" w:rsidR="00386AC3" w:rsidRPr="0026293B" w:rsidRDefault="00386AC3" w:rsidP="00386AC3">
      <w:pPr>
        <w:pStyle w:val="APA7MAEDICION"/>
      </w:pPr>
      <w:r w:rsidRPr="0026293B">
        <w:t>Seguridad en las comunicaciones (A.13)</w:t>
      </w:r>
    </w:p>
    <w:p w14:paraId="0641F995" w14:textId="77777777" w:rsidR="00386AC3" w:rsidRPr="0026293B" w:rsidRDefault="00386AC3" w:rsidP="00386AC3">
      <w:pPr>
        <w:pStyle w:val="APA7MAEDICION"/>
      </w:pPr>
      <w:r w:rsidRPr="0026293B">
        <w:t>Protección de los sistemas y servicios de aplicación (A.14)</w:t>
      </w:r>
    </w:p>
    <w:p w14:paraId="2C1081ED" w14:textId="77777777" w:rsidR="00386AC3" w:rsidRPr="0026293B" w:rsidRDefault="00386AC3" w:rsidP="00386AC3">
      <w:pPr>
        <w:pStyle w:val="APA7MAEDICION"/>
      </w:pPr>
      <w:r w:rsidRPr="0026293B">
        <w:t>Gestión de vulnerabilidades (A.12.6)</w:t>
      </w:r>
    </w:p>
    <w:p w14:paraId="384A0477" w14:textId="10552ECD" w:rsidR="0034275D" w:rsidRPr="0026293B" w:rsidRDefault="00386AC3" w:rsidP="00386AC3">
      <w:r w:rsidRPr="0026293B">
        <w:t xml:space="preserve">Su aplicación sistemática permite establecer una postura de seguridad proactiva, reducir la superficie de ataque de las </w:t>
      </w:r>
      <w:proofErr w:type="spellStart"/>
      <w:r w:rsidRPr="0026293B">
        <w:t>APIs</w:t>
      </w:r>
      <w:proofErr w:type="spellEnd"/>
      <w:r w:rsidRPr="0026293B">
        <w:t xml:space="preserve"> y garantizar la continuidad de los servicios digitales municipales frente a amenazas emergentes.</w:t>
      </w:r>
    </w:p>
    <w:sectPr w:rsidR="0034275D" w:rsidRPr="002629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228BD"/>
    <w:multiLevelType w:val="hybridMultilevel"/>
    <w:tmpl w:val="0AA0F27C"/>
    <w:lvl w:ilvl="0" w:tplc="15F48862">
      <w:start w:val="1"/>
      <w:numFmt w:val="bullet"/>
      <w:lvlText w:val="•"/>
      <w:lvlJc w:val="left"/>
      <w:pPr>
        <w:ind w:left="720" w:hanging="360"/>
      </w:pPr>
    </w:lvl>
    <w:lvl w:ilvl="1" w:tplc="8CAC378C">
      <w:start w:val="1"/>
      <w:numFmt w:val="bullet"/>
      <w:lvlText w:val="◦"/>
      <w:lvlJc w:val="left"/>
      <w:pPr>
        <w:ind w:left="1440" w:hanging="360"/>
      </w:pPr>
    </w:lvl>
    <w:lvl w:ilvl="2" w:tplc="6B96C5F0">
      <w:start w:val="1"/>
      <w:numFmt w:val="bullet"/>
      <w:lvlText w:val="•"/>
      <w:lvlJc w:val="left"/>
      <w:pPr>
        <w:ind w:left="2160" w:hanging="360"/>
      </w:pPr>
    </w:lvl>
    <w:lvl w:ilvl="3" w:tplc="3216E470">
      <w:start w:val="1"/>
      <w:numFmt w:val="bullet"/>
      <w:lvlText w:val="◦"/>
      <w:lvlJc w:val="left"/>
      <w:pPr>
        <w:ind w:left="2880" w:hanging="360"/>
      </w:pPr>
    </w:lvl>
    <w:lvl w:ilvl="4" w:tplc="20DE3F70">
      <w:start w:val="1"/>
      <w:numFmt w:val="bullet"/>
      <w:lvlText w:val="•"/>
      <w:lvlJc w:val="left"/>
      <w:pPr>
        <w:ind w:left="3600" w:hanging="360"/>
      </w:pPr>
    </w:lvl>
    <w:lvl w:ilvl="5" w:tplc="FA042B2A">
      <w:start w:val="1"/>
      <w:numFmt w:val="bullet"/>
      <w:lvlText w:val="◦"/>
      <w:lvlJc w:val="left"/>
      <w:pPr>
        <w:ind w:left="4320" w:hanging="360"/>
      </w:pPr>
    </w:lvl>
    <w:lvl w:ilvl="6" w:tplc="6016C1D6">
      <w:start w:val="1"/>
      <w:numFmt w:val="bullet"/>
      <w:lvlText w:val="•"/>
      <w:lvlJc w:val="left"/>
      <w:pPr>
        <w:ind w:left="5040" w:hanging="360"/>
      </w:pPr>
    </w:lvl>
    <w:lvl w:ilvl="7" w:tplc="9F8C47F0">
      <w:numFmt w:val="decimal"/>
      <w:lvlText w:val=""/>
      <w:lvlJc w:val="left"/>
    </w:lvl>
    <w:lvl w:ilvl="8" w:tplc="25EE76F4">
      <w:numFmt w:val="decimal"/>
      <w:lvlText w:val=""/>
      <w:lvlJc w:val="left"/>
    </w:lvl>
  </w:abstractNum>
  <w:num w:numId="1" w16cid:durableId="8191531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C2"/>
    <w:rsid w:val="00025B03"/>
    <w:rsid w:val="0026293B"/>
    <w:rsid w:val="0034275D"/>
    <w:rsid w:val="00386AC3"/>
    <w:rsid w:val="006B6212"/>
    <w:rsid w:val="009103C2"/>
    <w:rsid w:val="00924151"/>
    <w:rsid w:val="00F3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0B3A7"/>
  <w15:chartTrackingRefBased/>
  <w15:docId w15:val="{E187DD96-B0D8-4172-BAA7-2840B7170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AC3"/>
    <w:pPr>
      <w:spacing w:line="480" w:lineRule="auto"/>
      <w:ind w:firstLine="709"/>
    </w:pPr>
    <w:rPr>
      <w:rFonts w:ascii="Times New Roman" w:hAnsi="Times New Roman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103C2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03C2"/>
    <w:pPr>
      <w:keepNext/>
      <w:keepLines/>
      <w:spacing w:before="160" w:after="80" w:line="278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aliases w:val="Título 3 APA 7MA EDICION"/>
    <w:basedOn w:val="Normal"/>
    <w:next w:val="Normal"/>
    <w:link w:val="Ttulo3Car"/>
    <w:uiPriority w:val="9"/>
    <w:unhideWhenUsed/>
    <w:qFormat/>
    <w:rsid w:val="009103C2"/>
    <w:pPr>
      <w:keepNext/>
      <w:keepLines/>
      <w:spacing w:before="160" w:after="80" w:line="278" w:lineRule="auto"/>
      <w:ind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03C2"/>
    <w:pPr>
      <w:keepNext/>
      <w:keepLines/>
      <w:spacing w:before="80" w:after="40" w:line="278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03C2"/>
    <w:pPr>
      <w:keepNext/>
      <w:keepLines/>
      <w:spacing w:before="80" w:after="40" w:line="278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03C2"/>
    <w:pPr>
      <w:keepNext/>
      <w:keepLines/>
      <w:spacing w:before="40" w:after="0" w:line="278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03C2"/>
    <w:pPr>
      <w:keepNext/>
      <w:keepLines/>
      <w:spacing w:before="40" w:after="0" w:line="278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03C2"/>
    <w:pPr>
      <w:keepNext/>
      <w:keepLines/>
      <w:spacing w:after="0" w:line="278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03C2"/>
    <w:pPr>
      <w:keepNext/>
      <w:keepLines/>
      <w:spacing w:after="0" w:line="278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0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0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aliases w:val="Título 3 APA 7MA EDICION Car"/>
    <w:basedOn w:val="Fuentedeprrafopredeter"/>
    <w:link w:val="Ttulo3"/>
    <w:uiPriority w:val="9"/>
    <w:rsid w:val="00910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03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03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03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03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03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03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03C2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10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03C2"/>
    <w:pPr>
      <w:numPr>
        <w:ilvl w:val="1"/>
      </w:numPr>
      <w:spacing w:line="278" w:lineRule="auto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10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03C2"/>
    <w:pPr>
      <w:spacing w:before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103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03C2"/>
    <w:pPr>
      <w:spacing w:line="278" w:lineRule="auto"/>
      <w:ind w:left="720" w:firstLine="0"/>
      <w:contextualSpacing/>
    </w:pPr>
    <w:rPr>
      <w:rFonts w:asciiTheme="minorHAnsi" w:hAnsiTheme="minorHAnsi"/>
      <w:kern w:val="2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103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0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03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03C2"/>
    <w:rPr>
      <w:b/>
      <w:bCs/>
      <w:smallCaps/>
      <w:color w:val="0F4761" w:themeColor="accent1" w:themeShade="BF"/>
      <w:spacing w:val="5"/>
    </w:rPr>
  </w:style>
  <w:style w:type="paragraph" w:customStyle="1" w:styleId="MdParagraph">
    <w:name w:val="MdParagraph"/>
    <w:qFormat/>
    <w:rsid w:val="009103C2"/>
    <w:pPr>
      <w:spacing w:before="120" w:after="120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customStyle="1" w:styleId="MdListItem">
    <w:name w:val="MdListItem"/>
    <w:qFormat/>
    <w:rsid w:val="009103C2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MdStrong">
    <w:name w:val="MdStrong"/>
    <w:uiPriority w:val="99"/>
    <w:unhideWhenUsed/>
    <w:qFormat/>
    <w:rsid w:val="009103C2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9103C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103C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103C2"/>
    <w:rPr>
      <w:rFonts w:ascii="Times New Roman" w:hAnsi="Times New Roman"/>
      <w:kern w:val="0"/>
      <w:sz w:val="20"/>
      <w:szCs w:val="20"/>
      <w14:ligatures w14:val="none"/>
    </w:rPr>
  </w:style>
  <w:style w:type="paragraph" w:customStyle="1" w:styleId="APA7MAEDICION">
    <w:name w:val="APA7MA EDICION"/>
    <w:basedOn w:val="Normal"/>
    <w:qFormat/>
    <w:rsid w:val="00386AC3"/>
    <w:pPr>
      <w:ind w:firstLine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826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FREDDY LUGO LUNA</dc:creator>
  <cp:keywords/>
  <dc:description/>
  <cp:lastModifiedBy>John Lugo</cp:lastModifiedBy>
  <cp:revision>3</cp:revision>
  <dcterms:created xsi:type="dcterms:W3CDTF">2025-10-20T04:33:00Z</dcterms:created>
  <dcterms:modified xsi:type="dcterms:W3CDTF">2026-05-25T16:01:00Z</dcterms:modified>
</cp:coreProperties>
</file>