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rFonts w:ascii="Calibri" w:hAnsi="Calibri"/>
          <w:b/>
          <w:color w:val="2E74B5"/>
          <w:sz w:val="20"/>
        </w:rPr>
        <w:t>SPÉCIFICATION DE RÉFÉRENCE</w:t>
      </w:r>
    </w:p>
    <w:p>
      <w:pPr>
        <w:pStyle w:val="Title"/>
        <w:jc w:val="center"/>
      </w:pPr>
      <w:r>
        <w:t>Zandu Sales Manager</w:t>
      </w:r>
    </w:p>
    <w:p>
      <w:pPr>
        <w:pStyle w:val="Subtitle"/>
        <w:jc w:val="center"/>
      </w:pPr>
      <w:r>
        <w:t>Spécification d’architecture DDD v1.1</w:t>
      </w:r>
    </w:p>
    <w:p>
      <w:pPr>
        <w:spacing w:after="400"/>
      </w:pP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shd w:fill="F2F4F7"/>
          </w:tcPr>
          <w:p>
            <w:r>
              <w:rPr>
                <w:rFonts w:ascii="Calibri" w:hAnsi="Calibri"/>
                <w:b/>
                <w:color w:val="1F4D78"/>
              </w:rPr>
              <w:t>Version</w:t>
            </w:r>
          </w:p>
        </w:tc>
        <w:tc>
          <w:tcPr>
            <w:tcW w:type="dxa" w:w="6660"/>
            <w:tcMar>
              <w:top w:w="80" w:type="dxa"/>
              <w:start w:w="120" w:type="dxa"/>
              <w:bottom w:w="80" w:type="dxa"/>
              <w:end w:w="120" w:type="dxa"/>
            </w:tcMar>
          </w:tcPr>
          <w:p>
            <w:r>
              <w:rPr>
                <w:rFonts w:ascii="Calibri" w:hAnsi="Calibri"/>
              </w:rPr>
              <w:t>1.0</w:t>
            </w:r>
          </w:p>
        </w:tc>
      </w:tr>
      <w:tr>
        <w:tc>
          <w:tcPr>
            <w:tcW w:type="dxa" w:w="2700"/>
            <w:tcMar>
              <w:top w:w="80" w:type="dxa"/>
              <w:start w:w="120" w:type="dxa"/>
              <w:bottom w:w="80" w:type="dxa"/>
              <w:end w:w="120" w:type="dxa"/>
            </w:tcMar>
            <w:shd w:fill="F2F4F7"/>
          </w:tcPr>
          <w:p>
            <w:r>
              <w:rPr>
                <w:rFonts w:ascii="Calibri" w:hAnsi="Calibri"/>
                <w:b/>
                <w:color w:val="1F4D78"/>
              </w:rPr>
              <w:t>Statut</w:t>
            </w:r>
          </w:p>
        </w:tc>
        <w:tc>
          <w:tcPr>
            <w:tcW w:type="dxa" w:w="6660"/>
            <w:tcMar>
              <w:top w:w="80" w:type="dxa"/>
              <w:start w:w="120" w:type="dxa"/>
              <w:bottom w:w="80" w:type="dxa"/>
              <w:end w:w="120" w:type="dxa"/>
            </w:tcMar>
          </w:tcPr>
          <w:p>
            <w:r>
              <w:rPr>
                <w:rFonts w:ascii="Calibri" w:hAnsi="Calibri"/>
              </w:rPr>
              <w:t>Baseline consolidée prête pour préparation de l’implémentation</w:t>
            </w:r>
          </w:p>
        </w:tc>
      </w:tr>
      <w:tr>
        <w:tc>
          <w:tcPr>
            <w:tcW w:type="dxa" w:w="2700"/>
            <w:tcMar>
              <w:top w:w="80" w:type="dxa"/>
              <w:start w:w="120" w:type="dxa"/>
              <w:bottom w:w="80" w:type="dxa"/>
              <w:end w:w="120" w:type="dxa"/>
            </w:tcMar>
            <w:shd w:fill="F2F4F7"/>
          </w:tcPr>
          <w:p>
            <w:r>
              <w:rPr>
                <w:rFonts w:ascii="Calibri" w:hAnsi="Calibri"/>
                <w:b/>
                <w:color w:val="1F4D78"/>
              </w:rPr>
              <w:t>Langue</w:t>
            </w:r>
          </w:p>
        </w:tc>
        <w:tc>
          <w:tcPr>
            <w:tcW w:type="dxa" w:w="6660"/>
            <w:tcMar>
              <w:top w:w="80" w:type="dxa"/>
              <w:start w:w="120" w:type="dxa"/>
              <w:bottom w:w="80" w:type="dxa"/>
              <w:end w:w="120" w:type="dxa"/>
            </w:tcMar>
          </w:tcPr>
          <w:p>
            <w:r>
              <w:rPr>
                <w:rFonts w:ascii="Calibri" w:hAnsi="Calibri"/>
              </w:rPr>
              <w:t>Français — identifiants de code en anglais</w:t>
            </w:r>
          </w:p>
        </w:tc>
      </w:tr>
      <w:tr>
        <w:tc>
          <w:tcPr>
            <w:tcW w:type="dxa" w:w="2700"/>
            <w:tcMar>
              <w:top w:w="80" w:type="dxa"/>
              <w:start w:w="120" w:type="dxa"/>
              <w:bottom w:w="80" w:type="dxa"/>
              <w:end w:w="120" w:type="dxa"/>
            </w:tcMar>
            <w:shd w:fill="F2F4F7"/>
          </w:tcPr>
          <w:p>
            <w:r>
              <w:rPr>
                <w:rFonts w:ascii="Calibri" w:hAnsi="Calibri"/>
                <w:b/>
                <w:color w:val="1F4D78"/>
              </w:rPr>
              <w:t>Périmètre</w:t>
            </w:r>
          </w:p>
        </w:tc>
        <w:tc>
          <w:tcPr>
            <w:tcW w:type="dxa" w:w="6660"/>
            <w:tcMar>
              <w:top w:w="80" w:type="dxa"/>
              <w:start w:w="120" w:type="dxa"/>
              <w:bottom w:w="80" w:type="dxa"/>
              <w:end w:w="120" w:type="dxa"/>
            </w:tcMar>
          </w:tcPr>
          <w:p>
            <w:r>
              <w:rPr>
                <w:rFonts w:ascii="Calibri" w:hAnsi="Calibri"/>
              </w:rPr>
              <w:t>Architecture DDD complète, conventions, tests, exploitation et roadmap</w:t>
            </w:r>
          </w:p>
        </w:tc>
      </w:tr>
    </w:tbl>
    <w:p>
      <w:r>
        <w:rPr>
          <w:rFonts w:ascii="Calibri" w:hAnsi="Calibri"/>
          <w:i/>
        </w:rPr>
        <w:t>Ce document consolide les décisions stabilisées et distingue explicitement ce qui reste proposé ou ouvert. Il sert de base versionnée pour l’implémentation et les prochaines étapes de conception.</w:t>
      </w:r>
    </w:p>
    <w:p>
      <w:r>
        <w:br w:type="page"/>
      </w:r>
    </w:p>
    <w:p>
      <w:pPr>
        <w:pStyle w:val="Heading1"/>
      </w:pPr>
      <w:r>
        <w:t>1. Objectifs et statut du document</w:t>
      </w:r>
    </w:p>
    <w:p>
      <w:r>
        <w:rPr>
          <w:rFonts w:ascii="Calibri" w:hAnsi="Calibri"/>
          <w:i w:val="0"/>
        </w:rPr>
        <w:t>Cette spécification formalise la baseline d’architecture Domain-Driven Design de Zandu Sales Manager. Elle transforme les décisions issues de la conception en un référentiel explicite, lisible par les équipes produit, métier et technique.</w:t>
      </w:r>
    </w:p>
    <w:p>
      <w:pPr>
        <w:pStyle w:val="ListBullet"/>
        <w:spacing w:after="80"/>
      </w:pPr>
      <w:r>
        <w:rPr>
          <w:rFonts w:ascii="Calibri" w:hAnsi="Calibri"/>
        </w:rPr>
        <w:t>Formaliser les décisions suffisamment stables.</w:t>
      </w:r>
    </w:p>
    <w:p>
      <w:pPr>
        <w:pStyle w:val="ListBullet"/>
        <w:spacing w:after="80"/>
      </w:pPr>
      <w:r>
        <w:rPr>
          <w:rFonts w:ascii="Calibri" w:hAnsi="Calibri"/>
        </w:rPr>
        <w:t>Définir les responsabilités et les frontières des bounded contexts.</w:t>
      </w:r>
    </w:p>
    <w:p>
      <w:pPr>
        <w:pStyle w:val="ListBullet"/>
        <w:spacing w:after="80"/>
      </w:pPr>
      <w:r>
        <w:rPr>
          <w:rFonts w:ascii="Calibri" w:hAnsi="Calibri"/>
        </w:rPr>
        <w:t>Documenter les aggregates, invariants, commands, domain events et règles d’intégration.</w:t>
      </w:r>
    </w:p>
    <w:p>
      <w:pPr>
        <w:pStyle w:val="ListBullet"/>
        <w:spacing w:after="80"/>
      </w:pPr>
      <w:r>
        <w:rPr>
          <w:rFonts w:ascii="Calibri" w:hAnsi="Calibri"/>
        </w:rPr>
        <w:t>Éviter que les décisions architecturales restent implicites dans les conversations ou le code.</w:t>
      </w:r>
    </w:p>
    <w:p>
      <w:pPr>
        <w:pStyle w:val="ListBullet"/>
        <w:spacing w:after="80"/>
      </w:pPr>
      <w:r>
        <w:rPr>
          <w:rFonts w:ascii="Calibri" w:hAnsi="Calibri"/>
        </w:rPr>
        <w:t>Fournir une base contrôlée pour l’implémentation et les révisions futures.</w:t>
      </w:r>
    </w:p>
    <w:p>
      <w:pPr>
        <w:pStyle w:val="Heading2"/>
      </w:pPr>
      <w:r>
        <w:t>1.1 Convention de statut</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trPr>
        <w:tc>
          <w:tcPr>
            <w:tcW w:type="dxa" w:w="1900"/>
            <w:tcMar>
              <w:top w:w="80" w:type="dxa"/>
              <w:start w:w="120" w:type="dxa"/>
              <w:bottom w:w="80" w:type="dxa"/>
              <w:end w:w="120" w:type="dxa"/>
            </w:tcMar>
            <w:shd w:fill="F2F4F7"/>
          </w:tcPr>
          <w:p>
            <w:r>
              <w:rPr>
                <w:rFonts w:ascii="Calibri" w:hAnsi="Calibri"/>
                <w:b/>
                <w:color w:val="1F4D78"/>
                <w:sz w:val="19"/>
              </w:rPr>
              <w:t>Statut</w:t>
            </w:r>
          </w:p>
        </w:tc>
        <w:tc>
          <w:tcPr>
            <w:tcW w:type="dxa" w:w="7460"/>
            <w:tcMar>
              <w:top w:w="80" w:type="dxa"/>
              <w:start w:w="120" w:type="dxa"/>
              <w:bottom w:w="80" w:type="dxa"/>
              <w:end w:w="120" w:type="dxa"/>
            </w:tcMar>
            <w:shd w:fill="F2F4F7"/>
          </w:tcPr>
          <w:p>
            <w:r>
              <w:rPr>
                <w:rFonts w:ascii="Calibri" w:hAnsi="Calibri"/>
                <w:b/>
                <w:color w:val="1F4D78"/>
                <w:sz w:val="19"/>
              </w:rPr>
              <w:t>Signification</w:t>
            </w:r>
          </w:p>
        </w:tc>
      </w:tr>
      <w:tr>
        <w:tc>
          <w:tcPr>
            <w:tcW w:type="dxa" w:w="1900"/>
            <w:tcMar>
              <w:top w:w="80" w:type="dxa"/>
              <w:start w:w="120" w:type="dxa"/>
              <w:bottom w:w="80" w:type="dxa"/>
              <w:end w:w="120" w:type="dxa"/>
            </w:tcMar>
          </w:tcPr>
          <w:p>
            <w:r>
              <w:rPr>
                <w:rFonts w:ascii="Calibri" w:hAnsi="Calibri"/>
                <w:sz w:val="18"/>
              </w:rPr>
              <w:t>DÉCIDÉ</w:t>
            </w:r>
          </w:p>
        </w:tc>
        <w:tc>
          <w:tcPr>
            <w:tcW w:type="dxa" w:w="7460"/>
            <w:tcMar>
              <w:top w:w="80" w:type="dxa"/>
              <w:start w:w="120" w:type="dxa"/>
              <w:bottom w:w="80" w:type="dxa"/>
              <w:end w:w="120" w:type="dxa"/>
            </w:tcMar>
          </w:tcPr>
          <w:p>
            <w:r>
              <w:rPr>
                <w:rFonts w:ascii="Calibri" w:hAnsi="Calibri"/>
                <w:sz w:val="18"/>
              </w:rPr>
              <w:t>Fait partie de la baseline actuelle. Toute modification ultérieure doit être une décision architecturale explicite.</w:t>
            </w:r>
          </w:p>
        </w:tc>
      </w:tr>
      <w:tr>
        <w:tc>
          <w:tcPr>
            <w:tcW w:type="dxa" w:w="1900"/>
            <w:tcMar>
              <w:top w:w="80" w:type="dxa"/>
              <w:start w:w="120" w:type="dxa"/>
              <w:bottom w:w="80" w:type="dxa"/>
              <w:end w:w="120" w:type="dxa"/>
            </w:tcMar>
          </w:tcPr>
          <w:p>
            <w:r>
              <w:rPr>
                <w:rFonts w:ascii="Calibri" w:hAnsi="Calibri"/>
                <w:sz w:val="18"/>
              </w:rPr>
              <w:t>PROPOSÉ</w:t>
            </w:r>
          </w:p>
        </w:tc>
        <w:tc>
          <w:tcPr>
            <w:tcW w:type="dxa" w:w="7460"/>
            <w:tcMar>
              <w:top w:w="80" w:type="dxa"/>
              <w:start w:w="120" w:type="dxa"/>
              <w:bottom w:w="80" w:type="dxa"/>
              <w:end w:w="120" w:type="dxa"/>
            </w:tcMar>
          </w:tcPr>
          <w:p>
            <w:r>
              <w:rPr>
                <w:rFonts w:ascii="Calibri" w:hAnsi="Calibri"/>
                <w:sz w:val="18"/>
              </w:rPr>
              <w:t>Direction préférée, encore susceptible d’être affinée.</w:t>
            </w:r>
          </w:p>
        </w:tc>
      </w:tr>
      <w:tr>
        <w:tc>
          <w:tcPr>
            <w:tcW w:type="dxa" w:w="1900"/>
            <w:tcMar>
              <w:top w:w="80" w:type="dxa"/>
              <w:start w:w="120" w:type="dxa"/>
              <w:bottom w:w="80" w:type="dxa"/>
              <w:end w:w="120" w:type="dxa"/>
            </w:tcMar>
          </w:tcPr>
          <w:p>
            <w:r>
              <w:rPr>
                <w:rFonts w:ascii="Calibri" w:hAnsi="Calibri"/>
                <w:sz w:val="18"/>
              </w:rPr>
              <w:t>QUESTION OUVERTE</w:t>
            </w:r>
          </w:p>
        </w:tc>
        <w:tc>
          <w:tcPr>
            <w:tcW w:type="dxa" w:w="7460"/>
            <w:tcMar>
              <w:top w:w="80" w:type="dxa"/>
              <w:start w:w="120" w:type="dxa"/>
              <w:bottom w:w="80" w:type="dxa"/>
              <w:end w:w="120" w:type="dxa"/>
            </w:tcMar>
          </w:tcPr>
          <w:p>
            <w:r>
              <w:rPr>
                <w:rFonts w:ascii="Calibri" w:hAnsi="Calibri"/>
                <w:sz w:val="18"/>
              </w:rPr>
              <w:t>Sujet volontairement non figé, nécessitant une décision future.</w:t>
            </w:r>
          </w:p>
        </w:tc>
      </w:tr>
    </w:tbl>
    <w:p>
      <w:pPr>
        <w:spacing w:after="0"/>
      </w:pPr>
    </w:p>
    <w:p>
      <w:pPr>
        <w:pStyle w:val="Heading2"/>
      </w:pPr>
      <w:r>
        <w:t>1.2 Convention de langue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 documentation narrative est en français. Les noms de classes, entités, value objects, méthodes, fonctions, commands, events, exceptions et autres concepts de code restent en anglais.</w:t>
            </w:r>
          </w:p>
        </w:tc>
      </w:tr>
    </w:tbl>
    <w:p>
      <w:pPr>
        <w:spacing w:after="0"/>
      </w:pPr>
    </w:p>
    <w:p>
      <w:pPr>
        <w:pStyle w:val="CodeBlock"/>
        <w:keepLines/>
        <w:shd w:fill="F7F9FC"/>
      </w:pPr>
      <w:r>
        <w:rPr>
          <w:rFonts w:ascii="Consolas" w:hAnsi="Consolas"/>
          <w:color w:val="243B53"/>
          <w:sz w:val="18"/>
        </w:rPr>
        <w:t>CompleteSale</w:t>
      </w:r>
      <w:r>
        <w:br/>
      </w:r>
      <w:r>
        <w:rPr>
          <w:rFonts w:ascii="Consolas" w:hAnsi="Consolas"/>
          <w:color w:val="243B53"/>
          <w:sz w:val="18"/>
        </w:rPr>
        <w:t>CashSession</w:t>
      </w:r>
      <w:r>
        <w:br/>
      </w:r>
      <w:r>
        <w:rPr>
          <w:rFonts w:ascii="Consolas" w:hAnsi="Consolas"/>
          <w:color w:val="243B53"/>
          <w:sz w:val="18"/>
        </w:rPr>
        <w:t>StockMovement</w:t>
      </w:r>
      <w:r>
        <w:br/>
      </w:r>
      <w:r>
        <w:rPr>
          <w:rFonts w:ascii="Consolas" w:hAnsi="Consolas"/>
          <w:color w:val="243B53"/>
          <w:sz w:val="18"/>
        </w:rPr>
        <w:t>ReceiveStock</w:t>
      </w:r>
      <w:r>
        <w:br/>
      </w:r>
      <w:r>
        <w:rPr>
          <w:rFonts w:ascii="Consolas" w:hAnsi="Consolas"/>
          <w:color w:val="243B53"/>
          <w:sz w:val="18"/>
        </w:rPr>
        <w:t>InsufficientStock</w:t>
      </w:r>
    </w:p>
    <w:p>
      <w:pPr>
        <w:pStyle w:val="Heading1"/>
      </w:pPr>
      <w:r>
        <w:t>2. Principes d’architecture</w:t>
      </w:r>
    </w:p>
    <w:p>
      <w:pPr>
        <w:pStyle w:val="Heading2"/>
      </w:pPr>
      <w:r>
        <w:t>2.1 Modular monolith</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 première architecture de Zandu Sales Manager est un modular monolith : un seul système déployé, structuré en modules métier aux frontières strictes.</w:t>
            </w:r>
          </w:p>
        </w:tc>
      </w:tr>
    </w:tbl>
    <w:p>
      <w:pPr>
        <w:spacing w:after="0"/>
      </w:pPr>
    </w:p>
    <w:p>
      <w:pPr>
        <w:pStyle w:val="CodeBlock"/>
        <w:keepLines/>
        <w:shd w:fill="F7F9FC"/>
      </w:pPr>
      <w:r>
        <w:rPr>
          <w:rFonts w:ascii="Consolas" w:hAnsi="Consolas"/>
          <w:color w:val="243B53"/>
          <w:sz w:val="18"/>
        </w:rPr>
        <w:t>Zandu Sales Manager</w:t>
      </w:r>
      <w:r>
        <w:br/>
      </w:r>
      <w:r>
        <w:rPr>
          <w:rFonts w:ascii="Consolas" w:hAnsi="Consolas"/>
          <w:color w:val="243B53"/>
          <w:sz w:val="18"/>
        </w:rPr>
        <w:t>├── Identity &amp; Access</w:t>
      </w:r>
      <w:r>
        <w:br/>
      </w:r>
      <w:r>
        <w:rPr>
          <w:rFonts w:ascii="Consolas" w:hAnsi="Consolas"/>
          <w:color w:val="243B53"/>
          <w:sz w:val="18"/>
        </w:rPr>
        <w:t>├── Organization</w:t>
      </w:r>
      <w:r>
        <w:br/>
      </w:r>
      <w:r>
        <w:rPr>
          <w:rFonts w:ascii="Consolas" w:hAnsi="Consolas"/>
          <w:color w:val="243B53"/>
          <w:sz w:val="18"/>
        </w:rPr>
        <w:t>├── Catalog</w:t>
      </w:r>
      <w:r>
        <w:br/>
      </w:r>
      <w:r>
        <w:rPr>
          <w:rFonts w:ascii="Consolas" w:hAnsi="Consolas"/>
          <w:color w:val="243B53"/>
          <w:sz w:val="18"/>
        </w:rPr>
        <w:t>├── Sales</w:t>
      </w:r>
      <w:r>
        <w:br/>
      </w:r>
      <w:r>
        <w:rPr>
          <w:rFonts w:ascii="Consolas" w:hAnsi="Consolas"/>
          <w:color w:val="243B53"/>
          <w:sz w:val="18"/>
        </w:rPr>
        <w:t>├── Inventory</w:t>
      </w:r>
      <w:r>
        <w:br/>
      </w:r>
      <w:r>
        <w:rPr>
          <w:rFonts w:ascii="Consolas" w:hAnsi="Consolas"/>
          <w:color w:val="243B53"/>
          <w:sz w:val="18"/>
        </w:rPr>
        <w:t>├── Cash Management</w:t>
      </w:r>
      <w:r>
        <w:br/>
      </w:r>
      <w:r>
        <w:rPr>
          <w:rFonts w:ascii="Consolas" w:hAnsi="Consolas"/>
          <w:color w:val="243B53"/>
          <w:sz w:val="18"/>
        </w:rPr>
        <w:t>├── Purchasing</w:t>
      </w:r>
      <w:r>
        <w:br/>
      </w:r>
      <w:r>
        <w:rPr>
          <w:rFonts w:ascii="Consolas" w:hAnsi="Consolas"/>
          <w:color w:val="243B53"/>
          <w:sz w:val="18"/>
        </w:rPr>
        <w:t>├── Customers</w:t>
      </w:r>
      <w:r>
        <w:br/>
      </w:r>
      <w:r>
        <w:rPr>
          <w:rFonts w:ascii="Consolas" w:hAnsi="Consolas"/>
          <w:color w:val="243B53"/>
          <w:sz w:val="18"/>
        </w:rPr>
        <w:t>└── Reporting</w:t>
      </w:r>
    </w:p>
    <w:p>
      <w:r>
        <w:rPr>
          <w:rFonts w:ascii="Calibri" w:hAnsi="Calibri"/>
          <w:i w:val="0"/>
        </w:rPr>
        <w:t>Chaque module doit être compréhensible indépendamment et exposer des interfaces applicatives contrôlées. Un bounded context ne lit ni n’écrit directement les repositories ou aggregates d’un autre bounded context.</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tcMar>
              <w:top w:w="80" w:type="dxa"/>
              <w:start w:w="120" w:type="dxa"/>
              <w:bottom w:w="80" w:type="dxa"/>
              <w:end w:w="120" w:type="dxa"/>
            </w:tcMar>
            <w:shd w:fill="F2F4F7"/>
          </w:tcPr>
          <w:p>
            <w:r>
              <w:rPr>
                <w:rFonts w:ascii="Calibri" w:hAnsi="Calibri"/>
                <w:b/>
                <w:color w:val="1F4D78"/>
                <w:sz w:val="19"/>
              </w:rPr>
              <w:t>Autorisé</w:t>
            </w:r>
          </w:p>
        </w:tc>
        <w:tc>
          <w:tcPr>
            <w:tcW w:type="dxa" w:w="4680"/>
            <w:tcMar>
              <w:top w:w="80" w:type="dxa"/>
              <w:start w:w="120" w:type="dxa"/>
              <w:bottom w:w="80" w:type="dxa"/>
              <w:end w:w="120" w:type="dxa"/>
            </w:tcMar>
            <w:shd w:fill="F2F4F7"/>
          </w:tcPr>
          <w:p>
            <w:r>
              <w:rPr>
                <w:rFonts w:ascii="Calibri" w:hAnsi="Calibri"/>
                <w:b/>
                <w:color w:val="1F4D78"/>
                <w:sz w:val="19"/>
              </w:rPr>
              <w:t>Interdit</w:t>
            </w:r>
          </w:p>
        </w:tc>
      </w:tr>
      <w:tr>
        <w:tc>
          <w:tcPr>
            <w:tcW w:type="dxa" w:w="4680"/>
            <w:tcMar>
              <w:top w:w="80" w:type="dxa"/>
              <w:start w:w="120" w:type="dxa"/>
              <w:bottom w:w="80" w:type="dxa"/>
              <w:end w:w="120" w:type="dxa"/>
            </w:tcMar>
          </w:tcPr>
          <w:p>
            <w:r>
              <w:rPr>
                <w:rFonts w:ascii="Calibri" w:hAnsi="Calibri"/>
                <w:sz w:val="18"/>
              </w:rPr>
              <w:t>Sales → Inventory Application API → Inventory Domain</w:t>
            </w:r>
          </w:p>
        </w:tc>
        <w:tc>
          <w:tcPr>
            <w:tcW w:type="dxa" w:w="4680"/>
            <w:tcMar>
              <w:top w:w="80" w:type="dxa"/>
              <w:start w:w="120" w:type="dxa"/>
              <w:bottom w:w="80" w:type="dxa"/>
              <w:end w:w="120" w:type="dxa"/>
            </w:tcMar>
          </w:tcPr>
          <w:p>
            <w:r>
              <w:rPr>
                <w:rFonts w:ascii="Calibri" w:hAnsi="Calibri"/>
                <w:sz w:val="18"/>
              </w:rPr>
              <w:t>Sales → StockRepository → Stock</w:t>
            </w:r>
          </w:p>
        </w:tc>
      </w:tr>
      <w:tr>
        <w:tc>
          <w:tcPr>
            <w:tcW w:type="dxa" w:w="4680"/>
            <w:tcMar>
              <w:top w:w="80" w:type="dxa"/>
              <w:start w:w="120" w:type="dxa"/>
              <w:bottom w:w="80" w:type="dxa"/>
              <w:end w:w="120" w:type="dxa"/>
            </w:tcMar>
          </w:tcPr>
          <w:p>
            <w:r>
              <w:rPr>
                <w:rFonts w:ascii="Calibri" w:hAnsi="Calibri"/>
                <w:sz w:val="18"/>
              </w:rPr>
              <w:t>Échange par identifiants, commands ou events</w:t>
            </w:r>
          </w:p>
        </w:tc>
        <w:tc>
          <w:tcPr>
            <w:tcW w:type="dxa" w:w="4680"/>
            <w:tcMar>
              <w:top w:w="80" w:type="dxa"/>
              <w:start w:w="120" w:type="dxa"/>
              <w:bottom w:w="80" w:type="dxa"/>
              <w:end w:w="120" w:type="dxa"/>
            </w:tcMar>
          </w:tcPr>
          <w:p>
            <w:r>
              <w:rPr>
                <w:rFonts w:ascii="Calibri" w:hAnsi="Calibri"/>
                <w:sz w:val="18"/>
              </w:rPr>
              <w:t>Import d’un aggregate externe dans le domain model</w:t>
            </w:r>
          </w:p>
        </w:tc>
      </w:tr>
    </w:tbl>
    <w:p>
      <w:pPr>
        <w:spacing w:after="0"/>
      </w:pPr>
    </w:p>
    <w:p>
      <w:pPr>
        <w:pStyle w:val="Heading2"/>
      </w:pPr>
      <w:r>
        <w:t>2.2 Bounded contexts explicites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Chaque concept métier appartient à un bounded context clairement identifié. Un même identifiant peut circuler entre contextes sans transporter l’objet métier source.</w:t>
            </w:r>
          </w:p>
        </w:tc>
      </w:tr>
    </w:tbl>
    <w:p>
      <w:pPr>
        <w:spacing w:after="0"/>
      </w:pPr>
    </w:p>
    <w:p>
      <w:r>
        <w:rPr>
          <w:rFonts w:ascii="Calibri" w:hAnsi="Calibri"/>
          <w:i w:val="0"/>
        </w:rPr>
        <w:t>Ainsi, `Inventory` peut connaître `OrganizationId`, `StoreId` et `ProductId`, mais ne dépend pas des objets `Organization.Store`, `Catalog.Product` ou `Sales.Sale`.</w:t>
      </w:r>
    </w:p>
    <w:p>
      <w:pPr>
        <w:pStyle w:val="Heading2"/>
      </w:pPr>
      <w:r>
        <w:t>2.3 Multi-tenancy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 frontière de tenant est `OrganizationId`. Toute donnée métier appartenant à un tenant porte cet identifiant ou est scellée dans une portée qui le garantit sans ambiguïté.</w:t>
            </w:r>
          </w:p>
        </w:tc>
      </w:tr>
    </w:tbl>
    <w:p>
      <w:pPr>
        <w:spacing w:after="0"/>
      </w:pPr>
    </w:p>
    <w:p>
      <w:pPr>
        <w:pStyle w:val="ListBullet"/>
        <w:spacing w:after="80"/>
      </w:pPr>
      <w:r>
        <w:rPr>
          <w:rFonts w:ascii="Calibri" w:hAnsi="Calibri"/>
        </w:rPr>
        <w:t>Toute opération cross-tenant est interdite.</w:t>
      </w:r>
    </w:p>
    <w:p>
      <w:pPr>
        <w:pStyle w:val="ListBullet"/>
        <w:spacing w:after="80"/>
      </w:pPr>
      <w:r>
        <w:rPr>
          <w:rFonts w:ascii="Calibri" w:hAnsi="Calibri"/>
        </w:rPr>
        <w:t>Les contrôles applicatifs et les contraintes de base de données renforcent cette isolation.</w:t>
      </w:r>
    </w:p>
    <w:p>
      <w:pPr>
        <w:pStyle w:val="ListBullet"/>
        <w:spacing w:after="80"/>
      </w:pPr>
      <w:r>
        <w:rPr>
          <w:rFonts w:ascii="Calibri" w:hAnsi="Calibri"/>
        </w:rPr>
        <w:t>Un transfert entre deux stores d’organisations différentes est impossible.</w:t>
      </w:r>
    </w:p>
    <w:p>
      <w:pPr>
        <w:pStyle w:val="Heading2"/>
      </w:pPr>
      <w:r>
        <w:t>2.4 Sources de vérité et auditabilité</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L’état courant sert aux opérations; les journaux immuables expliquent les changements. Les corrections créent des mouvements compensatoires au lieu de réécrire l’histoire.</w:t>
            </w:r>
          </w:p>
        </w:tc>
      </w:tr>
    </w:tbl>
    <w:p>
      <w:pPr>
        <w:spacing w:after="0"/>
      </w:pPr>
    </w:p>
    <w:p>
      <w:pPr>
        <w:pStyle w:val="Heading1"/>
      </w:pPr>
      <w:r>
        <w:t>3. Carte des bounded contexts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La décomposition suivante constitue la carte actuelle. Ses frontières pourront être affinées lors des travaux sur Reporting, offline et synchronisation.</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1800"/>
        <w:gridCol w:w="3500"/>
        <w:gridCol w:w="4060"/>
      </w:tblGrid>
      <w:tr>
        <w:trPr>
          <w:tblHeader w:val="true"/>
        </w:trPr>
        <w:tc>
          <w:tcPr>
            <w:tcW w:type="dxa" w:w="1800"/>
            <w:tcMar>
              <w:top w:w="80" w:type="dxa"/>
              <w:start w:w="120" w:type="dxa"/>
              <w:bottom w:w="80" w:type="dxa"/>
              <w:end w:w="120" w:type="dxa"/>
            </w:tcMar>
            <w:shd w:fill="F2F4F7"/>
          </w:tcPr>
          <w:p>
            <w:r>
              <w:rPr>
                <w:rFonts w:ascii="Calibri" w:hAnsi="Calibri"/>
                <w:b/>
                <w:color w:val="1F4D78"/>
                <w:sz w:val="19"/>
              </w:rPr>
              <w:t>Bounded context</w:t>
            </w:r>
          </w:p>
        </w:tc>
        <w:tc>
          <w:tcPr>
            <w:tcW w:type="dxa" w:w="3500"/>
            <w:tcMar>
              <w:top w:w="80" w:type="dxa"/>
              <w:start w:w="120" w:type="dxa"/>
              <w:bottom w:w="80" w:type="dxa"/>
              <w:end w:w="120" w:type="dxa"/>
            </w:tcMar>
            <w:shd w:fill="F2F4F7"/>
          </w:tcPr>
          <w:p>
            <w:r>
              <w:rPr>
                <w:rFonts w:ascii="Calibri" w:hAnsi="Calibri"/>
                <w:b/>
                <w:color w:val="1F4D78"/>
                <w:sz w:val="19"/>
              </w:rPr>
              <w:t>Responsabilité principale</w:t>
            </w:r>
          </w:p>
        </w:tc>
        <w:tc>
          <w:tcPr>
            <w:tcW w:type="dxa" w:w="4060"/>
            <w:tcMar>
              <w:top w:w="80" w:type="dxa"/>
              <w:start w:w="120" w:type="dxa"/>
              <w:bottom w:w="80" w:type="dxa"/>
              <w:end w:w="120" w:type="dxa"/>
            </w:tcMar>
            <w:shd w:fill="F2F4F7"/>
          </w:tcPr>
          <w:p>
            <w:r>
              <w:rPr>
                <w:rFonts w:ascii="Calibri" w:hAnsi="Calibri"/>
                <w:b/>
                <w:color w:val="1F4D78"/>
                <w:sz w:val="19"/>
              </w:rPr>
              <w:t>Dépendances / échanges</w:t>
            </w:r>
          </w:p>
        </w:tc>
      </w:tr>
      <w:tr>
        <w:tc>
          <w:tcPr>
            <w:tcW w:type="dxa" w:w="1800"/>
            <w:tcMar>
              <w:top w:w="80" w:type="dxa"/>
              <w:start w:w="120" w:type="dxa"/>
              <w:bottom w:w="80" w:type="dxa"/>
              <w:end w:w="120" w:type="dxa"/>
            </w:tcMar>
          </w:tcPr>
          <w:p>
            <w:r>
              <w:rPr>
                <w:rFonts w:ascii="Calibri" w:hAnsi="Calibri"/>
                <w:sz w:val="18"/>
              </w:rPr>
              <w:t>Organization</w:t>
            </w:r>
          </w:p>
        </w:tc>
        <w:tc>
          <w:tcPr>
            <w:tcW w:type="dxa" w:w="3500"/>
            <w:tcMar>
              <w:top w:w="80" w:type="dxa"/>
              <w:start w:w="120" w:type="dxa"/>
              <w:bottom w:w="80" w:type="dxa"/>
              <w:end w:w="120" w:type="dxa"/>
            </w:tcMar>
          </w:tcPr>
          <w:p>
            <w:r>
              <w:rPr>
                <w:rFonts w:ascii="Calibri" w:hAnsi="Calibri"/>
                <w:sz w:val="18"/>
              </w:rPr>
              <w:t>Tenant, stores et rattachements organisationnels</w:t>
            </w:r>
          </w:p>
        </w:tc>
        <w:tc>
          <w:tcPr>
            <w:tcW w:type="dxa" w:w="4060"/>
            <w:tcMar>
              <w:top w:w="80" w:type="dxa"/>
              <w:start w:w="120" w:type="dxa"/>
              <w:bottom w:w="80" w:type="dxa"/>
              <w:end w:w="120" w:type="dxa"/>
            </w:tcMar>
          </w:tcPr>
          <w:p>
            <w:r>
              <w:rPr>
                <w:rFonts w:ascii="Calibri" w:hAnsi="Calibri"/>
                <w:sz w:val="18"/>
              </w:rPr>
              <w:t>Fournit les identifiants et portées.</w:t>
            </w:r>
          </w:p>
        </w:tc>
      </w:tr>
      <w:tr>
        <w:tc>
          <w:tcPr>
            <w:tcW w:type="dxa" w:w="1800"/>
            <w:tcMar>
              <w:top w:w="80" w:type="dxa"/>
              <w:start w:w="120" w:type="dxa"/>
              <w:bottom w:w="80" w:type="dxa"/>
              <w:end w:w="120" w:type="dxa"/>
            </w:tcMar>
          </w:tcPr>
          <w:p>
            <w:r>
              <w:rPr>
                <w:rFonts w:ascii="Calibri" w:hAnsi="Calibri"/>
                <w:sz w:val="18"/>
              </w:rPr>
              <w:t>Catalog</w:t>
            </w:r>
          </w:p>
        </w:tc>
        <w:tc>
          <w:tcPr>
            <w:tcW w:type="dxa" w:w="3500"/>
            <w:tcMar>
              <w:top w:w="80" w:type="dxa"/>
              <w:start w:w="120" w:type="dxa"/>
              <w:bottom w:w="80" w:type="dxa"/>
              <w:end w:w="120" w:type="dxa"/>
            </w:tcMar>
          </w:tcPr>
          <w:p>
            <w:r>
              <w:rPr>
                <w:rFonts w:ascii="Calibri" w:hAnsi="Calibri"/>
                <w:sz w:val="18"/>
              </w:rPr>
              <w:t>Description commerciale des produits</w:t>
            </w:r>
          </w:p>
        </w:tc>
        <w:tc>
          <w:tcPr>
            <w:tcW w:type="dxa" w:w="4060"/>
            <w:tcMar>
              <w:top w:w="80" w:type="dxa"/>
              <w:start w:w="120" w:type="dxa"/>
              <w:bottom w:w="80" w:type="dxa"/>
              <w:end w:w="120" w:type="dxa"/>
            </w:tcMar>
          </w:tcPr>
          <w:p>
            <w:r>
              <w:rPr>
                <w:rFonts w:ascii="Calibri" w:hAnsi="Calibri"/>
                <w:sz w:val="18"/>
              </w:rPr>
              <w:t>Expose `ProductId` et les données de catalogue; ne porte pas le stock physique.</w:t>
            </w:r>
          </w:p>
        </w:tc>
      </w:tr>
      <w:tr>
        <w:tc>
          <w:tcPr>
            <w:tcW w:type="dxa" w:w="1800"/>
            <w:tcMar>
              <w:top w:w="80" w:type="dxa"/>
              <w:start w:w="120" w:type="dxa"/>
              <w:bottom w:w="80" w:type="dxa"/>
              <w:end w:w="120" w:type="dxa"/>
            </w:tcMar>
          </w:tcPr>
          <w:p>
            <w:r>
              <w:rPr>
                <w:rFonts w:ascii="Calibri" w:hAnsi="Calibri"/>
                <w:sz w:val="18"/>
              </w:rPr>
              <w:t>Sales</w:t>
            </w:r>
          </w:p>
        </w:tc>
        <w:tc>
          <w:tcPr>
            <w:tcW w:type="dxa" w:w="3500"/>
            <w:tcMar>
              <w:top w:w="80" w:type="dxa"/>
              <w:start w:w="120" w:type="dxa"/>
              <w:bottom w:w="80" w:type="dxa"/>
              <w:end w:w="120" w:type="dxa"/>
            </w:tcMar>
          </w:tcPr>
          <w:p>
            <w:r>
              <w:rPr>
                <w:rFonts w:ascii="Calibri" w:hAnsi="Calibri"/>
                <w:sz w:val="18"/>
              </w:rPr>
              <w:t>Cycle commercial de la vente, retour et remboursement</w:t>
            </w:r>
          </w:p>
        </w:tc>
        <w:tc>
          <w:tcPr>
            <w:tcW w:type="dxa" w:w="4060"/>
            <w:tcMar>
              <w:top w:w="80" w:type="dxa"/>
              <w:start w:w="120" w:type="dxa"/>
              <w:bottom w:w="80" w:type="dxa"/>
              <w:end w:w="120" w:type="dxa"/>
            </w:tcMar>
          </w:tcPr>
          <w:p>
            <w:r>
              <w:rPr>
                <w:rFonts w:ascii="Calibri" w:hAnsi="Calibri"/>
                <w:sz w:val="18"/>
              </w:rPr>
              <w:t>Coordonne `Inventory` et `Cash Management` via interfaces explicites.</w:t>
            </w:r>
          </w:p>
        </w:tc>
      </w:tr>
      <w:tr>
        <w:tc>
          <w:tcPr>
            <w:tcW w:type="dxa" w:w="1800"/>
            <w:tcMar>
              <w:top w:w="80" w:type="dxa"/>
              <w:start w:w="120" w:type="dxa"/>
              <w:bottom w:w="80" w:type="dxa"/>
              <w:end w:w="120" w:type="dxa"/>
            </w:tcMar>
          </w:tcPr>
          <w:p>
            <w:r>
              <w:rPr>
                <w:rFonts w:ascii="Calibri" w:hAnsi="Calibri"/>
                <w:sz w:val="18"/>
              </w:rPr>
              <w:t>Cash Management</w:t>
            </w:r>
          </w:p>
        </w:tc>
        <w:tc>
          <w:tcPr>
            <w:tcW w:type="dxa" w:w="3500"/>
            <w:tcMar>
              <w:top w:w="80" w:type="dxa"/>
              <w:start w:w="120" w:type="dxa"/>
              <w:bottom w:w="80" w:type="dxa"/>
              <w:end w:w="120" w:type="dxa"/>
            </w:tcMar>
          </w:tcPr>
          <w:p>
            <w:r>
              <w:rPr>
                <w:rFonts w:ascii="Calibri" w:hAnsi="Calibri"/>
                <w:sz w:val="18"/>
              </w:rPr>
              <w:t>Responsabilité sur l’argent physique par register et session</w:t>
            </w:r>
          </w:p>
        </w:tc>
        <w:tc>
          <w:tcPr>
            <w:tcW w:type="dxa" w:w="4060"/>
            <w:tcMar>
              <w:top w:w="80" w:type="dxa"/>
              <w:start w:w="120" w:type="dxa"/>
              <w:bottom w:w="80" w:type="dxa"/>
              <w:end w:w="120" w:type="dxa"/>
            </w:tcMar>
          </w:tcPr>
          <w:p>
            <w:r>
              <w:rPr>
                <w:rFonts w:ascii="Calibri" w:hAnsi="Calibri"/>
                <w:sz w:val="18"/>
              </w:rPr>
              <w:t>Enregistre les mouvements de caisse liés aux paiements et remboursements.</w:t>
            </w:r>
          </w:p>
        </w:tc>
      </w:tr>
      <w:tr>
        <w:tc>
          <w:tcPr>
            <w:tcW w:type="dxa" w:w="1800"/>
            <w:tcMar>
              <w:top w:w="80" w:type="dxa"/>
              <w:start w:w="120" w:type="dxa"/>
              <w:bottom w:w="80" w:type="dxa"/>
              <w:end w:w="120" w:type="dxa"/>
            </w:tcMar>
          </w:tcPr>
          <w:p>
            <w:r>
              <w:rPr>
                <w:rFonts w:ascii="Calibri" w:hAnsi="Calibri"/>
                <w:sz w:val="18"/>
              </w:rPr>
              <w:t>Inventory</w:t>
            </w:r>
          </w:p>
        </w:tc>
        <w:tc>
          <w:tcPr>
            <w:tcW w:type="dxa" w:w="3500"/>
            <w:tcMar>
              <w:top w:w="80" w:type="dxa"/>
              <w:start w:w="120" w:type="dxa"/>
              <w:bottom w:w="80" w:type="dxa"/>
              <w:end w:w="120" w:type="dxa"/>
            </w:tcMar>
          </w:tcPr>
          <w:p>
            <w:r>
              <w:rPr>
                <w:rFonts w:ascii="Calibri" w:hAnsi="Calibri"/>
                <w:sz w:val="18"/>
              </w:rPr>
              <w:t>Quantités physiques, mouvements, réceptions, ajustements, comptages et transferts</w:t>
            </w:r>
          </w:p>
        </w:tc>
        <w:tc>
          <w:tcPr>
            <w:tcW w:type="dxa" w:w="4060"/>
            <w:tcMar>
              <w:top w:w="80" w:type="dxa"/>
              <w:start w:w="120" w:type="dxa"/>
              <w:bottom w:w="80" w:type="dxa"/>
              <w:end w:w="120" w:type="dxa"/>
            </w:tcMar>
          </w:tcPr>
          <w:p>
            <w:r>
              <w:rPr>
                <w:rFonts w:ascii="Calibri" w:hAnsi="Calibri"/>
                <w:sz w:val="18"/>
              </w:rPr>
              <w:t>Référence uniquement les identifiants externes.</w:t>
            </w:r>
          </w:p>
        </w:tc>
      </w:tr>
      <w:tr>
        <w:tc>
          <w:tcPr>
            <w:tcW w:type="dxa" w:w="1800"/>
            <w:tcMar>
              <w:top w:w="80" w:type="dxa"/>
              <w:start w:w="120" w:type="dxa"/>
              <w:bottom w:w="80" w:type="dxa"/>
              <w:end w:w="120" w:type="dxa"/>
            </w:tcMar>
          </w:tcPr>
          <w:p>
            <w:r>
              <w:rPr>
                <w:rFonts w:ascii="Calibri" w:hAnsi="Calibri"/>
                <w:sz w:val="18"/>
              </w:rPr>
              <w:t>Purchasing</w:t>
            </w:r>
          </w:p>
        </w:tc>
        <w:tc>
          <w:tcPr>
            <w:tcW w:type="dxa" w:w="3500"/>
            <w:tcMar>
              <w:top w:w="80" w:type="dxa"/>
              <w:start w:w="120" w:type="dxa"/>
              <w:bottom w:w="80" w:type="dxa"/>
              <w:end w:w="120" w:type="dxa"/>
            </w:tcMar>
          </w:tcPr>
          <w:p>
            <w:r>
              <w:rPr>
                <w:rFonts w:ascii="Calibri" w:hAnsi="Calibri"/>
                <w:sz w:val="18"/>
              </w:rPr>
              <w:t>Approvisionnement et documents fournisseurs</w:t>
            </w:r>
          </w:p>
        </w:tc>
        <w:tc>
          <w:tcPr>
            <w:tcW w:type="dxa" w:w="4060"/>
            <w:tcMar>
              <w:top w:w="80" w:type="dxa"/>
              <w:start w:w="120" w:type="dxa"/>
              <w:bottom w:w="80" w:type="dxa"/>
              <w:end w:w="120" w:type="dxa"/>
            </w:tcMar>
          </w:tcPr>
          <w:p>
            <w:r>
              <w:rPr>
                <w:rFonts w:ascii="Calibri" w:hAnsi="Calibri"/>
                <w:sz w:val="18"/>
              </w:rPr>
              <w:t>Produit des sources de réception pour `Inventory`.</w:t>
            </w:r>
          </w:p>
        </w:tc>
      </w:tr>
    </w:tbl>
    <w:p>
      <w:pPr>
        <w:spacing w:after="0"/>
      </w:pPr>
    </w:p>
    <w:p>
      <w:pPr>
        <w:pStyle w:val="Heading1"/>
      </w:pPr>
      <w:r>
        <w:t>4. Sales</w:t>
      </w:r>
    </w:p>
    <w:p>
      <w:pPr>
        <w:pStyle w:val="Heading2"/>
      </w:pPr>
      <w:r>
        <w:t>4.1 Responsabilité</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`Sales` est propriétaire de la transaction commerciale avec le client et du cycle de vie de la vente. Il ne possède ni le stock physique ni le solde physique de caisse.</w:t>
            </w:r>
          </w:p>
        </w:tc>
      </w:tr>
    </w:tbl>
    <w:p>
      <w:pPr>
        <w:spacing w:after="0"/>
      </w:pPr>
    </w:p>
    <w:p>
      <w:pPr>
        <w:pStyle w:val="Heading2"/>
      </w:pPr>
      <w:r>
        <w:t>4.2 CompleteSale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`CompleteSale` représente la finalisation d’une vente après validation de son état et des informations de paiement.</w:t>
            </w:r>
          </w:p>
        </w:tc>
      </w:tr>
    </w:tbl>
    <w:p>
      <w:pPr>
        <w:spacing w:after="0"/>
      </w:pPr>
    </w:p>
    <w:p>
      <w:pPr>
        <w:pStyle w:val="CodeBlock"/>
        <w:keepLines/>
        <w:shd w:fill="F7F9FC"/>
      </w:pPr>
      <w:r>
        <w:rPr>
          <w:rFonts w:ascii="Consolas" w:hAnsi="Consolas"/>
          <w:color w:val="243B53"/>
          <w:sz w:val="18"/>
        </w:rPr>
        <w:t>CompleteSale</w:t>
      </w:r>
      <w:r>
        <w:br/>
      </w:r>
      <w:r>
        <w:rPr>
          <w:rFonts w:ascii="Consolas" w:hAnsi="Consolas"/>
          <w:color w:val="243B53"/>
          <w:sz w:val="18"/>
        </w:rPr>
        <w:t>├── organizationId</w:t>
      </w:r>
      <w:r>
        <w:br/>
      </w:r>
      <w:r>
        <w:rPr>
          <w:rFonts w:ascii="Consolas" w:hAnsi="Consolas"/>
          <w:color w:val="243B53"/>
          <w:sz w:val="18"/>
        </w:rPr>
        <w:t>├── storeId</w:t>
      </w:r>
      <w:r>
        <w:br/>
      </w:r>
      <w:r>
        <w:rPr>
          <w:rFonts w:ascii="Consolas" w:hAnsi="Consolas"/>
          <w:color w:val="243B53"/>
          <w:sz w:val="18"/>
        </w:rPr>
        <w:t>├── saleId</w:t>
      </w:r>
      <w:r>
        <w:br/>
      </w:r>
      <w:r>
        <w:rPr>
          <w:rFonts w:ascii="Consolas" w:hAnsi="Consolas"/>
          <w:color w:val="243B53"/>
          <w:sz w:val="18"/>
        </w:rPr>
        <w:t>├── actorId</w:t>
      </w:r>
      <w:r>
        <w:br/>
      </w:r>
      <w:r>
        <w:rPr>
          <w:rFonts w:ascii="Consolas" w:hAnsi="Consolas"/>
          <w:color w:val="243B53"/>
          <w:sz w:val="18"/>
        </w:rPr>
        <w:t>└── payment information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Pour les produits suivis en stock, la validation et la consommation de stock appartiennent au chemin critique synchrone de finalisation. Les traitements secondaires sont déclenchés par des domain events publiés via outbox.</w:t>
            </w:r>
          </w:p>
        </w:tc>
      </w:tr>
    </w:tbl>
    <w:p>
      <w:pPr>
        <w:spacing w:after="0"/>
      </w:pPr>
    </w:p>
    <w:p>
      <w:pPr>
        <w:pStyle w:val="CodeBlock"/>
        <w:keepLines/>
        <w:shd w:fill="F7F9FC"/>
      </w:pPr>
      <w:r>
        <w:rPr>
          <w:rFonts w:ascii="Consolas" w:hAnsi="Consolas"/>
          <w:color w:val="243B53"/>
          <w:sz w:val="18"/>
        </w:rPr>
        <w:t>CompleteSale</w:t>
      </w:r>
      <w:r>
        <w:br/>
      </w:r>
      <w:r>
        <w:rPr>
          <w:rFonts w:ascii="Consolas" w:hAnsi="Consolas"/>
          <w:color w:val="243B53"/>
          <w:sz w:val="18"/>
        </w:rPr>
        <w:t>├── validate sale</w:t>
      </w:r>
      <w:r>
        <w:br/>
      </w:r>
      <w:r>
        <w:rPr>
          <w:rFonts w:ascii="Consolas" w:hAnsi="Consolas"/>
          <w:color w:val="243B53"/>
          <w:sz w:val="18"/>
        </w:rPr>
        <w:t>├── validate payment</w:t>
      </w:r>
      <w:r>
        <w:br/>
      </w:r>
      <w:r>
        <w:rPr>
          <w:rFonts w:ascii="Consolas" w:hAnsi="Consolas"/>
          <w:color w:val="243B53"/>
          <w:sz w:val="18"/>
        </w:rPr>
        <w:t>├── consume inventory</w:t>
      </w:r>
      <w:r>
        <w:br/>
      </w:r>
      <w:r>
        <w:rPr>
          <w:rFonts w:ascii="Consolas" w:hAnsi="Consolas"/>
          <w:color w:val="243B53"/>
          <w:sz w:val="18"/>
        </w:rPr>
        <w:t>├── complete sale</w:t>
      </w:r>
      <w:r>
        <w:br/>
      </w:r>
      <w:r>
        <w:rPr>
          <w:rFonts w:ascii="Consolas" w:hAnsi="Consolas"/>
          <w:color w:val="243B53"/>
          <w:sz w:val="18"/>
        </w:rPr>
        <w:t>└── publish outbox events</w:t>
      </w:r>
    </w:p>
    <w:p>
      <w:pPr>
        <w:pStyle w:val="Heading2"/>
      </w:pPr>
      <w:r>
        <w:t>4.3 Invariants Sales</w:t>
      </w:r>
    </w:p>
    <w:p>
      <w:pPr>
        <w:pStyle w:val="ListBullet"/>
        <w:spacing w:after="80"/>
      </w:pPr>
      <w:r>
        <w:rPr>
          <w:rFonts w:ascii="Calibri" w:hAnsi="Calibri"/>
        </w:rPr>
        <w:t>Une vente ne peut être finalisée que depuis un état autorisé.</w:t>
      </w:r>
    </w:p>
    <w:p>
      <w:pPr>
        <w:pStyle w:val="ListBullet"/>
        <w:spacing w:after="80"/>
      </w:pPr>
      <w:r>
        <w:rPr>
          <w:rFonts w:ascii="Calibri" w:hAnsi="Calibri"/>
        </w:rPr>
        <w:t>Une vente déjà finalisée ne peut pas être appliquée une seconde fois.</w:t>
      </w:r>
    </w:p>
    <w:p>
      <w:pPr>
        <w:pStyle w:val="ListBullet"/>
        <w:spacing w:after="80"/>
      </w:pPr>
      <w:r>
        <w:rPr>
          <w:rFonts w:ascii="Calibri" w:hAnsi="Calibri"/>
        </w:rPr>
        <w:t>Le store et les lignes de vente appartiennent au même `OrganizationId`.</w:t>
      </w:r>
    </w:p>
    <w:p>
      <w:pPr>
        <w:pStyle w:val="ListBullet"/>
        <w:spacing w:after="80"/>
      </w:pPr>
      <w:r>
        <w:rPr>
          <w:rFonts w:ascii="Calibri" w:hAnsi="Calibri"/>
        </w:rPr>
        <w:t>Une vente ne devient pas completed si la consommation de stock critique échoue.</w:t>
      </w:r>
    </w:p>
    <w:p>
      <w:pPr>
        <w:pStyle w:val="Heading1"/>
      </w:pPr>
      <w:r>
        <w:t>5. ReturnSale et RefundSale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remboursement financier et le retour physique sont deux concepts distincts : rembourser un client n’implique pas automatiquement de remettre le produit en stock.</w:t>
            </w:r>
          </w:p>
        </w:tc>
      </w:tr>
    </w:tbl>
    <w:p>
      <w:pPr>
        <w:spacing w:after="0"/>
      </w:pPr>
    </w:p>
    <w:p>
      <w:r>
        <w:rPr>
          <w:rFonts w:ascii="Calibri" w:hAnsi="Calibri"/>
          <w:i w:val="0"/>
        </w:rPr>
        <w:t>Pour le MVP, la disposition d’une ligne retournée peut être exprimée par `restock = true | false`. Une évolution pourra introduire `RESTOCK`, `DAMAGED` et `DISCARDED`.</w:t>
      </w:r>
    </w:p>
    <w:p>
      <w:pPr>
        <w:pStyle w:val="CodeBlock"/>
        <w:keepLines/>
        <w:shd w:fill="F7F9FC"/>
      </w:pPr>
      <w:r>
        <w:rPr>
          <w:rFonts w:ascii="Consolas" w:hAnsi="Consolas"/>
          <w:color w:val="243B53"/>
          <w:sz w:val="18"/>
        </w:rPr>
        <w:t>SaleItemReturned</w:t>
      </w:r>
      <w:r>
        <w:br/>
      </w:r>
      <w:r>
        <w:rPr>
          <w:rFonts w:ascii="Consolas" w:hAnsi="Consolas"/>
          <w:color w:val="243B53"/>
          <w:sz w:val="18"/>
        </w:rPr>
        <w:t>├── saleId</w:t>
      </w:r>
      <w:r>
        <w:br/>
      </w:r>
      <w:r>
        <w:rPr>
          <w:rFonts w:ascii="Consolas" w:hAnsi="Consolas"/>
          <w:color w:val="243B53"/>
          <w:sz w:val="18"/>
        </w:rPr>
        <w:t>├── returnId</w:t>
      </w:r>
      <w:r>
        <w:br/>
      </w:r>
      <w:r>
        <w:rPr>
          <w:rFonts w:ascii="Consolas" w:hAnsi="Consolas"/>
          <w:color w:val="243B53"/>
          <w:sz w:val="18"/>
        </w:rPr>
        <w:t>├── productId</w:t>
      </w:r>
      <w:r>
        <w:br/>
      </w:r>
      <w:r>
        <w:rPr>
          <w:rFonts w:ascii="Consolas" w:hAnsi="Consolas"/>
          <w:color w:val="243B53"/>
          <w:sz w:val="18"/>
        </w:rPr>
        <w:t>├── quantity</w:t>
      </w:r>
      <w:r>
        <w:br/>
      </w:r>
      <w:r>
        <w:rPr>
          <w:rFonts w:ascii="Consolas" w:hAnsi="Consolas"/>
          <w:color w:val="243B53"/>
          <w:sz w:val="18"/>
        </w:rPr>
        <w:t>└── disposition</w:t>
      </w:r>
    </w:p>
    <w:p>
      <w:pPr>
        <w:pStyle w:val="Heading2"/>
      </w:pPr>
      <w:r>
        <w:t>5.1 Conséquence Inventory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Si l’article est éligible à la remise en stock, `Inventory` ajoute un mouvement compensatoire `SALE_RETURN`. Le mouvement historique `SALE` n’est jamais modifié.</w:t>
            </w:r>
          </w:p>
        </w:tc>
      </w:tr>
    </w:tbl>
    <w:p>
      <w:pPr>
        <w:spacing w:after="0"/>
      </w:pPr>
    </w:p>
    <w:p>
      <w:pPr>
        <w:pStyle w:val="CodeBlock"/>
        <w:keepLines/>
        <w:shd w:fill="F7F9FC"/>
      </w:pPr>
      <w:r>
        <w:rPr>
          <w:rFonts w:ascii="Consolas" w:hAnsi="Consolas"/>
          <w:color w:val="243B53"/>
          <w:sz w:val="18"/>
        </w:rPr>
        <w:t>SALE        -2</w:t>
      </w:r>
      <w:r>
        <w:br/>
      </w:r>
      <w:r>
        <w:rPr>
          <w:rFonts w:ascii="Consolas" w:hAnsi="Consolas"/>
          <w:color w:val="243B53"/>
          <w:sz w:val="18"/>
        </w:rPr>
        <w:t>SALE_RETURN +1</w:t>
      </w:r>
    </w:p>
    <w:p>
      <w:pPr>
        <w:pStyle w:val="Heading2"/>
      </w:pPr>
      <w:r>
        <w:t>5.2 Conséquence Cash Management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Un remboursement en espèces produit un nouveau `CashMovement` de sortie, rattaché à la session ouverte et à une référence métier idempotente.</w:t>
            </w:r>
          </w:p>
        </w:tc>
      </w:tr>
    </w:tbl>
    <w:p>
      <w:pPr>
        <w:spacing w:after="0"/>
      </w:pPr>
    </w:p>
    <w:p>
      <w:pPr>
        <w:pStyle w:val="Heading1"/>
      </w:pPr>
      <w:r>
        <w:t>6. Cash Management</w:t>
      </w:r>
    </w:p>
    <w:p>
      <w:pPr>
        <w:pStyle w:val="Heading2"/>
      </w:pPr>
      <w:r>
        <w:t>6.1 Responsabilité</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`Cash Management` gère la responsabilité sur l’argent physique d’un store. Son concept central est `CashSession`, et non le seul équipement `CashRegister`.</w:t>
            </w:r>
          </w:p>
        </w:tc>
      </w:tr>
    </w:tbl>
    <w:p>
      <w:pPr>
        <w:spacing w:after="0"/>
      </w:pPr>
    </w:p>
    <w:p>
      <w:pPr>
        <w:pStyle w:val="Heading2"/>
      </w:pPr>
      <w:r>
        <w:t>6.2 CashRegister</w:t>
      </w:r>
    </w:p>
    <w:p>
      <w:pPr>
        <w:pStyle w:val="CodeBlock"/>
        <w:keepLines/>
        <w:shd w:fill="F7F9FC"/>
      </w:pPr>
      <w:r>
        <w:rPr>
          <w:rFonts w:ascii="Consolas" w:hAnsi="Consolas"/>
          <w:color w:val="243B53"/>
          <w:sz w:val="18"/>
        </w:rPr>
        <w:t>CashRegister</w:t>
      </w:r>
      <w:r>
        <w:br/>
      </w:r>
      <w:r>
        <w:rPr>
          <w:rFonts w:ascii="Consolas" w:hAnsi="Consolas"/>
          <w:color w:val="243B53"/>
          <w:sz w:val="18"/>
        </w:rPr>
        <w:t>├── id</w:t>
      </w:r>
      <w:r>
        <w:br/>
      </w:r>
      <w:r>
        <w:rPr>
          <w:rFonts w:ascii="Consolas" w:hAnsi="Consolas"/>
          <w:color w:val="243B53"/>
          <w:sz w:val="18"/>
        </w:rPr>
        <w:t>├── organizationId</w:t>
      </w:r>
      <w:r>
        <w:br/>
      </w:r>
      <w:r>
        <w:rPr>
          <w:rFonts w:ascii="Consolas" w:hAnsi="Consolas"/>
          <w:color w:val="243B53"/>
          <w:sz w:val="18"/>
        </w:rPr>
        <w:t>├── storeId</w:t>
      </w:r>
      <w:r>
        <w:br/>
      </w:r>
      <w:r>
        <w:rPr>
          <w:rFonts w:ascii="Consolas" w:hAnsi="Consolas"/>
          <w:color w:val="243B53"/>
          <w:sz w:val="18"/>
        </w:rPr>
        <w:t>├── name</w:t>
      </w:r>
      <w:r>
        <w:br/>
      </w:r>
      <w:r>
        <w:rPr>
          <w:rFonts w:ascii="Consolas" w:hAnsi="Consolas"/>
          <w:color w:val="243B53"/>
          <w:sz w:val="18"/>
        </w:rPr>
        <w:t>└── status</w:t>
      </w:r>
    </w:p>
    <w:p>
      <w:r>
        <w:rPr>
          <w:rFonts w:ascii="Calibri" w:hAnsi="Calibri"/>
          <w:i w:val="0"/>
        </w:rPr>
        <w:t>`CashRegister` est durable et existe indépendamment des sessions successives de caissiers.</w:t>
      </w:r>
    </w:p>
    <w:p>
      <w:pPr>
        <w:pStyle w:val="Heading2"/>
      </w:pPr>
      <w:r>
        <w:t>6.3 CashSession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Une `CashSession` représente la responsabilité d’un caissier principal sur un register pendant une période déterminée. Pour le MVP, un register possède au maximum une session `OPEN`.</w:t>
            </w:r>
          </w:p>
        </w:tc>
      </w:tr>
    </w:tbl>
    <w:p>
      <w:pPr>
        <w:spacing w:after="0"/>
      </w:pPr>
    </w:p>
    <w:p>
      <w:pPr>
        <w:pStyle w:val="CodeBlock"/>
        <w:keepLines/>
        <w:shd w:fill="F7F9FC"/>
      </w:pPr>
      <w:r>
        <w:rPr>
          <w:rFonts w:ascii="Consolas" w:hAnsi="Consolas"/>
          <w:color w:val="243B53"/>
          <w:sz w:val="18"/>
        </w:rPr>
        <w:t>CashSession</w:t>
      </w:r>
      <w:r>
        <w:br/>
      </w:r>
      <w:r>
        <w:rPr>
          <w:rFonts w:ascii="Consolas" w:hAnsi="Consolas"/>
          <w:color w:val="243B53"/>
          <w:sz w:val="18"/>
        </w:rPr>
        <w:t>├── id</w:t>
      </w:r>
      <w:r>
        <w:br/>
      </w:r>
      <w:r>
        <w:rPr>
          <w:rFonts w:ascii="Consolas" w:hAnsi="Consolas"/>
          <w:color w:val="243B53"/>
          <w:sz w:val="18"/>
        </w:rPr>
        <w:t>├── organizationId</w:t>
      </w:r>
      <w:r>
        <w:br/>
      </w:r>
      <w:r>
        <w:rPr>
          <w:rFonts w:ascii="Consolas" w:hAnsi="Consolas"/>
          <w:color w:val="243B53"/>
          <w:sz w:val="18"/>
        </w:rPr>
        <w:t>├── storeId</w:t>
      </w:r>
      <w:r>
        <w:br/>
      </w:r>
      <w:r>
        <w:rPr>
          <w:rFonts w:ascii="Consolas" w:hAnsi="Consolas"/>
          <w:color w:val="243B53"/>
          <w:sz w:val="18"/>
        </w:rPr>
        <w:t>├── cashRegisterId</w:t>
      </w:r>
      <w:r>
        <w:br/>
      </w:r>
      <w:r>
        <w:rPr>
          <w:rFonts w:ascii="Consolas" w:hAnsi="Consolas"/>
          <w:color w:val="243B53"/>
          <w:sz w:val="18"/>
        </w:rPr>
        <w:t>├── cashierId</w:t>
      </w:r>
      <w:r>
        <w:br/>
      </w:r>
      <w:r>
        <w:rPr>
          <w:rFonts w:ascii="Consolas" w:hAnsi="Consolas"/>
          <w:color w:val="243B53"/>
          <w:sz w:val="18"/>
        </w:rPr>
        <w:t>├── openingBalance</w:t>
      </w:r>
      <w:r>
        <w:br/>
      </w:r>
      <w:r>
        <w:rPr>
          <w:rFonts w:ascii="Consolas" w:hAnsi="Consolas"/>
          <w:color w:val="243B53"/>
          <w:sz w:val="18"/>
        </w:rPr>
        <w:t>├── openedAt</w:t>
      </w:r>
      <w:r>
        <w:br/>
      </w:r>
      <w:r>
        <w:rPr>
          <w:rFonts w:ascii="Consolas" w:hAnsi="Consolas"/>
          <w:color w:val="243B53"/>
          <w:sz w:val="18"/>
        </w:rPr>
        <w:t>├── status</w:t>
      </w:r>
      <w:r>
        <w:br/>
      </w:r>
      <w:r>
        <w:rPr>
          <w:rFonts w:ascii="Consolas" w:hAnsi="Consolas"/>
          <w:color w:val="243B53"/>
          <w:sz w:val="18"/>
        </w:rPr>
        <w:t>├── countedClosingBalance?</w:t>
      </w:r>
      <w:r>
        <w:br/>
      </w:r>
      <w:r>
        <w:rPr>
          <w:rFonts w:ascii="Consolas" w:hAnsi="Consolas"/>
          <w:color w:val="243B53"/>
          <w:sz w:val="18"/>
        </w:rPr>
        <w:t>├── expectedClosingBalance?</w:t>
      </w:r>
      <w:r>
        <w:br/>
      </w:r>
      <w:r>
        <w:rPr>
          <w:rFonts w:ascii="Consolas" w:hAnsi="Consolas"/>
          <w:color w:val="243B53"/>
          <w:sz w:val="18"/>
        </w:rPr>
        <w:t>├── discrepancy?</w:t>
      </w:r>
      <w:r>
        <w:br/>
      </w:r>
      <w:r>
        <w:rPr>
          <w:rFonts w:ascii="Consolas" w:hAnsi="Consolas"/>
          <w:color w:val="243B53"/>
          <w:sz w:val="18"/>
        </w:rPr>
        <w:t>├── closedAt?</w:t>
      </w:r>
      <w:r>
        <w:br/>
      </w:r>
      <w:r>
        <w:rPr>
          <w:rFonts w:ascii="Consolas" w:hAnsi="Consolas"/>
          <w:color w:val="243B53"/>
          <w:sz w:val="18"/>
        </w:rPr>
        <w:t>└── closedBy?</w:t>
      </w:r>
    </w:p>
    <w:p>
      <w:pPr>
        <w:pStyle w:val="Heading3"/>
      </w:pPr>
      <w:r>
        <w:t>OpenCashSession</w:t>
      </w:r>
    </w:p>
    <w:p>
      <w:pPr>
        <w:pStyle w:val="CodeBlock"/>
        <w:keepLines/>
        <w:shd w:fill="F7F9FC"/>
      </w:pPr>
      <w:r>
        <w:rPr>
          <w:rFonts w:ascii="Consolas" w:hAnsi="Consolas"/>
          <w:color w:val="243B53"/>
          <w:sz w:val="18"/>
        </w:rPr>
        <w:t>OpenCashSession</w:t>
      </w:r>
      <w:r>
        <w:br/>
      </w:r>
      <w:r>
        <w:rPr>
          <w:rFonts w:ascii="Consolas" w:hAnsi="Consolas"/>
          <w:color w:val="243B53"/>
          <w:sz w:val="18"/>
        </w:rPr>
        <w:t>├── organizationId</w:t>
      </w:r>
      <w:r>
        <w:br/>
      </w:r>
      <w:r>
        <w:rPr>
          <w:rFonts w:ascii="Consolas" w:hAnsi="Consolas"/>
          <w:color w:val="243B53"/>
          <w:sz w:val="18"/>
        </w:rPr>
        <w:t>├── storeId</w:t>
      </w:r>
      <w:r>
        <w:br/>
      </w:r>
      <w:r>
        <w:rPr>
          <w:rFonts w:ascii="Consolas" w:hAnsi="Consolas"/>
          <w:color w:val="243B53"/>
          <w:sz w:val="18"/>
        </w:rPr>
        <w:t>├── cashRegisterId</w:t>
      </w:r>
      <w:r>
        <w:br/>
      </w:r>
      <w:r>
        <w:rPr>
          <w:rFonts w:ascii="Consolas" w:hAnsi="Consolas"/>
          <w:color w:val="243B53"/>
          <w:sz w:val="18"/>
        </w:rPr>
        <w:t>├── cashierId</w:t>
      </w:r>
      <w:r>
        <w:br/>
      </w:r>
      <w:r>
        <w:rPr>
          <w:rFonts w:ascii="Consolas" w:hAnsi="Consolas"/>
          <w:color w:val="243B53"/>
          <w:sz w:val="18"/>
        </w:rPr>
        <w:t>├── openingBalance</w:t>
      </w:r>
      <w:r>
        <w:br/>
      </w:r>
      <w:r>
        <w:rPr>
          <w:rFonts w:ascii="Consolas" w:hAnsi="Consolas"/>
          <w:color w:val="243B53"/>
          <w:sz w:val="18"/>
        </w:rPr>
        <w:t>└── actorId</w:t>
      </w:r>
    </w:p>
    <w:p>
      <w:pPr>
        <w:pStyle w:val="ListBullet"/>
        <w:spacing w:after="80"/>
      </w:pPr>
      <w:r>
        <w:rPr>
          <w:rFonts w:ascii="Calibri" w:hAnsi="Calibri"/>
        </w:rPr>
        <w:t>Le `CashRegister` est actif et appartient au store.</w:t>
      </w:r>
    </w:p>
    <w:p>
      <w:pPr>
        <w:pStyle w:val="ListBullet"/>
        <w:spacing w:after="80"/>
      </w:pPr>
      <w:r>
        <w:rPr>
          <w:rFonts w:ascii="Calibri" w:hAnsi="Calibri"/>
        </w:rPr>
        <w:t>Le caissier est autorisé sur le store.</w:t>
      </w:r>
    </w:p>
    <w:p>
      <w:pPr>
        <w:pStyle w:val="ListBullet"/>
        <w:spacing w:after="80"/>
      </w:pPr>
      <w:r>
        <w:rPr>
          <w:rFonts w:ascii="Calibri" w:hAnsi="Calibri"/>
        </w:rPr>
        <w:t>Aucune session `OPEN` n’existe déjà pour ce register.</w:t>
      </w:r>
    </w:p>
    <w:p>
      <w:pPr>
        <w:pStyle w:val="ListBullet"/>
        <w:spacing w:after="80"/>
      </w:pPr>
      <w:r>
        <w:rPr>
          <w:rFonts w:ascii="Calibri" w:hAnsi="Calibri"/>
        </w:rPr>
        <w:t>Le succès produit `CashSessionOpened`.</w:t>
      </w:r>
    </w:p>
    <w:p>
      <w:pPr>
        <w:pStyle w:val="Heading3"/>
      </w:pPr>
      <w:r>
        <w:t>CloseCashSession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 fermeture compare `expectedClosingBalance` à `countedClosingBalance`, calcule `discrepancy`, puis rend la session immuable hors métadonnées d’audit explicitement autorisées.</w:t>
            </w:r>
          </w:p>
        </w:tc>
      </w:tr>
    </w:tbl>
    <w:p>
      <w:pPr>
        <w:spacing w:after="0"/>
      </w:pPr>
    </w:p>
    <w:p>
      <w:pPr>
        <w:pStyle w:val="Heading2"/>
      </w:pPr>
      <w:r>
        <w:t>6.4 CashMovement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Chaque entrée ou sortie d’espèces pendant une session est un `CashMovement` immuable. Toute correction est un nouveau mouvement compensatoire.</w:t>
            </w:r>
          </w:p>
        </w:tc>
      </w:tr>
    </w:tbl>
    <w:p>
      <w:pPr>
        <w:spacing w:after="0"/>
      </w:pPr>
    </w:p>
    <w:p>
      <w:pPr>
        <w:pStyle w:val="CodeBlock"/>
        <w:keepLines/>
        <w:shd w:fill="F7F9FC"/>
      </w:pPr>
      <w:r>
        <w:rPr>
          <w:rFonts w:ascii="Consolas" w:hAnsi="Consolas"/>
          <w:color w:val="243B53"/>
          <w:sz w:val="18"/>
        </w:rPr>
        <w:t>CashMovement</w:t>
      </w:r>
      <w:r>
        <w:br/>
      </w:r>
      <w:r>
        <w:rPr>
          <w:rFonts w:ascii="Consolas" w:hAnsi="Consolas"/>
          <w:color w:val="243B53"/>
          <w:sz w:val="18"/>
        </w:rPr>
        <w:t>├── id</w:t>
      </w:r>
      <w:r>
        <w:br/>
      </w:r>
      <w:r>
        <w:rPr>
          <w:rFonts w:ascii="Consolas" w:hAnsi="Consolas"/>
          <w:color w:val="243B53"/>
          <w:sz w:val="18"/>
        </w:rPr>
        <w:t>├── organizationId</w:t>
      </w:r>
      <w:r>
        <w:br/>
      </w:r>
      <w:r>
        <w:rPr>
          <w:rFonts w:ascii="Consolas" w:hAnsi="Consolas"/>
          <w:color w:val="243B53"/>
          <w:sz w:val="18"/>
        </w:rPr>
        <w:t>├── storeId</w:t>
      </w:r>
      <w:r>
        <w:br/>
      </w:r>
      <w:r>
        <w:rPr>
          <w:rFonts w:ascii="Consolas" w:hAnsi="Consolas"/>
          <w:color w:val="243B53"/>
          <w:sz w:val="18"/>
        </w:rPr>
        <w:t>├── cashSessionId</w:t>
      </w:r>
      <w:r>
        <w:br/>
      </w:r>
      <w:r>
        <w:rPr>
          <w:rFonts w:ascii="Consolas" w:hAnsi="Consolas"/>
          <w:color w:val="243B53"/>
          <w:sz w:val="18"/>
        </w:rPr>
        <w:t>├── direction</w:t>
      </w:r>
      <w:r>
        <w:br/>
      </w:r>
      <w:r>
        <w:rPr>
          <w:rFonts w:ascii="Consolas" w:hAnsi="Consolas"/>
          <w:color w:val="243B53"/>
          <w:sz w:val="18"/>
        </w:rPr>
        <w:t>├── type</w:t>
      </w:r>
      <w:r>
        <w:br/>
      </w:r>
      <w:r>
        <w:rPr>
          <w:rFonts w:ascii="Consolas" w:hAnsi="Consolas"/>
          <w:color w:val="243B53"/>
          <w:sz w:val="18"/>
        </w:rPr>
        <w:t>├── amount</w:t>
      </w:r>
      <w:r>
        <w:br/>
      </w:r>
      <w:r>
        <w:rPr>
          <w:rFonts w:ascii="Consolas" w:hAnsi="Consolas"/>
          <w:color w:val="243B53"/>
          <w:sz w:val="18"/>
        </w:rPr>
        <w:t>├── sourceReference?</w:t>
      </w:r>
      <w:r>
        <w:br/>
      </w:r>
      <w:r>
        <w:rPr>
          <w:rFonts w:ascii="Consolas" w:hAnsi="Consolas"/>
          <w:color w:val="243B53"/>
          <w:sz w:val="18"/>
        </w:rPr>
        <w:t>├── reason?</w:t>
      </w:r>
      <w:r>
        <w:br/>
      </w:r>
      <w:r>
        <w:rPr>
          <w:rFonts w:ascii="Consolas" w:hAnsi="Consolas"/>
          <w:color w:val="243B53"/>
          <w:sz w:val="18"/>
        </w:rPr>
        <w:t>├── performedBy</w:t>
      </w:r>
      <w:r>
        <w:br/>
      </w:r>
      <w:r>
        <w:rPr>
          <w:rFonts w:ascii="Consolas" w:hAnsi="Consolas"/>
          <w:color w:val="243B53"/>
          <w:sz w:val="18"/>
        </w:rPr>
        <w:t>├── approvedBy?</w:t>
      </w:r>
      <w:r>
        <w:br/>
      </w:r>
      <w:r>
        <w:rPr>
          <w:rFonts w:ascii="Consolas" w:hAnsi="Consolas"/>
          <w:color w:val="243B53"/>
          <w:sz w:val="18"/>
        </w:rPr>
        <w:t>└── occurredAt</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trPr>
        <w:tc>
          <w:tcPr>
            <w:tcW w:type="dxa" w:w="1800"/>
            <w:tcMar>
              <w:top w:w="80" w:type="dxa"/>
              <w:start w:w="120" w:type="dxa"/>
              <w:bottom w:w="80" w:type="dxa"/>
              <w:end w:w="120" w:type="dxa"/>
            </w:tcMar>
            <w:shd w:fill="F2F4F7"/>
          </w:tcPr>
          <w:p>
            <w:r>
              <w:rPr>
                <w:rFonts w:ascii="Calibri" w:hAnsi="Calibri"/>
                <w:b/>
                <w:color w:val="1F4D78"/>
                <w:sz w:val="19"/>
              </w:rPr>
              <w:t>Direction</w:t>
            </w:r>
          </w:p>
        </w:tc>
        <w:tc>
          <w:tcPr>
            <w:tcW w:type="dxa" w:w="7560"/>
            <w:tcMar>
              <w:top w:w="80" w:type="dxa"/>
              <w:start w:w="120" w:type="dxa"/>
              <w:bottom w:w="80" w:type="dxa"/>
              <w:end w:w="120" w:type="dxa"/>
            </w:tcMar>
            <w:shd w:fill="F2F4F7"/>
          </w:tcPr>
          <w:p>
            <w:r>
              <w:rPr>
                <w:rFonts w:ascii="Calibri" w:hAnsi="Calibri"/>
                <w:b/>
                <w:color w:val="1F4D78"/>
                <w:sz w:val="19"/>
              </w:rPr>
              <w:t>Types initiaux</w:t>
            </w:r>
          </w:p>
        </w:tc>
      </w:tr>
      <w:tr>
        <w:tc>
          <w:tcPr>
            <w:tcW w:type="dxa" w:w="1800"/>
            <w:tcMar>
              <w:top w:w="80" w:type="dxa"/>
              <w:start w:w="120" w:type="dxa"/>
              <w:bottom w:w="80" w:type="dxa"/>
              <w:end w:w="120" w:type="dxa"/>
            </w:tcMar>
          </w:tcPr>
          <w:p>
            <w:r>
              <w:rPr>
                <w:rFonts w:ascii="Calibri" w:hAnsi="Calibri"/>
                <w:sz w:val="18"/>
              </w:rPr>
              <w:t>IN</w:t>
            </w:r>
          </w:p>
        </w:tc>
        <w:tc>
          <w:tcPr>
            <w:tcW w:type="dxa" w:w="7560"/>
            <w:tcMar>
              <w:top w:w="80" w:type="dxa"/>
              <w:start w:w="120" w:type="dxa"/>
              <w:bottom w:w="80" w:type="dxa"/>
              <w:end w:w="120" w:type="dxa"/>
            </w:tcMar>
          </w:tcPr>
          <w:p>
            <w:r>
              <w:rPr>
                <w:rFonts w:ascii="Calibri" w:hAnsi="Calibri"/>
                <w:sz w:val="18"/>
              </w:rPr>
              <w:t>SALE_PAYMENT, DEBT_PAYMENT, CASH_IN</w:t>
            </w:r>
          </w:p>
        </w:tc>
      </w:tr>
      <w:tr>
        <w:tc>
          <w:tcPr>
            <w:tcW w:type="dxa" w:w="1800"/>
            <w:tcMar>
              <w:top w:w="80" w:type="dxa"/>
              <w:start w:w="120" w:type="dxa"/>
              <w:bottom w:w="80" w:type="dxa"/>
              <w:end w:w="120" w:type="dxa"/>
            </w:tcMar>
          </w:tcPr>
          <w:p>
            <w:r>
              <w:rPr>
                <w:rFonts w:ascii="Calibri" w:hAnsi="Calibri"/>
                <w:sz w:val="18"/>
              </w:rPr>
              <w:t>OUT</w:t>
            </w:r>
          </w:p>
        </w:tc>
        <w:tc>
          <w:tcPr>
            <w:tcW w:type="dxa" w:w="7560"/>
            <w:tcMar>
              <w:top w:w="80" w:type="dxa"/>
              <w:start w:w="120" w:type="dxa"/>
              <w:bottom w:w="80" w:type="dxa"/>
              <w:end w:w="120" w:type="dxa"/>
            </w:tcMar>
          </w:tcPr>
          <w:p>
            <w:r>
              <w:rPr>
                <w:rFonts w:ascii="Calibri" w:hAnsi="Calibri"/>
                <w:sz w:val="18"/>
              </w:rPr>
              <w:t>REFUND, CASH_OUT, CASH_WITHDRAWAL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`openingBalance` est une propriété fondamentale de `CashSession`; il n’est pas nécessaire de le dupliquer comme mouvement physique, mais il peut apparaître comme ligne virtuelle dans les rapports.</w:t>
            </w:r>
          </w:p>
        </w:tc>
      </w:tr>
    </w:tbl>
    <w:p>
      <w:pPr>
        <w:spacing w:after="0"/>
      </w:pPr>
    </w:p>
    <w:p>
      <w:pPr>
        <w:pStyle w:val="Heading1"/>
      </w:pPr>
      <w:r>
        <w:t>7. Inventory</w:t>
      </w:r>
    </w:p>
    <w:p>
      <w:pPr>
        <w:pStyle w:val="Heading2"/>
      </w:pPr>
      <w:r>
        <w:t>7.1 Responsabilité</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`Inventory` est l’autorité sur la quantité physique comptabilisée des produits suivis en stock dans les stores.</w:t>
            </w:r>
          </w:p>
        </w:tc>
      </w:tr>
    </w:tbl>
    <w:p>
      <w:pPr>
        <w:spacing w:after="0"/>
      </w:pPr>
    </w:p>
    <w:p>
      <w:pPr>
        <w:pStyle w:val="ListBullet"/>
        <w:spacing w:after="80"/>
      </w:pPr>
      <w:r>
        <w:rPr>
          <w:rFonts w:ascii="Calibri" w:hAnsi="Calibri"/>
        </w:rPr>
        <w:t>État courant du stock et mouvements explicatifs.</w:t>
      </w:r>
    </w:p>
    <w:p>
      <w:pPr>
        <w:pStyle w:val="ListBullet"/>
        <w:spacing w:after="80"/>
      </w:pPr>
      <w:r>
        <w:rPr>
          <w:rFonts w:ascii="Calibri" w:hAnsi="Calibri"/>
        </w:rPr>
        <w:t>Initialisation, réception, consommation par vente et retour en stock.</w:t>
      </w:r>
    </w:p>
    <w:p>
      <w:pPr>
        <w:pStyle w:val="ListBullet"/>
        <w:spacing w:after="80"/>
      </w:pPr>
      <w:r>
        <w:rPr>
          <w:rFonts w:ascii="Calibri" w:hAnsi="Calibri"/>
        </w:rPr>
        <w:t>Ajustements manuels, inventaires physiques et transferts inter-stores.</w:t>
      </w:r>
    </w:p>
    <w:p>
      <w:pPr>
        <w:pStyle w:val="ListBullet"/>
        <w:spacing w:after="80"/>
      </w:pPr>
      <w:r>
        <w:rPr>
          <w:rFonts w:ascii="Calibri" w:hAnsi="Calibri"/>
        </w:rPr>
        <w:t>Concurrence, idempotence et cohérence transactionnelle des modifications.</w:t>
      </w:r>
    </w:p>
    <w:p>
      <w:r>
        <w:rPr>
          <w:rFonts w:ascii="Calibri" w:hAnsi="Calibri"/>
          <w:i w:val="0"/>
        </w:rPr>
        <w:t>`Inventory` ne possède pas le nom, le prix, le code-barres ou les autres métadonnées commerciales du produit.</w:t>
      </w:r>
    </w:p>
    <w:p>
      <w:pPr>
        <w:pStyle w:val="Heading1"/>
      </w:pPr>
      <w:r>
        <w:t>8. Aggregate Stock</w:t>
      </w:r>
    </w:p>
    <w:p>
      <w:pPr>
        <w:pStyle w:val="Heading2"/>
      </w:pPr>
      <w:r>
        <w:t>8.1 Identité et frontière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`Stock` représente exactement la position d’un produit dans un store pour une organization. L’aggregate est volontairement petit : un produit + un store.</w:t>
            </w:r>
          </w:p>
        </w:tc>
      </w:tr>
    </w:tbl>
    <w:p>
      <w:pPr>
        <w:spacing w:after="0"/>
      </w:pPr>
    </w:p>
    <w:p>
      <w:pPr>
        <w:pStyle w:val="CodeBlock"/>
        <w:keepLines/>
        <w:shd w:fill="F7F9FC"/>
      </w:pPr>
      <w:r>
        <w:rPr>
          <w:rFonts w:ascii="Consolas" w:hAnsi="Consolas"/>
          <w:color w:val="243B53"/>
          <w:sz w:val="18"/>
        </w:rPr>
        <w:t>Stock</w:t>
      </w:r>
      <w:r>
        <w:br/>
      </w:r>
      <w:r>
        <w:rPr>
          <w:rFonts w:ascii="Consolas" w:hAnsi="Consolas"/>
          <w:color w:val="243B53"/>
          <w:sz w:val="18"/>
        </w:rPr>
        <w:t>├── StockId id</w:t>
      </w:r>
      <w:r>
        <w:br/>
      </w:r>
      <w:r>
        <w:rPr>
          <w:rFonts w:ascii="Consolas" w:hAnsi="Consolas"/>
          <w:color w:val="243B53"/>
          <w:sz w:val="18"/>
        </w:rPr>
        <w:t>├── OrganizationId organizationId</w:t>
      </w:r>
      <w:r>
        <w:br/>
      </w:r>
      <w:r>
        <w:rPr>
          <w:rFonts w:ascii="Consolas" w:hAnsi="Consolas"/>
          <w:color w:val="243B53"/>
          <w:sz w:val="18"/>
        </w:rPr>
        <w:t>├── StoreId storeId</w:t>
      </w:r>
      <w:r>
        <w:br/>
      </w:r>
      <w:r>
        <w:rPr>
          <w:rFonts w:ascii="Consolas" w:hAnsi="Consolas"/>
          <w:color w:val="243B53"/>
          <w:sz w:val="18"/>
        </w:rPr>
        <w:t>├── ProductId productId</w:t>
      </w:r>
      <w:r>
        <w:br/>
      </w:r>
      <w:r>
        <w:rPr>
          <w:rFonts w:ascii="Consolas" w:hAnsi="Consolas"/>
          <w:color w:val="243B53"/>
          <w:sz w:val="18"/>
        </w:rPr>
        <w:t>├── StockQuantity quantityOnHand</w:t>
      </w:r>
      <w:r>
        <w:br/>
      </w:r>
      <w:r>
        <w:rPr>
          <w:rFonts w:ascii="Consolas" w:hAnsi="Consolas"/>
          <w:color w:val="243B53"/>
          <w:sz w:val="18"/>
        </w:rPr>
        <w:t>└── version</w:t>
      </w:r>
    </w:p>
    <w:p>
      <w:pPr>
        <w:pStyle w:val="CodeBlock"/>
        <w:keepLines/>
        <w:shd w:fill="F7F9FC"/>
      </w:pPr>
      <w:r>
        <w:rPr>
          <w:rFonts w:ascii="Consolas" w:hAnsi="Consolas"/>
          <w:color w:val="243B53"/>
          <w:sz w:val="18"/>
        </w:rPr>
        <w:t>UNIQUE (organization_id, store_id, product_id)</w:t>
      </w:r>
    </w:p>
    <w:p>
      <w:r>
        <w:rPr>
          <w:rFonts w:ascii="Calibri" w:hAnsi="Calibri"/>
          <w:i w:val="0"/>
        </w:rPr>
        <w:t>Un aggregate `StoreInventory` contenant des milliers de lignes `Stock` est exclu : il serait trop volumineux et nuirait à la concurrence et aux performances.</w:t>
      </w:r>
    </w:p>
    <w:p>
      <w:pPr>
        <w:pStyle w:val="Heading2"/>
      </w:pPr>
      <w:r>
        <w:t>8.2 Value objects de quantité</w:t>
      </w:r>
    </w:p>
    <w:tbl>
      <w:tblPr>
        <w:tblStyle w:val="TableGrid"/>
        <w:tblW w:type="dxa" w:w="9360"/>
        <w:tblLayout w:type="fixed"/>
        <w:tblLook w:firstColumn="1" w:firstRow="1" w:lastColumn="0" w:lastRow="0" w:noHBand="0" w:noVBand="1" w:val="04A0"/>
        <w:jc w:val="left"/>
        <w:tblInd w:w="120" w:type="dxa"/>
      </w:tblPr>
      <w:tblGrid>
        <w:gridCol w:w="2300"/>
        <w:gridCol w:w="2200"/>
        <w:gridCol w:w="4860"/>
      </w:tblGrid>
      <w:tr>
        <w:trPr>
          <w:tblHeader w:val="true"/>
        </w:trPr>
        <w:tc>
          <w:tcPr>
            <w:tcW w:type="dxa" w:w="2300"/>
            <w:tcMar>
              <w:top w:w="80" w:type="dxa"/>
              <w:start w:w="120" w:type="dxa"/>
              <w:bottom w:w="80" w:type="dxa"/>
              <w:end w:w="120" w:type="dxa"/>
            </w:tcMar>
            <w:shd w:fill="F2F4F7"/>
          </w:tcPr>
          <w:p>
            <w:r>
              <w:rPr>
                <w:rFonts w:ascii="Calibri" w:hAnsi="Calibri"/>
                <w:b/>
                <w:color w:val="1F4D78"/>
                <w:sz w:val="19"/>
              </w:rPr>
              <w:t>Concept</w:t>
            </w:r>
          </w:p>
        </w:tc>
        <w:tc>
          <w:tcPr>
            <w:tcW w:type="dxa" w:w="2200"/>
            <w:tcMar>
              <w:top w:w="80" w:type="dxa"/>
              <w:start w:w="120" w:type="dxa"/>
              <w:bottom w:w="80" w:type="dxa"/>
              <w:end w:w="120" w:type="dxa"/>
            </w:tcMar>
            <w:shd w:fill="F2F4F7"/>
          </w:tcPr>
          <w:p>
            <w:r>
              <w:rPr>
                <w:rFonts w:ascii="Calibri" w:hAnsi="Calibri"/>
                <w:b/>
                <w:color w:val="1F4D78"/>
                <w:sz w:val="19"/>
              </w:rPr>
              <w:t>Invariant</w:t>
            </w:r>
          </w:p>
        </w:tc>
        <w:tc>
          <w:tcPr>
            <w:tcW w:type="dxa" w:w="4860"/>
            <w:tcMar>
              <w:top w:w="80" w:type="dxa"/>
              <w:start w:w="120" w:type="dxa"/>
              <w:bottom w:w="80" w:type="dxa"/>
              <w:end w:w="120" w:type="dxa"/>
            </w:tcMar>
            <w:shd w:fill="F2F4F7"/>
          </w:tcPr>
          <w:p>
            <w:r>
              <w:rPr>
                <w:rFonts w:ascii="Calibri" w:hAnsi="Calibri"/>
                <w:b/>
                <w:color w:val="1F4D78"/>
                <w:sz w:val="19"/>
              </w:rPr>
              <w:t>Usage</w:t>
            </w:r>
          </w:p>
        </w:tc>
      </w:tr>
      <w:tr>
        <w:tc>
          <w:tcPr>
            <w:tcW w:type="dxa" w:w="2300"/>
            <w:tcMar>
              <w:top w:w="80" w:type="dxa"/>
              <w:start w:w="120" w:type="dxa"/>
              <w:bottom w:w="80" w:type="dxa"/>
              <w:end w:w="120" w:type="dxa"/>
            </w:tcMar>
          </w:tcPr>
          <w:p>
            <w:r>
              <w:rPr>
                <w:rFonts w:ascii="Calibri" w:hAnsi="Calibri"/>
                <w:sz w:val="18"/>
              </w:rPr>
              <w:t>`StockQuantity`</w:t>
            </w:r>
          </w:p>
        </w:tc>
        <w:tc>
          <w:tcPr>
            <w:tcW w:type="dxa" w:w="2200"/>
            <w:tcMar>
              <w:top w:w="80" w:type="dxa"/>
              <w:start w:w="120" w:type="dxa"/>
              <w:bottom w:w="80" w:type="dxa"/>
              <w:end w:w="120" w:type="dxa"/>
            </w:tcMar>
          </w:tcPr>
          <w:p>
            <w:r>
              <w:rPr>
                <w:rFonts w:ascii="Calibri" w:hAnsi="Calibri"/>
                <w:sz w:val="18"/>
              </w:rPr>
              <w:t>`&gt;= 0`</w:t>
            </w:r>
          </w:p>
        </w:tc>
        <w:tc>
          <w:tcPr>
            <w:tcW w:type="dxa" w:w="4860"/>
            <w:tcMar>
              <w:top w:w="80" w:type="dxa"/>
              <w:start w:w="120" w:type="dxa"/>
              <w:bottom w:w="80" w:type="dxa"/>
              <w:end w:w="120" w:type="dxa"/>
            </w:tcMar>
          </w:tcPr>
          <w:p>
            <w:r>
              <w:rPr>
                <w:rFonts w:ascii="Calibri" w:hAnsi="Calibri"/>
                <w:sz w:val="18"/>
              </w:rPr>
              <w:t>État courant; zéro est valide.</w:t>
            </w:r>
          </w:p>
        </w:tc>
      </w:tr>
      <w:tr>
        <w:tc>
          <w:tcPr>
            <w:tcW w:type="dxa" w:w="2300"/>
            <w:tcMar>
              <w:top w:w="80" w:type="dxa"/>
              <w:start w:w="120" w:type="dxa"/>
              <w:bottom w:w="80" w:type="dxa"/>
              <w:end w:w="120" w:type="dxa"/>
            </w:tcMar>
          </w:tcPr>
          <w:p>
            <w:r>
              <w:rPr>
                <w:rFonts w:ascii="Calibri" w:hAnsi="Calibri"/>
                <w:sz w:val="18"/>
              </w:rPr>
              <w:t>`MovementQuantity`</w:t>
            </w:r>
          </w:p>
        </w:tc>
        <w:tc>
          <w:tcPr>
            <w:tcW w:type="dxa" w:w="2200"/>
            <w:tcMar>
              <w:top w:w="80" w:type="dxa"/>
              <w:start w:w="120" w:type="dxa"/>
              <w:bottom w:w="80" w:type="dxa"/>
              <w:end w:w="120" w:type="dxa"/>
            </w:tcMar>
          </w:tcPr>
          <w:p>
            <w:r>
              <w:rPr>
                <w:rFonts w:ascii="Calibri" w:hAnsi="Calibri"/>
                <w:sz w:val="18"/>
              </w:rPr>
              <w:t>`&gt; 0`</w:t>
            </w:r>
          </w:p>
        </w:tc>
        <w:tc>
          <w:tcPr>
            <w:tcW w:type="dxa" w:w="4860"/>
            <w:tcMar>
              <w:top w:w="80" w:type="dxa"/>
              <w:start w:w="120" w:type="dxa"/>
              <w:bottom w:w="80" w:type="dxa"/>
              <w:end w:w="120" w:type="dxa"/>
            </w:tcMar>
          </w:tcPr>
          <w:p>
            <w:r>
              <w:rPr>
                <w:rFonts w:ascii="Calibri" w:hAnsi="Calibri"/>
                <w:sz w:val="18"/>
              </w:rPr>
              <w:t>Quantité d’un mouvement; zéro est interdit.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Les quantités doivent utiliser une représentation décimale exacte pour les produits vendus au poids ou à la longueur. Une base `DECIMAL(18, 3)` est préférée, sous réserve de la future modélisation des unités.</w:t>
            </w:r>
          </w:p>
        </w:tc>
      </w:tr>
    </w:tbl>
    <w:p>
      <w:pPr>
        <w:spacing w:after="0"/>
      </w:pPr>
    </w:p>
    <w:p>
      <w:pPr>
        <w:pStyle w:val="Heading2"/>
      </w:pPr>
      <w:r>
        <w:t>8.3 Opérations métier</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L’aggregate expose des opérations exprimant l’intention métier plutôt que des setters génériques publics.</w:t>
            </w:r>
          </w:p>
        </w:tc>
      </w:tr>
    </w:tbl>
    <w:p>
      <w:pPr>
        <w:spacing w:after="0"/>
      </w:pPr>
    </w:p>
    <w:p>
      <w:pPr>
        <w:pStyle w:val="CodeBlock"/>
        <w:keepLines/>
        <w:shd w:fill="F7F9FC"/>
      </w:pPr>
      <w:r>
        <w:rPr>
          <w:rFonts w:ascii="Consolas" w:hAnsi="Consolas"/>
          <w:color w:val="243B53"/>
          <w:sz w:val="18"/>
        </w:rPr>
        <w:t>initialize(...)</w:t>
      </w:r>
      <w:r>
        <w:br/>
      </w:r>
      <w:r>
        <w:rPr>
          <w:rFonts w:ascii="Consolas" w:hAnsi="Consolas"/>
          <w:color w:val="243B53"/>
          <w:sz w:val="18"/>
        </w:rPr>
        <w:t>receive(...)</w:t>
      </w:r>
      <w:r>
        <w:br/>
      </w:r>
      <w:r>
        <w:rPr>
          <w:rFonts w:ascii="Consolas" w:hAnsi="Consolas"/>
          <w:color w:val="243B53"/>
          <w:sz w:val="18"/>
        </w:rPr>
        <w:t>consumeForSale(...)</w:t>
      </w:r>
      <w:r>
        <w:br/>
      </w:r>
      <w:r>
        <w:rPr>
          <w:rFonts w:ascii="Consolas" w:hAnsi="Consolas"/>
          <w:color w:val="243B53"/>
          <w:sz w:val="18"/>
        </w:rPr>
        <w:t>restockFromSaleReturn(...)</w:t>
      </w:r>
      <w:r>
        <w:br/>
      </w:r>
      <w:r>
        <w:rPr>
          <w:rFonts w:ascii="Consolas" w:hAnsi="Consolas"/>
          <w:color w:val="243B53"/>
          <w:sz w:val="18"/>
        </w:rPr>
        <w:t>adjust(...)</w:t>
      </w:r>
      <w:r>
        <w:br/>
      </w:r>
      <w:r>
        <w:rPr>
          <w:rFonts w:ascii="Consolas" w:hAnsi="Consolas"/>
          <w:color w:val="243B53"/>
          <w:sz w:val="18"/>
        </w:rPr>
        <w:t>shipTransfer(...)</w:t>
      </w:r>
      <w:r>
        <w:br/>
      </w:r>
      <w:r>
        <w:rPr>
          <w:rFonts w:ascii="Consolas" w:hAnsi="Consolas"/>
          <w:color w:val="243B53"/>
          <w:sz w:val="18"/>
        </w:rPr>
        <w:t>receiveTransfer(...)</w:t>
      </w:r>
      <w:r>
        <w:br/>
      </w:r>
      <w:r>
        <w:rPr>
          <w:rFonts w:ascii="Consolas" w:hAnsi="Consolas"/>
          <w:color w:val="243B53"/>
          <w:sz w:val="18"/>
        </w:rPr>
        <w:t>reconcile(...)</w:t>
      </w:r>
    </w:p>
    <w:p>
      <w:r>
        <w:rPr>
          <w:rFonts w:ascii="Calibri" w:hAnsi="Calibri"/>
          <w:i w:val="0"/>
        </w:rPr>
        <w:t>Des primitives privées telles que `increase(...)` et `decrease(...)` peuvent exister en interne, mais ne constituent pas des use cases publics.</w:t>
      </w:r>
    </w:p>
    <w:p>
      <w:pPr>
        <w:pStyle w:val="Heading2"/>
      </w:pPr>
      <w:r>
        <w:t>8.4 Stock initial et ajustement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`InitializeStock` est autorisé une seule fois pour une position non initialisée. Toute correction ultérieure passe par `AdjustStock` ou `ReconcileStockCount`.</w:t>
            </w:r>
          </w:p>
        </w:tc>
      </w:tr>
    </w:tbl>
    <w:p>
      <w:pPr>
        <w:spacing w:after="0"/>
      </w:pPr>
    </w:p>
    <w:p>
      <w:pPr>
        <w:pStyle w:val="CodeBlock"/>
        <w:keepLines/>
        <w:shd w:fill="F7F9FC"/>
      </w:pPr>
      <w:r>
        <w:rPr>
          <w:rFonts w:ascii="Consolas" w:hAnsi="Consolas"/>
          <w:color w:val="243B53"/>
          <w:sz w:val="18"/>
        </w:rPr>
        <w:t>InitializeStock → Stock.initialize(100) → StockInitialized</w:t>
      </w:r>
      <w:r>
        <w:br/>
      </w:r>
      <w:r>
        <w:rPr>
          <w:rFonts w:ascii="Consolas" w:hAnsi="Consolas"/>
          <w:color w:val="243B53"/>
          <w:sz w:val="18"/>
        </w:rPr>
        <w:t>StockMovement: INITIAL_STOCK, previousQuantity=0, resultingQuantity=100</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`AdjustStock` exprime un delta non nul, exige `reason` et `actorId`, et peut requérir la permission `INVENTORY_ADJUST`.</w:t>
            </w:r>
          </w:p>
        </w:tc>
      </w:tr>
    </w:tbl>
    <w:p>
      <w:pPr>
        <w:spacing w:after="0"/>
      </w:pPr>
    </w:p>
    <w:p>
      <w:pPr>
        <w:pStyle w:val="Heading1"/>
      </w:pPr>
      <w:r>
        <w:t>9. StockMovement</w:t>
      </w:r>
    </w:p>
    <w:p>
      <w:pPr>
        <w:pStyle w:val="Heading2"/>
      </w:pPr>
      <w:r>
        <w:t>9.1 Rôle et structure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`StockMovement` est une entrée immuable de journal métier et d’audit expliquant pourquoi le stock a changé. Il est distinct de l’état courant `Stock`.</w:t>
            </w:r>
          </w:p>
        </w:tc>
      </w:tr>
    </w:tbl>
    <w:p>
      <w:pPr>
        <w:spacing w:after="0"/>
      </w:pPr>
    </w:p>
    <w:p>
      <w:pPr>
        <w:pStyle w:val="CodeBlock"/>
        <w:keepLines/>
        <w:shd w:fill="F7F9FC"/>
      </w:pPr>
      <w:r>
        <w:rPr>
          <w:rFonts w:ascii="Consolas" w:hAnsi="Consolas"/>
          <w:color w:val="243B53"/>
          <w:sz w:val="18"/>
        </w:rPr>
        <w:t>StockMovement</w:t>
      </w:r>
      <w:r>
        <w:br/>
      </w:r>
      <w:r>
        <w:rPr>
          <w:rFonts w:ascii="Consolas" w:hAnsi="Consolas"/>
          <w:color w:val="243B53"/>
          <w:sz w:val="18"/>
        </w:rPr>
        <w:t>├── StockMovementId id</w:t>
      </w:r>
      <w:r>
        <w:br/>
      </w:r>
      <w:r>
        <w:rPr>
          <w:rFonts w:ascii="Consolas" w:hAnsi="Consolas"/>
          <w:color w:val="243B53"/>
          <w:sz w:val="18"/>
        </w:rPr>
        <w:t>├── OrganizationId organizationId</w:t>
      </w:r>
      <w:r>
        <w:br/>
      </w:r>
      <w:r>
        <w:rPr>
          <w:rFonts w:ascii="Consolas" w:hAnsi="Consolas"/>
          <w:color w:val="243B53"/>
          <w:sz w:val="18"/>
        </w:rPr>
        <w:t>├── StoreId storeId</w:t>
      </w:r>
      <w:r>
        <w:br/>
      </w:r>
      <w:r>
        <w:rPr>
          <w:rFonts w:ascii="Consolas" w:hAnsi="Consolas"/>
          <w:color w:val="243B53"/>
          <w:sz w:val="18"/>
        </w:rPr>
        <w:t>├── ProductId productId</w:t>
      </w:r>
      <w:r>
        <w:br/>
      </w:r>
      <w:r>
        <w:rPr>
          <w:rFonts w:ascii="Consolas" w:hAnsi="Consolas"/>
          <w:color w:val="243B53"/>
          <w:sz w:val="18"/>
        </w:rPr>
        <w:t>├── StockId stockId</w:t>
      </w:r>
      <w:r>
        <w:br/>
      </w:r>
      <w:r>
        <w:rPr>
          <w:rFonts w:ascii="Consolas" w:hAnsi="Consolas"/>
          <w:color w:val="243B53"/>
          <w:sz w:val="18"/>
        </w:rPr>
        <w:t>├── StockMovementType type</w:t>
      </w:r>
      <w:r>
        <w:br/>
      </w:r>
      <w:r>
        <w:rPr>
          <w:rFonts w:ascii="Consolas" w:hAnsi="Consolas"/>
          <w:color w:val="243B53"/>
          <w:sz w:val="18"/>
        </w:rPr>
        <w:t>├── MovementQuantity quantity</w:t>
      </w:r>
      <w:r>
        <w:br/>
      </w:r>
      <w:r>
        <w:rPr>
          <w:rFonts w:ascii="Consolas" w:hAnsi="Consolas"/>
          <w:color w:val="243B53"/>
          <w:sz w:val="18"/>
        </w:rPr>
        <w:t>├── StockQuantity previousQuantity</w:t>
      </w:r>
      <w:r>
        <w:br/>
      </w:r>
      <w:r>
        <w:rPr>
          <w:rFonts w:ascii="Consolas" w:hAnsi="Consolas"/>
          <w:color w:val="243B53"/>
          <w:sz w:val="18"/>
        </w:rPr>
        <w:t>├── StockQuantity resultingQuantity</w:t>
      </w:r>
      <w:r>
        <w:br/>
      </w:r>
      <w:r>
        <w:rPr>
          <w:rFonts w:ascii="Consolas" w:hAnsi="Consolas"/>
          <w:color w:val="243B53"/>
          <w:sz w:val="18"/>
        </w:rPr>
        <w:t>├── StockMovementSource source</w:t>
      </w:r>
      <w:r>
        <w:br/>
      </w:r>
      <w:r>
        <w:rPr>
          <w:rFonts w:ascii="Consolas" w:hAnsi="Consolas"/>
          <w:color w:val="243B53"/>
          <w:sz w:val="18"/>
        </w:rPr>
        <w:t>├── reason?</w:t>
      </w:r>
      <w:r>
        <w:br/>
      </w:r>
      <w:r>
        <w:rPr>
          <w:rFonts w:ascii="Consolas" w:hAnsi="Consolas"/>
          <w:color w:val="243B53"/>
          <w:sz w:val="18"/>
        </w:rPr>
        <w:t>├── performedBy?</w:t>
      </w:r>
      <w:r>
        <w:br/>
      </w:r>
      <w:r>
        <w:rPr>
          <w:rFonts w:ascii="Consolas" w:hAnsi="Consolas"/>
          <w:color w:val="243B53"/>
          <w:sz w:val="18"/>
        </w:rPr>
        <w:t>└── occurredAt</w:t>
      </w:r>
    </w:p>
    <w:p>
      <w:pPr>
        <w:pStyle w:val="Heading2"/>
      </w:pPr>
      <w:r>
        <w:t>9.2 Types initiaux</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tcMar>
              <w:top w:w="80" w:type="dxa"/>
              <w:start w:w="120" w:type="dxa"/>
              <w:bottom w:w="80" w:type="dxa"/>
              <w:end w:w="120" w:type="dxa"/>
            </w:tcMar>
            <w:shd w:fill="F2F4F7"/>
          </w:tcPr>
          <w:p>
            <w:r>
              <w:rPr>
                <w:rFonts w:ascii="Calibri" w:hAnsi="Calibri"/>
                <w:b/>
                <w:color w:val="1F4D78"/>
                <w:sz w:val="19"/>
              </w:rPr>
              <w:t>Entrées</w:t>
            </w:r>
          </w:p>
        </w:tc>
        <w:tc>
          <w:tcPr>
            <w:tcW w:type="dxa" w:w="4680"/>
            <w:tcMar>
              <w:top w:w="80" w:type="dxa"/>
              <w:start w:w="120" w:type="dxa"/>
              <w:bottom w:w="80" w:type="dxa"/>
              <w:end w:w="120" w:type="dxa"/>
            </w:tcMar>
            <w:shd w:fill="F2F4F7"/>
          </w:tcPr>
          <w:p>
            <w:r>
              <w:rPr>
                <w:rFonts w:ascii="Calibri" w:hAnsi="Calibri"/>
                <w:b/>
                <w:color w:val="1F4D78"/>
                <w:sz w:val="19"/>
              </w:rPr>
              <w:t>Sorties / corrections</w:t>
            </w:r>
          </w:p>
        </w:tc>
      </w:tr>
      <w:tr>
        <w:tc>
          <w:tcPr>
            <w:tcW w:type="dxa" w:w="4680"/>
            <w:tcMar>
              <w:top w:w="80" w:type="dxa"/>
              <w:start w:w="120" w:type="dxa"/>
              <w:bottom w:w="80" w:type="dxa"/>
              <w:end w:w="120" w:type="dxa"/>
            </w:tcMar>
          </w:tcPr>
          <w:p>
            <w:r>
              <w:rPr>
                <w:rFonts w:ascii="Calibri" w:hAnsi="Calibri"/>
                <w:sz w:val="18"/>
              </w:rPr>
              <w:t>INITIAL_STOCK</w:t>
            </w:r>
          </w:p>
        </w:tc>
        <w:tc>
          <w:tcPr>
            <w:tcW w:type="dxa" w:w="4680"/>
            <w:tcMar>
              <w:top w:w="80" w:type="dxa"/>
              <w:start w:w="120" w:type="dxa"/>
              <w:bottom w:w="80" w:type="dxa"/>
              <w:end w:w="120" w:type="dxa"/>
            </w:tcMar>
          </w:tcPr>
          <w:p>
            <w:r>
              <w:rPr>
                <w:rFonts w:ascii="Calibri" w:hAnsi="Calibri"/>
                <w:sz w:val="18"/>
              </w:rPr>
              <w:t>SALE</w:t>
            </w:r>
          </w:p>
        </w:tc>
      </w:tr>
      <w:tr>
        <w:tc>
          <w:tcPr>
            <w:tcW w:type="dxa" w:w="4680"/>
            <w:tcMar>
              <w:top w:w="80" w:type="dxa"/>
              <w:start w:w="120" w:type="dxa"/>
              <w:bottom w:w="80" w:type="dxa"/>
              <w:end w:w="120" w:type="dxa"/>
            </w:tcMar>
          </w:tcPr>
          <w:p>
            <w:r>
              <w:rPr>
                <w:rFonts w:ascii="Calibri" w:hAnsi="Calibri"/>
                <w:sz w:val="18"/>
              </w:rPr>
              <w:t>PURCHASE_RECEIPT</w:t>
            </w:r>
          </w:p>
        </w:tc>
        <w:tc>
          <w:tcPr>
            <w:tcW w:type="dxa" w:w="4680"/>
            <w:tcMar>
              <w:top w:w="80" w:type="dxa"/>
              <w:start w:w="120" w:type="dxa"/>
              <w:bottom w:w="80" w:type="dxa"/>
              <w:end w:w="120" w:type="dxa"/>
            </w:tcMar>
          </w:tcPr>
          <w:p>
            <w:r>
              <w:rPr>
                <w:rFonts w:ascii="Calibri" w:hAnsi="Calibri"/>
                <w:sz w:val="18"/>
              </w:rPr>
              <w:t>ADJUSTMENT_OUT</w:t>
            </w:r>
          </w:p>
        </w:tc>
      </w:tr>
      <w:tr>
        <w:tc>
          <w:tcPr>
            <w:tcW w:type="dxa" w:w="4680"/>
            <w:tcMar>
              <w:top w:w="80" w:type="dxa"/>
              <w:start w:w="120" w:type="dxa"/>
              <w:bottom w:w="80" w:type="dxa"/>
              <w:end w:w="120" w:type="dxa"/>
            </w:tcMar>
          </w:tcPr>
          <w:p>
            <w:r>
              <w:rPr>
                <w:rFonts w:ascii="Calibri" w:hAnsi="Calibri"/>
                <w:sz w:val="18"/>
              </w:rPr>
              <w:t>SALE_RETURN</w:t>
            </w:r>
          </w:p>
        </w:tc>
        <w:tc>
          <w:tcPr>
            <w:tcW w:type="dxa" w:w="4680"/>
            <w:tcMar>
              <w:top w:w="80" w:type="dxa"/>
              <w:start w:w="120" w:type="dxa"/>
              <w:bottom w:w="80" w:type="dxa"/>
              <w:end w:w="120" w:type="dxa"/>
            </w:tcMar>
          </w:tcPr>
          <w:p>
            <w:r>
              <w:rPr>
                <w:rFonts w:ascii="Calibri" w:hAnsi="Calibri"/>
                <w:sz w:val="18"/>
              </w:rPr>
              <w:t>TRANSFER_OUT</w:t>
            </w:r>
          </w:p>
        </w:tc>
      </w:tr>
      <w:tr>
        <w:tc>
          <w:tcPr>
            <w:tcW w:type="dxa" w:w="4680"/>
            <w:tcMar>
              <w:top w:w="80" w:type="dxa"/>
              <w:start w:w="120" w:type="dxa"/>
              <w:bottom w:w="80" w:type="dxa"/>
              <w:end w:w="120" w:type="dxa"/>
            </w:tcMar>
          </w:tcPr>
          <w:p>
            <w:r>
              <w:rPr>
                <w:rFonts w:ascii="Calibri" w:hAnsi="Calibri"/>
                <w:sz w:val="18"/>
              </w:rPr>
              <w:t>ADJUSTMENT_IN</w:t>
            </w:r>
          </w:p>
        </w:tc>
        <w:tc>
          <w:tcPr>
            <w:tcW w:type="dxa" w:w="4680"/>
            <w:tcMar>
              <w:top w:w="80" w:type="dxa"/>
              <w:start w:w="120" w:type="dxa"/>
              <w:bottom w:w="80" w:type="dxa"/>
              <w:end w:w="120" w:type="dxa"/>
            </w:tcMar>
          </w:tcPr>
          <w:p>
            <w:r>
              <w:rPr>
                <w:rFonts w:ascii="Calibri" w:hAnsi="Calibri"/>
                <w:sz w:val="18"/>
              </w:rPr>
              <w:t>STOCK_COUNT_CORRECTION_OUT</w:t>
            </w:r>
          </w:p>
        </w:tc>
      </w:tr>
      <w:tr>
        <w:tc>
          <w:tcPr>
            <w:tcW w:type="dxa" w:w="4680"/>
            <w:tcMar>
              <w:top w:w="80" w:type="dxa"/>
              <w:start w:w="120" w:type="dxa"/>
              <w:bottom w:w="80" w:type="dxa"/>
              <w:end w:w="120" w:type="dxa"/>
            </w:tcMar>
          </w:tcPr>
          <w:p>
            <w:r>
              <w:rPr>
                <w:rFonts w:ascii="Calibri" w:hAnsi="Calibri"/>
                <w:sz w:val="18"/>
              </w:rPr>
              <w:t>TRANSFER_IN</w:t>
            </w:r>
          </w:p>
        </w:tc>
        <w:tc>
          <w:tcPr>
            <w:tcW w:type="dxa" w:w="4680"/>
            <w:tcMar>
              <w:top w:w="80" w:type="dxa"/>
              <w:start w:w="120" w:type="dxa"/>
              <w:bottom w:w="80" w:type="dxa"/>
              <w:end w:w="120" w:type="dxa"/>
            </w:tcMar>
          </w:tcPr>
          <w:p>
            <w:r>
              <w:rPr>
                <w:rFonts w:ascii="Calibri" w:hAnsi="Calibri"/>
                <w:sz w:val="18"/>
              </w:rPr>
              <w:t>STOCK_COUNT_CORRECTION_IN</w:t>
            </w:r>
          </w:p>
        </w:tc>
      </w:tr>
    </w:tbl>
    <w:p>
      <w:pPr>
        <w:spacing w:after="0"/>
      </w:pPr>
    </w:p>
    <w:p>
      <w:pPr>
        <w:pStyle w:val="Heading2"/>
      </w:pPr>
      <w:r>
        <w:t>9.3 Direction dérivée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Aucun champ `direction` mutable n’est nécessaire : la direction est dérivée de `StockMovementType.direction()`, empêchant des combinaisons invalides comme `SALE + IN`.</w:t>
            </w:r>
          </w:p>
        </w:tc>
      </w:tr>
    </w:tbl>
    <w:p>
      <w:pPr>
        <w:spacing w:after="0"/>
      </w:pPr>
    </w:p>
    <w:p>
      <w:pPr>
        <w:pStyle w:val="Heading2"/>
      </w:pPr>
      <w:r>
        <w:t>9.4 Immutabilité et source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opérations métier `UPDATE StockMovement` et `DELETE StockMovement` sont interdites. Les erreurs historiques sont corrigées par compensation.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`StockMovementSource` est un value object structuré `{ type, referenceId }`, préféré à une chaîne générique.</w:t>
            </w:r>
          </w:p>
        </w:tc>
      </w:tr>
    </w:tbl>
    <w:p>
      <w:pPr>
        <w:spacing w:after="0"/>
      </w:pPr>
    </w:p>
    <w:p>
      <w:pPr>
        <w:pStyle w:val="CodeBlock"/>
        <w:keepLines/>
        <w:shd w:fill="F7F9FC"/>
      </w:pPr>
      <w:r>
        <w:rPr>
          <w:rFonts w:ascii="Consolas" w:hAnsi="Consolas"/>
          <w:color w:val="243B53"/>
          <w:sz w:val="18"/>
        </w:rPr>
        <w:t>SALE / SALE-123</w:t>
      </w:r>
      <w:r>
        <w:br/>
      </w:r>
      <w:r>
        <w:rPr>
          <w:rFonts w:ascii="Consolas" w:hAnsi="Consolas"/>
          <w:color w:val="243B53"/>
          <w:sz w:val="18"/>
        </w:rPr>
        <w:t>RETURN / RET-91</w:t>
      </w:r>
      <w:r>
        <w:br/>
      </w:r>
      <w:r>
        <w:rPr>
          <w:rFonts w:ascii="Consolas" w:hAnsi="Consolas"/>
          <w:color w:val="243B53"/>
          <w:sz w:val="18"/>
        </w:rPr>
        <w:t>PURCHASE_RECEIPT / R123</w:t>
      </w:r>
      <w:r>
        <w:br/>
      </w:r>
      <w:r>
        <w:rPr>
          <w:rFonts w:ascii="Consolas" w:hAnsi="Consolas"/>
          <w:color w:val="243B53"/>
          <w:sz w:val="18"/>
        </w:rPr>
        <w:t>TRANSFER / TR-44</w:t>
      </w:r>
      <w:r>
        <w:br/>
      </w:r>
      <w:r>
        <w:rPr>
          <w:rFonts w:ascii="Consolas" w:hAnsi="Consolas"/>
          <w:color w:val="243B53"/>
          <w:sz w:val="18"/>
        </w:rPr>
        <w:t>STOCK_COUNT / SC-12</w:t>
      </w:r>
    </w:p>
    <w:p>
      <w:pPr>
        <w:pStyle w:val="Heading1"/>
      </w:pPr>
      <w:r>
        <w:t>10. Workflows Inventory</w:t>
      </w:r>
    </w:p>
    <w:p>
      <w:pPr>
        <w:pStyle w:val="Heading2"/>
      </w:pPr>
      <w:r>
        <w:t>10.1 Vente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`Sales` coordonne la consommation via l’interface applicative d’`Inventory`. Le domaine `Sales` ne manipule jamais `StockRepository`.</w:t>
            </w:r>
          </w:p>
        </w:tc>
      </w:tr>
    </w:tbl>
    <w:p>
      <w:pPr>
        <w:spacing w:after="0"/>
      </w:pPr>
    </w:p>
    <w:p>
      <w:pPr>
        <w:pStyle w:val="CodeBlock"/>
        <w:keepLines/>
        <w:shd w:fill="F7F9FC"/>
      </w:pPr>
      <w:r>
        <w:rPr>
          <w:rFonts w:ascii="Consolas" w:hAnsi="Consolas"/>
          <w:color w:val="243B53"/>
          <w:sz w:val="18"/>
        </w:rPr>
        <w:t>CompleteSale</w:t>
      </w:r>
      <w:r>
        <w:br/>
      </w:r>
      <w:r>
        <w:rPr>
          <w:rFonts w:ascii="Consolas" w:hAnsi="Consolas"/>
          <w:color w:val="243B53"/>
          <w:sz w:val="18"/>
        </w:rPr>
        <w:t xml:space="preserve">  → Inventory.consumeStockForSale(...)</w:t>
      </w:r>
      <w:r>
        <w:br/>
      </w:r>
      <w:r>
        <w:rPr>
          <w:rFonts w:ascii="Consolas" w:hAnsi="Consolas"/>
          <w:color w:val="243B53"/>
          <w:sz w:val="18"/>
        </w:rPr>
        <w:t xml:space="preserve">      → Stock.consumeForSale(...)</w:t>
      </w:r>
      <w:r>
        <w:br/>
      </w:r>
      <w:r>
        <w:rPr>
          <w:rFonts w:ascii="Consolas" w:hAnsi="Consolas"/>
          <w:color w:val="243B53"/>
          <w:sz w:val="18"/>
        </w:rPr>
        <w:t xml:space="preserve">      → StockMovement(type=SALE, source=SaleId)</w:t>
      </w:r>
    </w:p>
    <w:p>
      <w:pPr>
        <w:pStyle w:val="Heading2"/>
      </w:pPr>
      <w:r>
        <w:t>10.2 Réception</w:t>
      </w:r>
    </w:p>
    <w:p>
      <w:pPr>
        <w:pStyle w:val="CodeBlock"/>
        <w:keepLines/>
        <w:shd w:fill="F7F9FC"/>
      </w:pPr>
      <w:r>
        <w:rPr>
          <w:rFonts w:ascii="Consolas" w:hAnsi="Consolas"/>
          <w:color w:val="243B53"/>
          <w:sz w:val="18"/>
        </w:rPr>
        <w:t>ReceiveStock</w:t>
      </w:r>
      <w:r>
        <w:br/>
      </w:r>
      <w:r>
        <w:rPr>
          <w:rFonts w:ascii="Consolas" w:hAnsi="Consolas"/>
          <w:color w:val="243B53"/>
          <w:sz w:val="18"/>
        </w:rPr>
        <w:t>├── organizationId</w:t>
      </w:r>
      <w:r>
        <w:br/>
      </w:r>
      <w:r>
        <w:rPr>
          <w:rFonts w:ascii="Consolas" w:hAnsi="Consolas"/>
          <w:color w:val="243B53"/>
          <w:sz w:val="18"/>
        </w:rPr>
        <w:t>├── storeId</w:t>
      </w:r>
      <w:r>
        <w:br/>
      </w:r>
      <w:r>
        <w:rPr>
          <w:rFonts w:ascii="Consolas" w:hAnsi="Consolas"/>
          <w:color w:val="243B53"/>
          <w:sz w:val="18"/>
        </w:rPr>
        <w:t>├── receiptId</w:t>
      </w:r>
      <w:r>
        <w:br/>
      </w:r>
      <w:r>
        <w:rPr>
          <w:rFonts w:ascii="Consolas" w:hAnsi="Consolas"/>
          <w:color w:val="243B53"/>
          <w:sz w:val="18"/>
        </w:rPr>
        <w:t>├── supplierId?</w:t>
      </w:r>
      <w:r>
        <w:br/>
      </w:r>
      <w:r>
        <w:rPr>
          <w:rFonts w:ascii="Consolas" w:hAnsi="Consolas"/>
          <w:color w:val="243B53"/>
          <w:sz w:val="18"/>
        </w:rPr>
        <w:t>├── reference?</w:t>
      </w:r>
      <w:r>
        <w:br/>
      </w:r>
      <w:r>
        <w:rPr>
          <w:rFonts w:ascii="Consolas" w:hAnsi="Consolas"/>
          <w:color w:val="243B53"/>
          <w:sz w:val="18"/>
        </w:rPr>
        <w:t>├── items[] { productId, quantity }</w:t>
      </w:r>
      <w:r>
        <w:br/>
      </w:r>
      <w:r>
        <w:rPr>
          <w:rFonts w:ascii="Consolas" w:hAnsi="Consolas"/>
          <w:color w:val="243B53"/>
          <w:sz w:val="18"/>
        </w:rPr>
        <w:t>├── receivedBy</w:t>
      </w:r>
      <w:r>
        <w:br/>
      </w:r>
      <w:r>
        <w:rPr>
          <w:rFonts w:ascii="Consolas" w:hAnsi="Consolas"/>
          <w:color w:val="243B53"/>
          <w:sz w:val="18"/>
        </w:rPr>
        <w:t>└── receivedAt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Chaque ligne produit un mouvement `PURCHASE_RECEIPT` dont la source permet de répondre précisément à la question « pourquoi cette quantité est-elle entrée ? ».</w:t>
            </w:r>
          </w:p>
        </w:tc>
      </w:tr>
    </w:tbl>
    <w:p>
      <w:pPr>
        <w:spacing w:after="0"/>
      </w:pPr>
    </w:p>
    <w:p>
      <w:pPr>
        <w:pStyle w:val="Heading2"/>
      </w:pPr>
      <w:r>
        <w:t>10.3 Retour client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Seules les lignes explicitement marquées pour remise en stock produisent `SALE_RETURN`; un article endommagé remboursé ne modifie pas le stock disponible.</w:t>
            </w:r>
          </w:p>
        </w:tc>
      </w:tr>
    </w:tbl>
    <w:p>
      <w:pPr>
        <w:spacing w:after="0"/>
      </w:pPr>
    </w:p>
    <w:p>
      <w:pPr>
        <w:pStyle w:val="Heading2"/>
      </w:pPr>
      <w:r>
        <w:t>10.4 StockCount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workflow `StockCount` utilise un aggregate racine léger et des aggregates `StockCountLine` séparés. La réconciliation produit `STOCK_COUNT_CORRECTION_IN` ou `STOCK_COUNT_CORRECTION_OUT`.</w:t>
            </w:r>
          </w:p>
        </w:tc>
      </w:tr>
    </w:tbl>
    <w:p>
      <w:pPr>
        <w:spacing w:after="0"/>
      </w:pPr>
    </w:p>
    <w:p>
      <w:pPr>
        <w:pStyle w:val="CodeBlock"/>
        <w:keepLines/>
        <w:shd w:fill="F7F9FC"/>
      </w:pPr>
      <w:r>
        <w:rPr>
          <w:rFonts w:ascii="Consolas" w:hAnsi="Consolas"/>
          <w:color w:val="243B53"/>
          <w:sz w:val="18"/>
        </w:rPr>
        <w:t>StockCount</w:t>
      </w:r>
      <w:r>
        <w:br/>
      </w:r>
      <w:r>
        <w:rPr>
          <w:rFonts w:ascii="Consolas" w:hAnsi="Consolas"/>
          <w:color w:val="243B53"/>
          <w:sz w:val="18"/>
        </w:rPr>
        <w:t>├── id, organizationId, storeId, status</w:t>
      </w:r>
      <w:r>
        <w:br/>
      </w:r>
      <w:r>
        <w:rPr>
          <w:rFonts w:ascii="Consolas" w:hAnsi="Consolas"/>
          <w:color w:val="243B53"/>
          <w:sz w:val="18"/>
        </w:rPr>
        <w:t>├── startedAt, startedBy</w:t>
      </w:r>
      <w:r>
        <w:br/>
      </w:r>
      <w:r>
        <w:rPr>
          <w:rFonts w:ascii="Consolas" w:hAnsi="Consolas"/>
          <w:color w:val="243B53"/>
          <w:sz w:val="18"/>
        </w:rPr>
        <w:t>├── completedAt?, completedBy?</w:t>
      </w:r>
      <w:r>
        <w:br/>
      </w:r>
      <w:r>
        <w:rPr>
          <w:rFonts w:ascii="Consolas" w:hAnsi="Consolas"/>
          <w:color w:val="243B53"/>
          <w:sz w:val="18"/>
        </w:rPr>
        <w:t>└── lines[] { productId, expectedQuantity, countedQuantity?, variance? }</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Pour le MVP, les mouvements sur les produits inclus dans un `StockCount OPEN` sont suspendus afin d’éviter une variance artificielle pendant le comptage.</w:t>
            </w:r>
          </w:p>
        </w:tc>
      </w:tr>
    </w:tbl>
    <w:p>
      <w:pPr>
        <w:spacing w:after="0"/>
      </w:pPr>
    </w:p>
    <w:p>
      <w:pPr>
        <w:pStyle w:val="Heading2"/>
      </w:pPr>
      <w:r>
        <w:t>10.5 StockTransfer</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modèle MVP de `StockTransfer` distingue expédition, transit et réception, avec `requestedQuantity`, `shippedQuantity` et `receivedQuantity`.</w:t>
            </w:r>
          </w:p>
        </w:tc>
      </w:tr>
    </w:tbl>
    <w:p>
      <w:pPr>
        <w:spacing w:after="0"/>
      </w:pPr>
    </w:p>
    <w:p>
      <w:pPr>
        <w:pStyle w:val="CodeBlock"/>
        <w:keepLines/>
        <w:shd w:fill="F7F9FC"/>
      </w:pPr>
      <w:r>
        <w:rPr>
          <w:rFonts w:ascii="Consolas" w:hAnsi="Consolas"/>
          <w:color w:val="243B53"/>
          <w:sz w:val="18"/>
        </w:rPr>
        <w:t>DRAFT → SHIPPED → RECEIVED</w:t>
      </w:r>
      <w:r>
        <w:br/>
      </w:r>
      <w:r>
        <w:rPr>
          <w:rFonts w:ascii="Consolas" w:hAnsi="Consolas"/>
          <w:color w:val="243B53"/>
          <w:sz w:val="18"/>
        </w:rPr>
        <w:t xml:space="preserve">                 ↘ CANCELLED (avant expédition)</w:t>
      </w:r>
    </w:p>
    <w:p>
      <w:pPr>
        <w:pStyle w:val="ListBullet"/>
        <w:spacing w:after="80"/>
      </w:pPr>
      <w:r>
        <w:rPr>
          <w:rFonts w:ascii="Calibri" w:hAnsi="Calibri"/>
        </w:rPr>
        <w:t>`sourceStoreId != destinationStoreId`.</w:t>
      </w:r>
    </w:p>
    <w:p>
      <w:pPr>
        <w:pStyle w:val="ListBullet"/>
        <w:spacing w:after="80"/>
      </w:pPr>
      <w:r>
        <w:rPr>
          <w:rFonts w:ascii="Calibri" w:hAnsi="Calibri"/>
        </w:rPr>
        <w:t>Les deux stores appartiennent au même `OrganizationId`.</w:t>
      </w:r>
    </w:p>
    <w:p>
      <w:pPr>
        <w:pStyle w:val="ListBullet"/>
        <w:spacing w:after="80"/>
      </w:pPr>
      <w:r>
        <w:rPr>
          <w:rFonts w:ascii="Calibri" w:hAnsi="Calibri"/>
        </w:rPr>
        <w:t>`TRANSFER_OUT` est créé à l’expédition.</w:t>
      </w:r>
    </w:p>
    <w:p>
      <w:pPr>
        <w:pStyle w:val="ListBullet"/>
        <w:spacing w:after="80"/>
      </w:pPr>
      <w:r>
        <w:rPr>
          <w:rFonts w:ascii="Calibri" w:hAnsi="Calibri"/>
        </w:rPr>
        <w:t>`TRANSFER_IN` est créé à la réception.</w:t>
      </w:r>
    </w:p>
    <w:p>
      <w:pPr>
        <w:pStyle w:val="ListBullet"/>
        <w:spacing w:after="80"/>
      </w:pPr>
      <w:r>
        <w:rPr>
          <w:rFonts w:ascii="Calibri" w:hAnsi="Calibri"/>
        </w:rPr>
        <w:t>Le statut décrit le workflow; les données décrivent l’écart de réception.</w:t>
      </w:r>
    </w:p>
    <w:p>
      <w:pPr>
        <w:pStyle w:val="Heading2"/>
      </w:pPr>
      <w:r>
        <w:t>10.6 StockTransfer — aggregate et règles figées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`StockTransfer` est un aggregate indépendant. Il possède une expédition atomique unique et une réception finale unique; les réceptions partielles successives sont hors MVP.</w:t>
            </w:r>
          </w:p>
        </w:tc>
      </w:tr>
    </w:tbl>
    <w:p>
      <w:pPr>
        <w:spacing w:after="0"/>
      </w:pPr>
    </w:p>
    <w:p>
      <w:pPr>
        <w:pStyle w:val="CodeBlock"/>
        <w:keepLines/>
        <w:shd w:fill="F7F9FC"/>
      </w:pPr>
      <w:r>
        <w:rPr>
          <w:rFonts w:ascii="Consolas" w:hAnsi="Consolas"/>
          <w:color w:val="243B53"/>
          <w:sz w:val="18"/>
        </w:rPr>
        <w:t>StockTransfer</w:t>
      </w:r>
      <w:r>
        <w:br/>
      </w:r>
      <w:r>
        <w:rPr>
          <w:rFonts w:ascii="Consolas" w:hAnsi="Consolas"/>
          <w:color w:val="243B53"/>
          <w:sz w:val="18"/>
        </w:rPr>
        <w:t>├── StockTransferId id</w:t>
      </w:r>
      <w:r>
        <w:br/>
      </w:r>
      <w:r>
        <w:rPr>
          <w:rFonts w:ascii="Consolas" w:hAnsi="Consolas"/>
          <w:color w:val="243B53"/>
          <w:sz w:val="18"/>
        </w:rPr>
        <w:t>├── OrganizationId organizationId</w:t>
      </w:r>
      <w:r>
        <w:br/>
      </w:r>
      <w:r>
        <w:rPr>
          <w:rFonts w:ascii="Consolas" w:hAnsi="Consolas"/>
          <w:color w:val="243B53"/>
          <w:sz w:val="18"/>
        </w:rPr>
        <w:t>├── StoreId sourceStoreId</w:t>
      </w:r>
      <w:r>
        <w:br/>
      </w:r>
      <w:r>
        <w:rPr>
          <w:rFonts w:ascii="Consolas" w:hAnsi="Consolas"/>
          <w:color w:val="243B53"/>
          <w:sz w:val="18"/>
        </w:rPr>
        <w:t>├── StoreId destinationStoreId</w:t>
      </w:r>
      <w:r>
        <w:br/>
      </w:r>
      <w:r>
        <w:rPr>
          <w:rFonts w:ascii="Consolas" w:hAnsi="Consolas"/>
          <w:color w:val="243B53"/>
          <w:sz w:val="18"/>
        </w:rPr>
        <w:t>├── StockTransferStatus status</w:t>
      </w:r>
      <w:r>
        <w:br/>
      </w:r>
      <w:r>
        <w:rPr>
          <w:rFonts w:ascii="Consolas" w:hAnsi="Consolas"/>
          <w:color w:val="243B53"/>
          <w:sz w:val="18"/>
        </w:rPr>
        <w:t>├── List&lt;StockTransferLine&gt; lines</w:t>
      </w:r>
      <w:r>
        <w:br/>
      </w:r>
      <w:r>
        <w:rPr>
          <w:rFonts w:ascii="Consolas" w:hAnsi="Consolas"/>
          <w:color w:val="243B53"/>
          <w:sz w:val="18"/>
        </w:rPr>
        <w:t>├── actors and timestamps</w:t>
      </w:r>
      <w:r>
        <w:br/>
      </w:r>
      <w:r>
        <w:rPr>
          <w:rFonts w:ascii="Consolas" w:hAnsi="Consolas"/>
          <w:color w:val="243B53"/>
          <w:sz w:val="18"/>
        </w:rPr>
        <w:t>├── cancellationReason?</w:t>
      </w:r>
      <w:r>
        <w:br/>
      </w:r>
      <w:r>
        <w:rPr>
          <w:rFonts w:ascii="Consolas" w:hAnsi="Consolas"/>
          <w:color w:val="243B53"/>
          <w:sz w:val="18"/>
        </w:rPr>
        <w:t>└── Version version</w:t>
      </w:r>
    </w:p>
    <w:tbl>
      <w:tblPr>
        <w:tblStyle w:val="TableGrid"/>
        <w:tblW w:type="dxa" w:w="9360"/>
        <w:tblLayout w:type="fixed"/>
        <w:tblLook w:firstColumn="1" w:firstRow="1" w:lastColumn="0" w:lastRow="0" w:noHBand="0" w:noVBand="1" w:val="04A0"/>
        <w:jc w:val="left"/>
        <w:tblInd w:w="120" w:type="dxa"/>
      </w:tblPr>
      <w:tblGrid>
        <w:gridCol w:w="2500"/>
        <w:gridCol w:w="1700"/>
        <w:gridCol w:w="1700"/>
        <w:gridCol w:w="3460"/>
      </w:tblGrid>
      <w:tr>
        <w:trPr>
          <w:tblHeader w:val="true"/>
        </w:trPr>
        <w:tc>
          <w:tcPr>
            <w:tcW w:type="dxa" w:w="2500"/>
            <w:tcMar>
              <w:top w:w="80" w:type="dxa"/>
              <w:start w:w="120" w:type="dxa"/>
              <w:bottom w:w="80" w:type="dxa"/>
              <w:end w:w="120" w:type="dxa"/>
            </w:tcMar>
            <w:shd w:fill="F2F4F7"/>
          </w:tcPr>
          <w:p>
            <w:r>
              <w:rPr>
                <w:rFonts w:ascii="Calibri" w:hAnsi="Calibri"/>
                <w:b/>
                <w:color w:val="1F4D78"/>
                <w:sz w:val="19"/>
              </w:rPr>
              <w:t>Quantité</w:t>
            </w:r>
          </w:p>
        </w:tc>
        <w:tc>
          <w:tcPr>
            <w:tcW w:type="dxa" w:w="1700"/>
            <w:tcMar>
              <w:top w:w="80" w:type="dxa"/>
              <w:start w:w="120" w:type="dxa"/>
              <w:bottom w:w="80" w:type="dxa"/>
              <w:end w:w="120" w:type="dxa"/>
            </w:tcMar>
            <w:shd w:fill="F2F4F7"/>
          </w:tcPr>
          <w:p>
            <w:r>
              <w:rPr>
                <w:rFonts w:ascii="Calibri" w:hAnsi="Calibri"/>
                <w:b/>
                <w:color w:val="1F4D78"/>
                <w:sz w:val="19"/>
              </w:rPr>
              <w:t>Null autorisé</w:t>
            </w:r>
          </w:p>
        </w:tc>
        <w:tc>
          <w:tcPr>
            <w:tcW w:type="dxa" w:w="1700"/>
            <w:tcMar>
              <w:top w:w="80" w:type="dxa"/>
              <w:start w:w="120" w:type="dxa"/>
              <w:bottom w:w="80" w:type="dxa"/>
              <w:end w:w="120" w:type="dxa"/>
            </w:tcMar>
            <w:shd w:fill="F2F4F7"/>
          </w:tcPr>
          <w:p>
            <w:r>
              <w:rPr>
                <w:rFonts w:ascii="Calibri" w:hAnsi="Calibri"/>
                <w:b/>
                <w:color w:val="1F4D78"/>
                <w:sz w:val="19"/>
              </w:rPr>
              <w:t>Zéro autorisé</w:t>
            </w:r>
          </w:p>
        </w:tc>
        <w:tc>
          <w:tcPr>
            <w:tcW w:type="dxa" w:w="3460"/>
            <w:tcMar>
              <w:top w:w="80" w:type="dxa"/>
              <w:start w:w="120" w:type="dxa"/>
              <w:bottom w:w="80" w:type="dxa"/>
              <w:end w:w="120" w:type="dxa"/>
            </w:tcMar>
            <w:shd w:fill="F2F4F7"/>
          </w:tcPr>
          <w:p>
            <w:r>
              <w:rPr>
                <w:rFonts w:ascii="Calibri" w:hAnsi="Calibri"/>
                <w:b/>
                <w:color w:val="1F4D78"/>
                <w:sz w:val="19"/>
              </w:rPr>
              <w:t>Invariant</w:t>
            </w:r>
          </w:p>
        </w:tc>
      </w:tr>
      <w:tr>
        <w:tc>
          <w:tcPr>
            <w:tcW w:type="dxa" w:w="2500"/>
            <w:tcMar>
              <w:top w:w="80" w:type="dxa"/>
              <w:start w:w="120" w:type="dxa"/>
              <w:bottom w:w="80" w:type="dxa"/>
              <w:end w:w="120" w:type="dxa"/>
            </w:tcMar>
          </w:tcPr>
          <w:p>
            <w:r>
              <w:rPr>
                <w:rFonts w:ascii="Calibri" w:hAnsi="Calibri"/>
                <w:sz w:val="18"/>
              </w:rPr>
              <w:t>`requestedQuantity`</w:t>
            </w:r>
          </w:p>
        </w:tc>
        <w:tc>
          <w:tcPr>
            <w:tcW w:type="dxa" w:w="1700"/>
            <w:tcMar>
              <w:top w:w="80" w:type="dxa"/>
              <w:start w:w="120" w:type="dxa"/>
              <w:bottom w:w="80" w:type="dxa"/>
              <w:end w:w="120" w:type="dxa"/>
            </w:tcMar>
          </w:tcPr>
          <w:p>
            <w:r>
              <w:rPr>
                <w:rFonts w:ascii="Calibri" w:hAnsi="Calibri"/>
                <w:sz w:val="18"/>
              </w:rPr>
              <w:t>Non</w:t>
            </w:r>
          </w:p>
        </w:tc>
        <w:tc>
          <w:tcPr>
            <w:tcW w:type="dxa" w:w="1700"/>
            <w:tcMar>
              <w:top w:w="80" w:type="dxa"/>
              <w:start w:w="120" w:type="dxa"/>
              <w:bottom w:w="80" w:type="dxa"/>
              <w:end w:w="120" w:type="dxa"/>
            </w:tcMar>
          </w:tcPr>
          <w:p>
            <w:r>
              <w:rPr>
                <w:rFonts w:ascii="Calibri" w:hAnsi="Calibri"/>
                <w:sz w:val="18"/>
              </w:rPr>
              <w:t>Non</w:t>
            </w:r>
          </w:p>
        </w:tc>
        <w:tc>
          <w:tcPr>
            <w:tcW w:type="dxa" w:w="3460"/>
            <w:tcMar>
              <w:top w:w="80" w:type="dxa"/>
              <w:start w:w="120" w:type="dxa"/>
              <w:bottom w:w="80" w:type="dxa"/>
              <w:end w:w="120" w:type="dxa"/>
            </w:tcMar>
          </w:tcPr>
          <w:p>
            <w:r>
              <w:rPr>
                <w:rFonts w:ascii="Calibri" w:hAnsi="Calibri"/>
                <w:sz w:val="18"/>
              </w:rPr>
              <w:t>`&gt; 0`</w:t>
            </w:r>
          </w:p>
        </w:tc>
      </w:tr>
      <w:tr>
        <w:tc>
          <w:tcPr>
            <w:tcW w:type="dxa" w:w="2500"/>
            <w:tcMar>
              <w:top w:w="80" w:type="dxa"/>
              <w:start w:w="120" w:type="dxa"/>
              <w:bottom w:w="80" w:type="dxa"/>
              <w:end w:w="120" w:type="dxa"/>
            </w:tcMar>
          </w:tcPr>
          <w:p>
            <w:r>
              <w:rPr>
                <w:rFonts w:ascii="Calibri" w:hAnsi="Calibri"/>
                <w:sz w:val="18"/>
              </w:rPr>
              <w:t>`shippedQuantity`</w:t>
            </w:r>
          </w:p>
        </w:tc>
        <w:tc>
          <w:tcPr>
            <w:tcW w:type="dxa" w:w="1700"/>
            <w:tcMar>
              <w:top w:w="80" w:type="dxa"/>
              <w:start w:w="120" w:type="dxa"/>
              <w:bottom w:w="80" w:type="dxa"/>
              <w:end w:w="120" w:type="dxa"/>
            </w:tcMar>
          </w:tcPr>
          <w:p>
            <w:r>
              <w:rPr>
                <w:rFonts w:ascii="Calibri" w:hAnsi="Calibri"/>
                <w:sz w:val="18"/>
              </w:rPr>
              <w:t>Avant expédition</w:t>
            </w:r>
          </w:p>
        </w:tc>
        <w:tc>
          <w:tcPr>
            <w:tcW w:type="dxa" w:w="1700"/>
            <w:tcMar>
              <w:top w:w="80" w:type="dxa"/>
              <w:start w:w="120" w:type="dxa"/>
              <w:bottom w:w="80" w:type="dxa"/>
              <w:end w:w="120" w:type="dxa"/>
            </w:tcMar>
          </w:tcPr>
          <w:p>
            <w:r>
              <w:rPr>
                <w:rFonts w:ascii="Calibri" w:hAnsi="Calibri"/>
                <w:sz w:val="18"/>
              </w:rPr>
              <w:t>Oui</w:t>
            </w:r>
          </w:p>
        </w:tc>
        <w:tc>
          <w:tcPr>
            <w:tcW w:type="dxa" w:w="3460"/>
            <w:tcMar>
              <w:top w:w="80" w:type="dxa"/>
              <w:start w:w="120" w:type="dxa"/>
              <w:bottom w:w="80" w:type="dxa"/>
              <w:end w:w="120" w:type="dxa"/>
            </w:tcMar>
          </w:tcPr>
          <w:p>
            <w:r>
              <w:rPr>
                <w:rFonts w:ascii="Calibri" w:hAnsi="Calibri"/>
                <w:sz w:val="18"/>
              </w:rPr>
              <w:t>`0 &lt;= shipped &lt;= requested`</w:t>
            </w:r>
          </w:p>
        </w:tc>
      </w:tr>
      <w:tr>
        <w:tc>
          <w:tcPr>
            <w:tcW w:type="dxa" w:w="2500"/>
            <w:tcMar>
              <w:top w:w="80" w:type="dxa"/>
              <w:start w:w="120" w:type="dxa"/>
              <w:bottom w:w="80" w:type="dxa"/>
              <w:end w:w="120" w:type="dxa"/>
            </w:tcMar>
          </w:tcPr>
          <w:p>
            <w:r>
              <w:rPr>
                <w:rFonts w:ascii="Calibri" w:hAnsi="Calibri"/>
                <w:sz w:val="18"/>
              </w:rPr>
              <w:t>`receivedQuantity`</w:t>
            </w:r>
          </w:p>
        </w:tc>
        <w:tc>
          <w:tcPr>
            <w:tcW w:type="dxa" w:w="1700"/>
            <w:tcMar>
              <w:top w:w="80" w:type="dxa"/>
              <w:start w:w="120" w:type="dxa"/>
              <w:bottom w:w="80" w:type="dxa"/>
              <w:end w:w="120" w:type="dxa"/>
            </w:tcMar>
          </w:tcPr>
          <w:p>
            <w:r>
              <w:rPr>
                <w:rFonts w:ascii="Calibri" w:hAnsi="Calibri"/>
                <w:sz w:val="18"/>
              </w:rPr>
              <w:t>Avant réception</w:t>
            </w:r>
          </w:p>
        </w:tc>
        <w:tc>
          <w:tcPr>
            <w:tcW w:type="dxa" w:w="1700"/>
            <w:tcMar>
              <w:top w:w="80" w:type="dxa"/>
              <w:start w:w="120" w:type="dxa"/>
              <w:bottom w:w="80" w:type="dxa"/>
              <w:end w:w="120" w:type="dxa"/>
            </w:tcMar>
          </w:tcPr>
          <w:p>
            <w:r>
              <w:rPr>
                <w:rFonts w:ascii="Calibri" w:hAnsi="Calibri"/>
                <w:sz w:val="18"/>
              </w:rPr>
              <w:t>Oui</w:t>
            </w:r>
          </w:p>
        </w:tc>
        <w:tc>
          <w:tcPr>
            <w:tcW w:type="dxa" w:w="3460"/>
            <w:tcMar>
              <w:top w:w="80" w:type="dxa"/>
              <w:start w:w="120" w:type="dxa"/>
              <w:bottom w:w="80" w:type="dxa"/>
              <w:end w:w="120" w:type="dxa"/>
            </w:tcMar>
          </w:tcPr>
          <w:p>
            <w:r>
              <w:rPr>
                <w:rFonts w:ascii="Calibri" w:hAnsi="Calibri"/>
                <w:sz w:val="18"/>
              </w:rPr>
              <w:t>`0 &lt;= received &lt;= shipped`</w:t>
            </w:r>
          </w:p>
        </w:tc>
      </w:tr>
    </w:tbl>
    <w:p>
      <w:pPr>
        <w:spacing w:after="0"/>
      </w:pPr>
    </w:p>
    <w:p>
      <w:pPr>
        <w:pStyle w:val="ListBullet"/>
        <w:spacing w:after="80"/>
      </w:pPr>
      <w:r>
        <w:rPr>
          <w:rFonts w:ascii="Calibri" w:hAnsi="Calibri"/>
        </w:rPr>
        <w:t>Un produit apparaît au maximum une fois par transfert.</w:t>
      </w:r>
    </w:p>
    <w:p>
      <w:pPr>
        <w:pStyle w:val="ListBullet"/>
        <w:spacing w:after="80"/>
      </w:pPr>
      <w:r>
        <w:rPr>
          <w:rFonts w:ascii="Calibri" w:hAnsi="Calibri"/>
        </w:rPr>
        <w:t>Les stores source et destination sont distincts et appartiennent au même tenant.</w:t>
      </w:r>
    </w:p>
    <w:p>
      <w:pPr>
        <w:pStyle w:val="ListBullet"/>
        <w:spacing w:after="80"/>
      </w:pPr>
      <w:r>
        <w:rPr>
          <w:rFonts w:ascii="Calibri" w:hAnsi="Calibri"/>
        </w:rPr>
        <w:t>Après expédition, les lignes et quantités expédiées sont immuables.</w:t>
      </w:r>
    </w:p>
    <w:p>
      <w:pPr>
        <w:pStyle w:val="ListBullet"/>
        <w:spacing w:after="80"/>
      </w:pPr>
      <w:r>
        <w:rPr>
          <w:rFonts w:ascii="Calibri" w:hAnsi="Calibri"/>
        </w:rPr>
        <w:t>Une annulation simple est autorisée uniquement depuis `DRAFT`.</w:t>
      </w:r>
    </w:p>
    <w:p>
      <w:pPr>
        <w:pStyle w:val="ListBullet"/>
        <w:spacing w:after="80"/>
      </w:pPr>
      <w:r>
        <w:rPr>
          <w:rFonts w:ascii="Calibri" w:hAnsi="Calibri"/>
        </w:rPr>
        <w:t>Une quantité nulle est conservée sur la ligne sans produire de mouvement nul.</w:t>
      </w:r>
    </w:p>
    <w:p>
      <w:pPr>
        <w:pStyle w:val="ListBullet"/>
        <w:spacing w:after="80"/>
      </w:pPr>
      <w:r>
        <w:rPr>
          <w:rFonts w:ascii="Calibri" w:hAnsi="Calibri"/>
        </w:rPr>
        <w:t>Un surplus physique à destination passe par `AdjustStock`, avec raison et autorisation.</w:t>
      </w:r>
    </w:p>
    <w:p>
      <w:pPr>
        <w:pStyle w:val="Heading3"/>
      </w:pPr>
      <w:r>
        <w:t>Transactions, commands et events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Chaque expédition ou réception est atomique pour toutes ses lignes. Un échec sur une ligne annule l’opération complète.</w:t>
            </w:r>
          </w:p>
        </w:tc>
      </w:tr>
    </w:tbl>
    <w:p>
      <w:pPr>
        <w:spacing w:after="0"/>
      </w:pPr>
    </w:p>
    <w:p>
      <w:pPr>
        <w:pStyle w:val="CodeBlock"/>
        <w:keepLines/>
        <w:shd w:fill="F7F9FC"/>
      </w:pPr>
      <w:r>
        <w:rPr>
          <w:rFonts w:ascii="Consolas" w:hAnsi="Consolas"/>
          <w:color w:val="243B53"/>
          <w:sz w:val="18"/>
        </w:rPr>
        <w:t>ShipStockTransfer</w:t>
      </w:r>
      <w:r>
        <w:br/>
      </w:r>
      <w:r>
        <w:rPr>
          <w:rFonts w:ascii="Consolas" w:hAnsi="Consolas"/>
          <w:color w:val="243B53"/>
          <w:sz w:val="18"/>
        </w:rPr>
        <w:t xml:space="preserve">  → decrement Stock source</w:t>
      </w:r>
      <w:r>
        <w:br/>
      </w:r>
      <w:r>
        <w:rPr>
          <w:rFonts w:ascii="Consolas" w:hAnsi="Consolas"/>
          <w:color w:val="243B53"/>
          <w:sz w:val="18"/>
        </w:rPr>
        <w:t xml:space="preserve">  → TRANSFER_OUT</w:t>
      </w:r>
      <w:r>
        <w:br/>
      </w:r>
      <w:r>
        <w:rPr>
          <w:rFonts w:ascii="Consolas" w:hAnsi="Consolas"/>
          <w:color w:val="243B53"/>
          <w:sz w:val="18"/>
        </w:rPr>
        <w:t xml:space="preserve">  → status = SHIPPED</w:t>
      </w:r>
      <w:r>
        <w:br/>
      </w:r>
      <w:r>
        <w:rPr>
          <w:rFonts w:ascii="Consolas" w:hAnsi="Consolas"/>
          <w:color w:val="243B53"/>
          <w:sz w:val="18"/>
        </w:rPr>
        <w:t xml:space="preserve">  → OutboxMessage</w:t>
      </w:r>
      <w:r>
        <w:br/>
      </w:r>
      <w:r>
        <w:rPr>
          <w:rFonts w:ascii="Consolas" w:hAnsi="Consolas"/>
          <w:color w:val="243B53"/>
          <w:sz w:val="18"/>
        </w:rPr>
      </w:r>
      <w:r>
        <w:br/>
      </w:r>
      <w:r>
        <w:rPr>
          <w:rFonts w:ascii="Consolas" w:hAnsi="Consolas"/>
          <w:color w:val="243B53"/>
          <w:sz w:val="18"/>
        </w:rPr>
        <w:t>ReceiveStockTransfer</w:t>
      </w:r>
      <w:r>
        <w:br/>
      </w:r>
      <w:r>
        <w:rPr>
          <w:rFonts w:ascii="Consolas" w:hAnsi="Consolas"/>
          <w:color w:val="243B53"/>
          <w:sz w:val="18"/>
        </w:rPr>
        <w:t xml:space="preserve">  → increment/create Stock destination</w:t>
      </w:r>
      <w:r>
        <w:br/>
      </w:r>
      <w:r>
        <w:rPr>
          <w:rFonts w:ascii="Consolas" w:hAnsi="Consolas"/>
          <w:color w:val="243B53"/>
          <w:sz w:val="18"/>
        </w:rPr>
        <w:t xml:space="preserve">  → TRANSFER_IN si quantity &gt; 0</w:t>
      </w:r>
      <w:r>
        <w:br/>
      </w:r>
      <w:r>
        <w:rPr>
          <w:rFonts w:ascii="Consolas" w:hAnsi="Consolas"/>
          <w:color w:val="243B53"/>
          <w:sz w:val="18"/>
        </w:rPr>
        <w:t xml:space="preserve">  → status = RECEIVED</w:t>
      </w:r>
      <w:r>
        <w:br/>
      </w:r>
      <w:r>
        <w:rPr>
          <w:rFonts w:ascii="Consolas" w:hAnsi="Consolas"/>
          <w:color w:val="243B53"/>
          <w:sz w:val="18"/>
        </w:rPr>
        <w:t xml:space="preserve">  → OutboxMessage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tcMar>
              <w:top w:w="80" w:type="dxa"/>
              <w:start w:w="120" w:type="dxa"/>
              <w:bottom w:w="80" w:type="dxa"/>
              <w:end w:w="120" w:type="dxa"/>
            </w:tcMar>
            <w:shd w:fill="F2F4F7"/>
          </w:tcPr>
          <w:p>
            <w:r>
              <w:rPr>
                <w:rFonts w:ascii="Calibri" w:hAnsi="Calibri"/>
                <w:b/>
                <w:color w:val="1F4D78"/>
                <w:sz w:val="19"/>
              </w:rPr>
              <w:t>Commands</w:t>
            </w:r>
          </w:p>
        </w:tc>
        <w:tc>
          <w:tcPr>
            <w:tcW w:type="dxa" w:w="4680"/>
            <w:tcMar>
              <w:top w:w="80" w:type="dxa"/>
              <w:start w:w="120" w:type="dxa"/>
              <w:bottom w:w="80" w:type="dxa"/>
              <w:end w:w="120" w:type="dxa"/>
            </w:tcMar>
            <w:shd w:fill="F2F4F7"/>
          </w:tcPr>
          <w:p>
            <w:r>
              <w:rPr>
                <w:rFonts w:ascii="Calibri" w:hAnsi="Calibri"/>
                <w:b/>
                <w:color w:val="1F4D78"/>
                <w:sz w:val="19"/>
              </w:rPr>
              <w:t>Domain events</w:t>
            </w:r>
          </w:p>
        </w:tc>
      </w:tr>
      <w:tr>
        <w:tc>
          <w:tcPr>
            <w:tcW w:type="dxa" w:w="4680"/>
            <w:tcMar>
              <w:top w:w="80" w:type="dxa"/>
              <w:start w:w="120" w:type="dxa"/>
              <w:bottom w:w="80" w:type="dxa"/>
              <w:end w:w="120" w:type="dxa"/>
            </w:tcMar>
          </w:tcPr>
          <w:p>
            <w:r>
              <w:rPr>
                <w:rFonts w:ascii="Calibri" w:hAnsi="Calibri"/>
                <w:sz w:val="18"/>
              </w:rPr>
              <w:t>`CreateStockTransfer`</w:t>
            </w:r>
          </w:p>
        </w:tc>
        <w:tc>
          <w:tcPr>
            <w:tcW w:type="dxa" w:w="4680"/>
            <w:tcMar>
              <w:top w:w="80" w:type="dxa"/>
              <w:start w:w="120" w:type="dxa"/>
              <w:bottom w:w="80" w:type="dxa"/>
              <w:end w:w="120" w:type="dxa"/>
            </w:tcMar>
          </w:tcPr>
          <w:p>
            <w:r>
              <w:rPr>
                <w:rFonts w:ascii="Calibri" w:hAnsi="Calibri"/>
                <w:sz w:val="18"/>
              </w:rPr>
              <w:t>`StockTransferCreated`</w:t>
            </w:r>
          </w:p>
        </w:tc>
      </w:tr>
      <w:tr>
        <w:tc>
          <w:tcPr>
            <w:tcW w:type="dxa" w:w="4680"/>
            <w:tcMar>
              <w:top w:w="80" w:type="dxa"/>
              <w:start w:w="120" w:type="dxa"/>
              <w:bottom w:w="80" w:type="dxa"/>
              <w:end w:w="120" w:type="dxa"/>
            </w:tcMar>
          </w:tcPr>
          <w:p>
            <w:r>
              <w:rPr>
                <w:rFonts w:ascii="Calibri" w:hAnsi="Calibri"/>
                <w:sz w:val="18"/>
              </w:rPr>
              <w:t>`ShipStockTransfer`</w:t>
            </w:r>
          </w:p>
        </w:tc>
        <w:tc>
          <w:tcPr>
            <w:tcW w:type="dxa" w:w="4680"/>
            <w:tcMar>
              <w:top w:w="80" w:type="dxa"/>
              <w:start w:w="120" w:type="dxa"/>
              <w:bottom w:w="80" w:type="dxa"/>
              <w:end w:w="120" w:type="dxa"/>
            </w:tcMar>
          </w:tcPr>
          <w:p>
            <w:r>
              <w:rPr>
                <w:rFonts w:ascii="Calibri" w:hAnsi="Calibri"/>
                <w:sz w:val="18"/>
              </w:rPr>
              <w:t>`StockTransferShipped`</w:t>
            </w:r>
          </w:p>
        </w:tc>
      </w:tr>
      <w:tr>
        <w:tc>
          <w:tcPr>
            <w:tcW w:type="dxa" w:w="4680"/>
            <w:tcMar>
              <w:top w:w="80" w:type="dxa"/>
              <w:start w:w="120" w:type="dxa"/>
              <w:bottom w:w="80" w:type="dxa"/>
              <w:end w:w="120" w:type="dxa"/>
            </w:tcMar>
          </w:tcPr>
          <w:p>
            <w:r>
              <w:rPr>
                <w:rFonts w:ascii="Calibri" w:hAnsi="Calibri"/>
                <w:sz w:val="18"/>
              </w:rPr>
              <w:t>`ReceiveStockTransfer`</w:t>
            </w:r>
          </w:p>
        </w:tc>
        <w:tc>
          <w:tcPr>
            <w:tcW w:type="dxa" w:w="4680"/>
            <w:tcMar>
              <w:top w:w="80" w:type="dxa"/>
              <w:start w:w="120" w:type="dxa"/>
              <w:bottom w:w="80" w:type="dxa"/>
              <w:end w:w="120" w:type="dxa"/>
            </w:tcMar>
          </w:tcPr>
          <w:p>
            <w:r>
              <w:rPr>
                <w:rFonts w:ascii="Calibri" w:hAnsi="Calibri"/>
                <w:sz w:val="18"/>
              </w:rPr>
              <w:t>`StockTransferReceived`</w:t>
            </w:r>
          </w:p>
        </w:tc>
      </w:tr>
      <w:tr>
        <w:tc>
          <w:tcPr>
            <w:tcW w:type="dxa" w:w="4680"/>
            <w:tcMar>
              <w:top w:w="80" w:type="dxa"/>
              <w:start w:w="120" w:type="dxa"/>
              <w:bottom w:w="80" w:type="dxa"/>
              <w:end w:w="120" w:type="dxa"/>
            </w:tcMar>
          </w:tcPr>
          <w:p>
            <w:r>
              <w:rPr>
                <w:rFonts w:ascii="Calibri" w:hAnsi="Calibri"/>
                <w:sz w:val="18"/>
              </w:rPr>
              <w:t>`CancelStockTransfer`</w:t>
            </w:r>
          </w:p>
        </w:tc>
        <w:tc>
          <w:tcPr>
            <w:tcW w:type="dxa" w:w="4680"/>
            <w:tcMar>
              <w:top w:w="80" w:type="dxa"/>
              <w:start w:w="120" w:type="dxa"/>
              <w:bottom w:w="80" w:type="dxa"/>
              <w:end w:w="120" w:type="dxa"/>
            </w:tcMar>
          </w:tcPr>
          <w:p>
            <w:r>
              <w:rPr>
                <w:rFonts w:ascii="Calibri" w:hAnsi="Calibri"/>
                <w:sz w:val="18"/>
              </w:rPr>
              <w:t>`StockTransferCancelled`</w:t>
            </w:r>
          </w:p>
        </w:tc>
      </w:tr>
    </w:tbl>
    <w:p>
      <w:pPr>
        <w:spacing w:after="0"/>
      </w:pPr>
    </w:p>
    <w:p>
      <w:r>
        <w:rPr>
          <w:rFonts w:ascii="Calibri" w:hAnsi="Calibri"/>
          <w:i w:val="0"/>
        </w:rPr>
        <w:t>Les contraintes logiques `stockTransferId + productId + phase` empêchent tout double mouvement. Un replay identique retourne le résultat initial; un même `commandId` avec un contenu différent produit `IdempotencyConflict`.</w:t>
      </w:r>
    </w:p>
    <w:p>
      <w:pPr>
        <w:pStyle w:val="Heading1"/>
      </w:pPr>
      <w:r>
        <w:t>11. StockCount</w:t>
      </w:r>
    </w:p>
    <w:p>
      <w:pPr>
        <w:pStyle w:val="Heading2"/>
      </w:pPr>
      <w:r>
        <w:t>11.1 Responsabilité et frontière d’aggregate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`StockCount` représente le workflow global d’inventaire physique. `StockCountLine` est un aggregate séparé afin d’éviter un aggregate contenant des dizaines de milliers de lignes et de permettre le comptage concurrent.</w:t>
            </w:r>
          </w:p>
        </w:tc>
      </w:tr>
    </w:tbl>
    <w:p>
      <w:pPr>
        <w:spacing w:after="0"/>
      </w:pPr>
    </w:p>
    <w:p>
      <w:pPr>
        <w:pStyle w:val="CodeBlock"/>
        <w:keepLines/>
        <w:shd w:fill="F7F9FC"/>
      </w:pPr>
      <w:r>
        <w:rPr>
          <w:rFonts w:ascii="Consolas" w:hAnsi="Consolas"/>
          <w:color w:val="243B53"/>
          <w:sz w:val="18"/>
        </w:rPr>
        <w:t>StockCount aggregate</w:t>
      </w:r>
      <w:r>
        <w:br/>
      </w:r>
      <w:r>
        <w:rPr>
          <w:rFonts w:ascii="Consolas" w:hAnsi="Consolas"/>
          <w:color w:val="243B53"/>
          <w:sz w:val="18"/>
        </w:rPr>
        <w:t>├── StockCountId, OrganizationId, StoreId</w:t>
      </w:r>
      <w:r>
        <w:br/>
      </w:r>
      <w:r>
        <w:rPr>
          <w:rFonts w:ascii="Consolas" w:hAnsi="Consolas"/>
          <w:color w:val="243B53"/>
          <w:sz w:val="18"/>
        </w:rPr>
        <w:t>├── status, mode, scopeType</w:t>
      </w:r>
      <w:r>
        <w:br/>
      </w:r>
      <w:r>
        <w:rPr>
          <w:rFonts w:ascii="Consolas" w:hAnsi="Consolas"/>
          <w:color w:val="243B53"/>
          <w:sz w:val="18"/>
        </w:rPr>
        <w:t>├── progress counters</w:t>
      </w:r>
      <w:r>
        <w:br/>
      </w:r>
      <w:r>
        <w:rPr>
          <w:rFonts w:ascii="Consolas" w:hAnsi="Consolas"/>
          <w:color w:val="243B53"/>
          <w:sz w:val="18"/>
        </w:rPr>
        <w:t>├── actors and timestamps</w:t>
      </w:r>
      <w:r>
        <w:br/>
      </w:r>
      <w:r>
        <w:rPr>
          <w:rFonts w:ascii="Consolas" w:hAnsi="Consolas"/>
          <w:color w:val="243B53"/>
          <w:sz w:val="18"/>
        </w:rPr>
        <w:t>└── Version version</w:t>
      </w:r>
      <w:r>
        <w:br/>
      </w:r>
      <w:r>
        <w:rPr>
          <w:rFonts w:ascii="Consolas" w:hAnsi="Consolas"/>
          <w:color w:val="243B53"/>
          <w:sz w:val="18"/>
        </w:rPr>
      </w:r>
      <w:r>
        <w:br/>
      </w:r>
      <w:r>
        <w:rPr>
          <w:rFonts w:ascii="Consolas" w:hAnsi="Consolas"/>
          <w:color w:val="243B53"/>
          <w:sz w:val="18"/>
        </w:rPr>
        <w:t>StockCountLine aggregate</w:t>
      </w:r>
      <w:r>
        <w:br/>
      </w:r>
      <w:r>
        <w:rPr>
          <w:rFonts w:ascii="Consolas" w:hAnsi="Consolas"/>
          <w:color w:val="243B53"/>
          <w:sz w:val="18"/>
        </w:rPr>
        <w:t>├── StockCountLineId, StockCountId</w:t>
      </w:r>
      <w:r>
        <w:br/>
      </w:r>
      <w:r>
        <w:rPr>
          <w:rFonts w:ascii="Consolas" w:hAnsi="Consolas"/>
          <w:color w:val="243B53"/>
          <w:sz w:val="18"/>
        </w:rPr>
        <w:t>├── OrganizationId, StoreId, ProductId</w:t>
      </w:r>
      <w:r>
        <w:br/>
      </w:r>
      <w:r>
        <w:rPr>
          <w:rFonts w:ascii="Consolas" w:hAnsi="Consolas"/>
          <w:color w:val="243B53"/>
          <w:sz w:val="18"/>
        </w:rPr>
        <w:t>├── expectedQuantity, countedQuantity?</w:t>
      </w:r>
      <w:r>
        <w:br/>
      </w:r>
      <w:r>
        <w:rPr>
          <w:rFonts w:ascii="Consolas" w:hAnsi="Consolas"/>
          <w:color w:val="243B53"/>
          <w:sz w:val="18"/>
        </w:rPr>
        <w:t>├── countedBy?, countedAt?, revision</w:t>
      </w:r>
      <w:r>
        <w:br/>
      </w:r>
      <w:r>
        <w:rPr>
          <w:rFonts w:ascii="Consolas" w:hAnsi="Consolas"/>
          <w:color w:val="243B53"/>
          <w:sz w:val="18"/>
        </w:rPr>
        <w:t>├── reconciliationStatus</w:t>
      </w:r>
      <w:r>
        <w:br/>
      </w:r>
      <w:r>
        <w:rPr>
          <w:rFonts w:ascii="Consolas" w:hAnsi="Consolas"/>
          <w:color w:val="243B53"/>
          <w:sz w:val="18"/>
        </w:rPr>
        <w:t>└── Version version</w:t>
      </w:r>
    </w:p>
    <w:p>
      <w:r>
        <w:rPr>
          <w:rFonts w:ascii="Calibri" w:hAnsi="Calibri"/>
          <w:i w:val="0"/>
        </w:rPr>
        <w:t>La contrainte `UNIQUE (stock_count_id, product_id)` garantit une ligne par produit. Plusieurs opérateurs peuvent compter simultanément des produits différents sans contention sur une version globale.</w:t>
      </w:r>
    </w:p>
    <w:p>
      <w:pPr>
        <w:pStyle w:val="Heading2"/>
      </w:pPr>
      <w:r>
        <w:t>11.2 Cycle de vie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cycle inclut `FINALIZING` pour permettre une réconciliation idempotente par lots et récupérable après incident.</w:t>
            </w:r>
          </w:p>
        </w:tc>
      </w:tr>
    </w:tbl>
    <w:p>
      <w:pPr>
        <w:spacing w:after="0"/>
      </w:pPr>
    </w:p>
    <w:p>
      <w:pPr>
        <w:pStyle w:val="CodeBlock"/>
        <w:keepLines/>
        <w:shd w:fill="F7F9FC"/>
      </w:pPr>
      <w:r>
        <w:rPr>
          <w:rFonts w:ascii="Consolas" w:hAnsi="Consolas"/>
          <w:color w:val="243B53"/>
          <w:sz w:val="18"/>
        </w:rPr>
        <w:t>DRAFT ──StartStockCount──► OPEN ──BeginStockCountFinalization──► FINALIZING ──► COMPLETED</w:t>
      </w:r>
      <w:r>
        <w:br/>
      </w:r>
      <w:r>
        <w:rPr>
          <w:rFonts w:ascii="Consolas" w:hAnsi="Consolas"/>
          <w:color w:val="243B53"/>
          <w:sz w:val="18"/>
        </w:rPr>
        <w:t xml:space="preserve">   └──CancelStockCount──► CANCELLED      └──CancelStockCount──► CANCELLED</w:t>
      </w:r>
    </w:p>
    <w:p>
      <w:r>
        <w:rPr>
          <w:rFonts w:ascii="Calibri" w:hAnsi="Calibri"/>
          <w:i w:val="0"/>
        </w:rPr>
        <w:t>L’annulation est interdite depuis `FINALIZING`, car certaines corrections peuvent déjà avoir été appliquées. Le workflow reprend jusqu’à `COMPLETED`.</w:t>
      </w:r>
    </w:p>
    <w:p>
      <w:pPr>
        <w:pStyle w:val="Heading2"/>
      </w:pPr>
      <w:r>
        <w:t>11.3 Périmètre, snapshot et verrou métier</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Un comptage peut être `FULL` ou `PARTIAL`. Son périmètre est résolu en `ProductId`; `Inventory` ne dépend pas de `Catalog.Category`.</w:t>
            </w:r>
          </w:p>
        </w:tc>
      </w:tr>
    </w:tbl>
    <w:p>
      <w:pPr>
        <w:spacing w:after="0"/>
      </w:pPr>
    </w:p>
    <w:p>
      <w:r>
        <w:rPr>
          <w:rFonts w:ascii="Calibri" w:hAnsi="Calibri"/>
          <w:i w:val="0"/>
        </w:rPr>
        <w:t>Au passage de `DRAFT` à `OPEN`, le système capture `expectedQuantity`. Un produit sans position `Stock` reçoit une quantité attendue égale à zéro, sans création immédiate d’une position vide.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Tant qu’un `StockCount` est `OPEN` ou `FINALIZING`, aucun mouvement ne peut affecter les produits de son périmètre.</w:t>
            </w:r>
          </w:p>
        </w:tc>
      </w:tr>
    </w:tbl>
    <w:p>
      <w:pPr>
        <w:spacing w:after="0"/>
      </w:pPr>
    </w:p>
    <w:p>
      <w:pPr>
        <w:pStyle w:val="CodeBlock"/>
        <w:keepLines/>
        <w:shd w:fill="F7F9FC"/>
      </w:pPr>
      <w:r>
        <w:rPr>
          <w:rFonts w:ascii="Consolas" w:hAnsi="Consolas"/>
          <w:color w:val="243B53"/>
          <w:sz w:val="18"/>
        </w:rPr>
        <w:t>OpenStockCountScope</w:t>
      </w:r>
      <w:r>
        <w:br/>
      </w:r>
      <w:r>
        <w:rPr>
          <w:rFonts w:ascii="Consolas" w:hAnsi="Consolas"/>
          <w:color w:val="243B53"/>
          <w:sz w:val="18"/>
        </w:rPr>
        <w:t>├── organizationId</w:t>
      </w:r>
      <w:r>
        <w:br/>
      </w:r>
      <w:r>
        <w:rPr>
          <w:rFonts w:ascii="Consolas" w:hAnsi="Consolas"/>
          <w:color w:val="243B53"/>
          <w:sz w:val="18"/>
        </w:rPr>
        <w:t>├── storeId</w:t>
      </w:r>
      <w:r>
        <w:br/>
      </w:r>
      <w:r>
        <w:rPr>
          <w:rFonts w:ascii="Consolas" w:hAnsi="Consolas"/>
          <w:color w:val="243B53"/>
          <w:sz w:val="18"/>
        </w:rPr>
        <w:t>├── productId</w:t>
      </w:r>
      <w:r>
        <w:br/>
      </w:r>
      <w:r>
        <w:rPr>
          <w:rFonts w:ascii="Consolas" w:hAnsi="Consolas"/>
          <w:color w:val="243B53"/>
          <w:sz w:val="18"/>
        </w:rPr>
        <w:t>└── stockCountId</w:t>
      </w:r>
      <w:r>
        <w:br/>
      </w:r>
      <w:r>
        <w:rPr>
          <w:rFonts w:ascii="Consolas" w:hAnsi="Consolas"/>
          <w:color w:val="243B53"/>
          <w:sz w:val="18"/>
        </w:rPr>
      </w:r>
      <w:r>
        <w:br/>
      </w:r>
      <w:r>
        <w:rPr>
          <w:rFonts w:ascii="Consolas" w:hAnsi="Consolas"/>
          <w:color w:val="243B53"/>
          <w:sz w:val="18"/>
        </w:rPr>
        <w:t>UNIQUE (organization_id, store_id, product_id)</w:t>
      </w:r>
    </w:p>
    <w:p>
      <w:r>
        <w:rPr>
          <w:rFonts w:ascii="Calibri" w:hAnsi="Calibri"/>
          <w:i w:val="0"/>
        </w:rPr>
        <w:t>Cette structure matérialise une contrainte de persistence, sans être un aggregate métier autonome. Elle est créée avec le snapshot et supprimée seulement à l’annulation autorisée ou à la finalisation complète.</w:t>
      </w:r>
    </w:p>
    <w:p>
      <w:pPr>
        <w:pStyle w:val="Heading2"/>
      </w:pPr>
      <w:r>
        <w:t>11.4 Saisie du comptage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Le mode `BLIND` est utilisé par défaut afin de réduire le biais d’ancrage; `GUIDED` peut être activé selon la politique de l’organization.</w:t>
            </w:r>
          </w:p>
        </w:tc>
      </w:tr>
    </w:tbl>
    <w:p>
      <w:pPr>
        <w:spacing w:after="0"/>
      </w:pPr>
    </w:p>
    <w:p>
      <w:pPr>
        <w:pStyle w:val="ListBullet"/>
        <w:spacing w:after="80"/>
      </w:pPr>
      <w:r>
        <w:rPr>
          <w:rFonts w:ascii="Calibri" w:hAnsi="Calibri"/>
        </w:rPr>
        <w:t>`countedQuantity &gt;= 0`; zéro est une valeur explicitement comptée.</w:t>
      </w:r>
    </w:p>
    <w:p>
      <w:pPr>
        <w:pStyle w:val="ListBullet"/>
        <w:spacing w:after="80"/>
      </w:pPr>
      <w:r>
        <w:rPr>
          <w:rFonts w:ascii="Calibri" w:hAnsi="Calibri"/>
        </w:rPr>
        <w:t>`null` signifie que la ligne n’a pas encore été comptée.</w:t>
      </w:r>
    </w:p>
    <w:p>
      <w:pPr>
        <w:pStyle w:val="ListBullet"/>
        <w:spacing w:after="80"/>
      </w:pPr>
      <w:r>
        <w:rPr>
          <w:rFonts w:ascii="Calibri" w:hAnsi="Calibri"/>
        </w:rPr>
        <w:t>Une saisie peut être corrigée tant que le statut est `OPEN`.</w:t>
      </w:r>
    </w:p>
    <w:p>
      <w:pPr>
        <w:pStyle w:val="ListBullet"/>
        <w:spacing w:after="80"/>
      </w:pPr>
      <w:r>
        <w:rPr>
          <w:rFonts w:ascii="Calibri" w:hAnsi="Calibri"/>
        </w:rPr>
        <w:t>Chaque ligne possède sa propre `version` et un compteur `revision`.</w:t>
      </w:r>
    </w:p>
    <w:p>
      <w:pPr>
        <w:pStyle w:val="ListBullet"/>
        <w:spacing w:after="80"/>
      </w:pPr>
      <w:r>
        <w:rPr>
          <w:rFonts w:ascii="Calibri" w:hAnsi="Calibri"/>
        </w:rPr>
        <w:t>La finalisation exige que toutes les lignes soient renseignées.</w:t>
      </w:r>
    </w:p>
    <w:p>
      <w:pPr>
        <w:pStyle w:val="Heading2"/>
      </w:pPr>
      <w:r>
        <w:t>11.5 Réconciliation par lots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 finalisation passe à `FINALIZING`, fige les saisies, puis réconcilie les lignes `PENDING` par lots transactionnels et idempotents.</w:t>
            </w:r>
          </w:p>
        </w:tc>
      </w:tr>
    </w:tbl>
    <w:p>
      <w:pPr>
        <w:spacing w:after="0"/>
      </w:pPr>
    </w:p>
    <w:p>
      <w:pPr>
        <w:pStyle w:val="CodeBlock"/>
        <w:keepLines/>
        <w:shd w:fill="F7F9FC"/>
      </w:pPr>
      <w:r>
        <w:rPr>
          <w:rFonts w:ascii="Consolas" w:hAnsi="Consolas"/>
          <w:color w:val="243B53"/>
          <w:sz w:val="18"/>
        </w:rPr>
        <w:t>Pour chaque StockCountLine PENDING :</w:t>
      </w:r>
      <w:r>
        <w:br/>
      </w:r>
      <w:r>
        <w:rPr>
          <w:rFonts w:ascii="Consolas" w:hAnsi="Consolas"/>
          <w:color w:val="243B53"/>
          <w:sz w:val="18"/>
        </w:rPr>
        <w:t xml:space="preserve">  vérifier Stock.quantityOnHand == expectedQuantity</w:t>
      </w:r>
      <w:r>
        <w:br/>
      </w:r>
      <w:r>
        <w:rPr>
          <w:rFonts w:ascii="Consolas" w:hAnsi="Consolas"/>
          <w:color w:val="243B53"/>
          <w:sz w:val="18"/>
        </w:rPr>
        <w:t xml:space="preserve">  variance = countedQuantity - expectedQuantity</w:t>
      </w:r>
      <w:r>
        <w:br/>
      </w:r>
      <w:r>
        <w:rPr>
          <w:rFonts w:ascii="Consolas" w:hAnsi="Consolas"/>
          <w:color w:val="243B53"/>
          <w:sz w:val="18"/>
        </w:rPr>
        <w:t xml:space="preserve">  appliquer Stock.reconcile(...)</w:t>
      </w:r>
      <w:r>
        <w:br/>
      </w:r>
      <w:r>
        <w:rPr>
          <w:rFonts w:ascii="Consolas" w:hAnsi="Consolas"/>
          <w:color w:val="243B53"/>
          <w:sz w:val="18"/>
        </w:rPr>
        <w:t xml:space="preserve">  créer un mouvement si variance != 0</w:t>
      </w:r>
      <w:r>
        <w:br/>
      </w:r>
      <w:r>
        <w:rPr>
          <w:rFonts w:ascii="Consolas" w:hAnsi="Consolas"/>
          <w:color w:val="243B53"/>
          <w:sz w:val="18"/>
        </w:rPr>
        <w:t xml:space="preserve">  passer la ligne à RECONCILED</w:t>
      </w:r>
    </w:p>
    <w:p>
      <w:r>
        <w:rPr>
          <w:rFonts w:ascii="Calibri" w:hAnsi="Calibri"/>
          <w:i w:val="0"/>
        </w:rPr>
        <w:t>Après un crash, seules les lignes encore `PENDING` sont reprises. Le comptage devient `COMPLETED` lorsqu’aucune ligne `PENDING` ne subsiste; les verrous sont alors libérés.</w:t>
      </w:r>
    </w:p>
    <w:p>
      <w:pPr>
        <w:pStyle w:val="Heading2"/>
      </w:pPr>
      <w:r>
        <w:t>11.6 Types de correction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type ambigu `STOCK_COUNT_CORRECTION` est remplacé afin que la direction reste entièrement dérivée du type de mouvement.</w:t>
            </w:r>
          </w:p>
        </w:tc>
      </w:tr>
    </w:tbl>
    <w:p>
      <w:pPr>
        <w:spacing w:after="0"/>
      </w:pPr>
    </w:p>
    <w:p>
      <w:pPr>
        <w:pStyle w:val="CodeBlock"/>
        <w:keepLines/>
        <w:shd w:fill="F7F9FC"/>
      </w:pPr>
      <w:r>
        <w:rPr>
          <w:rFonts w:ascii="Consolas" w:hAnsi="Consolas"/>
          <w:color w:val="243B53"/>
          <w:sz w:val="18"/>
        </w:rPr>
        <w:t>STOCK_COUNT_CORRECTION_IN</w:t>
      </w:r>
      <w:r>
        <w:br/>
      </w:r>
      <w:r>
        <w:rPr>
          <w:rFonts w:ascii="Consolas" w:hAnsi="Consolas"/>
          <w:color w:val="243B53"/>
          <w:sz w:val="18"/>
        </w:rPr>
        <w:t>STOCK_COUNT_CORRECTION_OUT</w:t>
      </w:r>
    </w:p>
    <w:p>
      <w:r>
        <w:rPr>
          <w:rFonts w:ascii="Calibri" w:hAnsi="Calibri"/>
          <w:i w:val="0"/>
        </w:rPr>
        <w:t>Une variance nulle ne modifie pas `Stock` et ne crée aucun mouvement. La ligne reste conservée comme preuve du comptage.</w:t>
      </w:r>
    </w:p>
    <w:p>
      <w:pPr>
        <w:pStyle w:val="Heading2"/>
      </w:pPr>
      <w:r>
        <w:t>11.7 Commands et events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tcMar>
              <w:top w:w="80" w:type="dxa"/>
              <w:start w:w="120" w:type="dxa"/>
              <w:bottom w:w="80" w:type="dxa"/>
              <w:end w:w="120" w:type="dxa"/>
            </w:tcMar>
            <w:shd w:fill="F2F4F7"/>
          </w:tcPr>
          <w:p>
            <w:r>
              <w:rPr>
                <w:rFonts w:ascii="Calibri" w:hAnsi="Calibri"/>
                <w:b/>
                <w:color w:val="1F4D78"/>
                <w:sz w:val="19"/>
              </w:rPr>
              <w:t>Commands</w:t>
            </w:r>
          </w:p>
        </w:tc>
        <w:tc>
          <w:tcPr>
            <w:tcW w:type="dxa" w:w="4680"/>
            <w:tcMar>
              <w:top w:w="80" w:type="dxa"/>
              <w:start w:w="120" w:type="dxa"/>
              <w:bottom w:w="80" w:type="dxa"/>
              <w:end w:w="120" w:type="dxa"/>
            </w:tcMar>
            <w:shd w:fill="F2F4F7"/>
          </w:tcPr>
          <w:p>
            <w:r>
              <w:rPr>
                <w:rFonts w:ascii="Calibri" w:hAnsi="Calibri"/>
                <w:b/>
                <w:color w:val="1F4D78"/>
                <w:sz w:val="19"/>
              </w:rPr>
              <w:t>Domain events</w:t>
            </w:r>
          </w:p>
        </w:tc>
      </w:tr>
      <w:tr>
        <w:tc>
          <w:tcPr>
            <w:tcW w:type="dxa" w:w="4680"/>
            <w:tcMar>
              <w:top w:w="80" w:type="dxa"/>
              <w:start w:w="120" w:type="dxa"/>
              <w:bottom w:w="80" w:type="dxa"/>
              <w:end w:w="120" w:type="dxa"/>
            </w:tcMar>
          </w:tcPr>
          <w:p>
            <w:r>
              <w:rPr>
                <w:rFonts w:ascii="Calibri" w:hAnsi="Calibri"/>
                <w:sz w:val="18"/>
              </w:rPr>
              <w:t>`CreateStockCount`</w:t>
            </w:r>
          </w:p>
        </w:tc>
        <w:tc>
          <w:tcPr>
            <w:tcW w:type="dxa" w:w="4680"/>
            <w:tcMar>
              <w:top w:w="80" w:type="dxa"/>
              <w:start w:w="120" w:type="dxa"/>
              <w:bottom w:w="80" w:type="dxa"/>
              <w:end w:w="120" w:type="dxa"/>
            </w:tcMar>
          </w:tcPr>
          <w:p>
            <w:r>
              <w:rPr>
                <w:rFonts w:ascii="Calibri" w:hAnsi="Calibri"/>
                <w:sz w:val="18"/>
              </w:rPr>
              <w:t>`StockCountCreated`</w:t>
            </w:r>
          </w:p>
        </w:tc>
      </w:tr>
      <w:tr>
        <w:tc>
          <w:tcPr>
            <w:tcW w:type="dxa" w:w="4680"/>
            <w:tcMar>
              <w:top w:w="80" w:type="dxa"/>
              <w:start w:w="120" w:type="dxa"/>
              <w:bottom w:w="80" w:type="dxa"/>
              <w:end w:w="120" w:type="dxa"/>
            </w:tcMar>
          </w:tcPr>
          <w:p>
            <w:r>
              <w:rPr>
                <w:rFonts w:ascii="Calibri" w:hAnsi="Calibri"/>
                <w:sz w:val="18"/>
              </w:rPr>
              <w:t>`StartStockCount`</w:t>
            </w:r>
          </w:p>
        </w:tc>
        <w:tc>
          <w:tcPr>
            <w:tcW w:type="dxa" w:w="4680"/>
            <w:tcMar>
              <w:top w:w="80" w:type="dxa"/>
              <w:start w:w="120" w:type="dxa"/>
              <w:bottom w:w="80" w:type="dxa"/>
              <w:end w:w="120" w:type="dxa"/>
            </w:tcMar>
          </w:tcPr>
          <w:p>
            <w:r>
              <w:rPr>
                <w:rFonts w:ascii="Calibri" w:hAnsi="Calibri"/>
                <w:sz w:val="18"/>
              </w:rPr>
              <w:t>`StockCountStarted`</w:t>
            </w:r>
          </w:p>
        </w:tc>
      </w:tr>
      <w:tr>
        <w:tc>
          <w:tcPr>
            <w:tcW w:type="dxa" w:w="4680"/>
            <w:tcMar>
              <w:top w:w="80" w:type="dxa"/>
              <w:start w:w="120" w:type="dxa"/>
              <w:bottom w:w="80" w:type="dxa"/>
              <w:end w:w="120" w:type="dxa"/>
            </w:tcMar>
          </w:tcPr>
          <w:p>
            <w:r>
              <w:rPr>
                <w:rFonts w:ascii="Calibri" w:hAnsi="Calibri"/>
                <w:sz w:val="18"/>
              </w:rPr>
              <w:t>`RecordStockCount` / `RecordStockCountBatch`</w:t>
            </w:r>
          </w:p>
        </w:tc>
        <w:tc>
          <w:tcPr>
            <w:tcW w:type="dxa" w:w="4680"/>
            <w:tcMar>
              <w:top w:w="80" w:type="dxa"/>
              <w:start w:w="120" w:type="dxa"/>
              <w:bottom w:w="80" w:type="dxa"/>
              <w:end w:w="120" w:type="dxa"/>
            </w:tcMar>
          </w:tcPr>
          <w:p>
            <w:r>
              <w:rPr>
                <w:rFonts w:ascii="Calibri" w:hAnsi="Calibri"/>
                <w:sz w:val="18"/>
              </w:rPr>
              <w:t>Audit de saisie si requis.</w:t>
            </w:r>
          </w:p>
        </w:tc>
      </w:tr>
      <w:tr>
        <w:tc>
          <w:tcPr>
            <w:tcW w:type="dxa" w:w="4680"/>
            <w:tcMar>
              <w:top w:w="80" w:type="dxa"/>
              <w:start w:w="120" w:type="dxa"/>
              <w:bottom w:w="80" w:type="dxa"/>
              <w:end w:w="120" w:type="dxa"/>
            </w:tcMar>
          </w:tcPr>
          <w:p>
            <w:r>
              <w:rPr>
                <w:rFonts w:ascii="Calibri" w:hAnsi="Calibri"/>
                <w:sz w:val="18"/>
              </w:rPr>
              <w:t>`BeginStockCountFinalization`</w:t>
            </w:r>
          </w:p>
        </w:tc>
        <w:tc>
          <w:tcPr>
            <w:tcW w:type="dxa" w:w="4680"/>
            <w:tcMar>
              <w:top w:w="80" w:type="dxa"/>
              <w:start w:w="120" w:type="dxa"/>
              <w:bottom w:w="80" w:type="dxa"/>
              <w:end w:w="120" w:type="dxa"/>
            </w:tcMar>
          </w:tcPr>
          <w:p>
            <w:r>
              <w:rPr>
                <w:rFonts w:ascii="Calibri" w:hAnsi="Calibri"/>
                <w:sz w:val="18"/>
              </w:rPr>
              <w:t>`StockCountFinalizationStarted`</w:t>
            </w:r>
          </w:p>
        </w:tc>
      </w:tr>
      <w:tr>
        <w:tc>
          <w:tcPr>
            <w:tcW w:type="dxa" w:w="4680"/>
            <w:tcMar>
              <w:top w:w="80" w:type="dxa"/>
              <w:start w:w="120" w:type="dxa"/>
              <w:bottom w:w="80" w:type="dxa"/>
              <w:end w:w="120" w:type="dxa"/>
            </w:tcMar>
          </w:tcPr>
          <w:p>
            <w:r>
              <w:rPr>
                <w:rFonts w:ascii="Calibri" w:hAnsi="Calibri"/>
                <w:sz w:val="18"/>
              </w:rPr>
              <w:t>`ReconcileStockCountBatch`</w:t>
            </w:r>
          </w:p>
        </w:tc>
        <w:tc>
          <w:tcPr>
            <w:tcW w:type="dxa" w:w="4680"/>
            <w:tcMar>
              <w:top w:w="80" w:type="dxa"/>
              <w:start w:w="120" w:type="dxa"/>
              <w:bottom w:w="80" w:type="dxa"/>
              <w:end w:w="120" w:type="dxa"/>
            </w:tcMar>
          </w:tcPr>
          <w:p>
            <w:r>
              <w:rPr>
                <w:rFonts w:ascii="Calibri" w:hAnsi="Calibri"/>
                <w:sz w:val="18"/>
              </w:rPr>
              <w:t>Traitement interne idempotent.</w:t>
            </w:r>
          </w:p>
        </w:tc>
      </w:tr>
      <w:tr>
        <w:tc>
          <w:tcPr>
            <w:tcW w:type="dxa" w:w="4680"/>
            <w:tcMar>
              <w:top w:w="80" w:type="dxa"/>
              <w:start w:w="120" w:type="dxa"/>
              <w:bottom w:w="80" w:type="dxa"/>
              <w:end w:w="120" w:type="dxa"/>
            </w:tcMar>
          </w:tcPr>
          <w:p>
            <w:r>
              <w:rPr>
                <w:rFonts w:ascii="Calibri" w:hAnsi="Calibri"/>
                <w:sz w:val="18"/>
              </w:rPr>
              <w:t>`CompleteStockCountFinalization`</w:t>
            </w:r>
          </w:p>
        </w:tc>
        <w:tc>
          <w:tcPr>
            <w:tcW w:type="dxa" w:w="4680"/>
            <w:tcMar>
              <w:top w:w="80" w:type="dxa"/>
              <w:start w:w="120" w:type="dxa"/>
              <w:bottom w:w="80" w:type="dxa"/>
              <w:end w:w="120" w:type="dxa"/>
            </w:tcMar>
          </w:tcPr>
          <w:p>
            <w:r>
              <w:rPr>
                <w:rFonts w:ascii="Calibri" w:hAnsi="Calibri"/>
                <w:sz w:val="18"/>
              </w:rPr>
              <w:t>`StockCountCompleted`</w:t>
            </w:r>
          </w:p>
        </w:tc>
      </w:tr>
      <w:tr>
        <w:tc>
          <w:tcPr>
            <w:tcW w:type="dxa" w:w="4680"/>
            <w:tcMar>
              <w:top w:w="80" w:type="dxa"/>
              <w:start w:w="120" w:type="dxa"/>
              <w:bottom w:w="80" w:type="dxa"/>
              <w:end w:w="120" w:type="dxa"/>
            </w:tcMar>
          </w:tcPr>
          <w:p>
            <w:r>
              <w:rPr>
                <w:rFonts w:ascii="Calibri" w:hAnsi="Calibri"/>
                <w:sz w:val="18"/>
              </w:rPr>
              <w:t>`CancelStockCount`</w:t>
            </w:r>
          </w:p>
        </w:tc>
        <w:tc>
          <w:tcPr>
            <w:tcW w:type="dxa" w:w="4680"/>
            <w:tcMar>
              <w:top w:w="80" w:type="dxa"/>
              <w:start w:w="120" w:type="dxa"/>
              <w:bottom w:w="80" w:type="dxa"/>
              <w:end w:w="120" w:type="dxa"/>
            </w:tcMar>
          </w:tcPr>
          <w:p>
            <w:r>
              <w:rPr>
                <w:rFonts w:ascii="Calibri" w:hAnsi="Calibri"/>
                <w:sz w:val="18"/>
              </w:rPr>
              <w:t>`StockCountCancelled`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`maximumOpenDuration` signale un comptage trop long sans l’annuler automatiquement. L’event final contient un résumé; les détails restent dans `StockCountLine` et `StockMovement`.</w:t>
            </w:r>
          </w:p>
        </w:tc>
      </w:tr>
    </w:tbl>
    <w:p>
      <w:pPr>
        <w:spacing w:after="0"/>
      </w:pPr>
    </w:p>
    <w:p>
      <w:pPr>
        <w:pStyle w:val="Heading1"/>
      </w:pPr>
      <w:r>
        <w:t>12. Purchasing</w:t>
      </w:r>
    </w:p>
    <w:p>
      <w:pPr>
        <w:pStyle w:val="Heading2"/>
      </w:pPr>
      <w:r>
        <w:t>12.1 Responsabilité et aggregates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`Purchasing` possède le cycle commercial des commandes et réceptions fournisseurs. `Inventory` reste l’autorité sur les quantités physiques et les mouvements.</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shd w:fill="F2F4F7"/>
          </w:tcPr>
          <w:p>
            <w:r>
              <w:rPr>
                <w:rFonts w:ascii="Calibri" w:hAnsi="Calibri"/>
                <w:b/>
                <w:color w:val="1F4D78"/>
                <w:sz w:val="19"/>
              </w:rPr>
              <w:t>Aggregate</w:t>
            </w:r>
          </w:p>
        </w:tc>
        <w:tc>
          <w:tcPr>
            <w:tcW w:type="dxa" w:w="6360"/>
            <w:tcMar>
              <w:top w:w="80" w:type="dxa"/>
              <w:start w:w="120" w:type="dxa"/>
              <w:bottom w:w="80" w:type="dxa"/>
              <w:end w:w="120" w:type="dxa"/>
            </w:tcMar>
            <w:shd w:fill="F2F4F7"/>
          </w:tcPr>
          <w:p>
            <w:r>
              <w:rPr>
                <w:rFonts w:ascii="Calibri" w:hAnsi="Calibri"/>
                <w:b/>
                <w:color w:val="1F4D78"/>
                <w:sz w:val="19"/>
              </w:rPr>
              <w:t>Responsabilité</w:t>
            </w:r>
          </w:p>
        </w:tc>
      </w:tr>
      <w:tr>
        <w:tc>
          <w:tcPr>
            <w:tcW w:type="dxa" w:w="3000"/>
            <w:tcMar>
              <w:top w:w="80" w:type="dxa"/>
              <w:start w:w="120" w:type="dxa"/>
              <w:bottom w:w="80" w:type="dxa"/>
              <w:end w:w="120" w:type="dxa"/>
            </w:tcMar>
          </w:tcPr>
          <w:p>
            <w:r>
              <w:rPr>
                <w:rFonts w:ascii="Calibri" w:hAnsi="Calibri"/>
                <w:sz w:val="18"/>
              </w:rPr>
              <w:t>`PurchaseOrder`</w:t>
            </w:r>
          </w:p>
        </w:tc>
        <w:tc>
          <w:tcPr>
            <w:tcW w:type="dxa" w:w="6360"/>
            <w:tcMar>
              <w:top w:w="80" w:type="dxa"/>
              <w:start w:w="120" w:type="dxa"/>
              <w:bottom w:w="80" w:type="dxa"/>
              <w:end w:w="120" w:type="dxa"/>
            </w:tcMar>
          </w:tcPr>
          <w:p>
            <w:r>
              <w:rPr>
                <w:rFonts w:ascii="Calibri" w:hAnsi="Calibri"/>
                <w:sz w:val="18"/>
              </w:rPr>
              <w:t>Commande, fournisseur, store destination, quantités commandées, prix et cumul reçu.</w:t>
            </w:r>
          </w:p>
        </w:tc>
      </w:tr>
      <w:tr>
        <w:tc>
          <w:tcPr>
            <w:tcW w:type="dxa" w:w="3000"/>
            <w:tcMar>
              <w:top w:w="80" w:type="dxa"/>
              <w:start w:w="120" w:type="dxa"/>
              <w:bottom w:w="80" w:type="dxa"/>
              <w:end w:w="120" w:type="dxa"/>
            </w:tcMar>
          </w:tcPr>
          <w:p>
            <w:r>
              <w:rPr>
                <w:rFonts w:ascii="Calibri" w:hAnsi="Calibri"/>
                <w:sz w:val="18"/>
              </w:rPr>
              <w:t>`GoodsReceipt`</w:t>
            </w:r>
          </w:p>
        </w:tc>
        <w:tc>
          <w:tcPr>
            <w:tcW w:type="dxa" w:w="6360"/>
            <w:tcMar>
              <w:top w:w="80" w:type="dxa"/>
              <w:start w:w="120" w:type="dxa"/>
              <w:bottom w:w="80" w:type="dxa"/>
              <w:end w:w="120" w:type="dxa"/>
            </w:tcMar>
          </w:tcPr>
          <w:p>
            <w:r>
              <w:rPr>
                <w:rFonts w:ascii="Calibri" w:hAnsi="Calibri"/>
                <w:sz w:val="18"/>
              </w:rPr>
              <w:t>Document de réception physique, lié ou non à une commande.</w:t>
            </w:r>
          </w:p>
        </w:tc>
      </w:tr>
      <w:tr>
        <w:tc>
          <w:tcPr>
            <w:tcW w:type="dxa" w:w="3000"/>
            <w:tcMar>
              <w:top w:w="80" w:type="dxa"/>
              <w:start w:w="120" w:type="dxa"/>
              <w:bottom w:w="80" w:type="dxa"/>
              <w:end w:w="120" w:type="dxa"/>
            </w:tcMar>
          </w:tcPr>
          <w:p>
            <w:r>
              <w:rPr>
                <w:rFonts w:ascii="Calibri" w:hAnsi="Calibri"/>
                <w:sz w:val="18"/>
              </w:rPr>
              <w:t>`PurchaseReturn`</w:t>
            </w:r>
          </w:p>
        </w:tc>
        <w:tc>
          <w:tcPr>
            <w:tcW w:type="dxa" w:w="6360"/>
            <w:tcMar>
              <w:top w:w="80" w:type="dxa"/>
              <w:start w:w="120" w:type="dxa"/>
              <w:bottom w:w="80" w:type="dxa"/>
              <w:end w:w="120" w:type="dxa"/>
            </w:tcMar>
          </w:tcPr>
          <w:p>
            <w:r>
              <w:rPr>
                <w:rFonts w:ascii="Calibri" w:hAnsi="Calibri"/>
                <w:sz w:val="18"/>
              </w:rPr>
              <w:t>Retour physique de marchandises au fournisseur.</w:t>
            </w:r>
          </w:p>
        </w:tc>
      </w:tr>
      <w:tr>
        <w:tc>
          <w:tcPr>
            <w:tcW w:type="dxa" w:w="3000"/>
            <w:tcMar>
              <w:top w:w="80" w:type="dxa"/>
              <w:start w:w="120" w:type="dxa"/>
              <w:bottom w:w="80" w:type="dxa"/>
              <w:end w:w="120" w:type="dxa"/>
            </w:tcMar>
          </w:tcPr>
          <w:p>
            <w:r>
              <w:rPr>
                <w:rFonts w:ascii="Calibri" w:hAnsi="Calibri"/>
                <w:sz w:val="18"/>
              </w:rPr>
              <w:t>`GoodsReceiptCorrection`</w:t>
            </w:r>
          </w:p>
        </w:tc>
        <w:tc>
          <w:tcPr>
            <w:tcW w:type="dxa" w:w="6360"/>
            <w:tcMar>
              <w:top w:w="80" w:type="dxa"/>
              <w:start w:w="120" w:type="dxa"/>
              <w:bottom w:w="80" w:type="dxa"/>
              <w:end w:w="120" w:type="dxa"/>
            </w:tcMar>
          </w:tcPr>
          <w:p>
            <w:r>
              <w:rPr>
                <w:rFonts w:ascii="Calibri" w:hAnsi="Calibri"/>
                <w:sz w:val="18"/>
              </w:rPr>
              <w:t>Correction compensatoire d’une erreur sur une réception publiée.</w:t>
            </w:r>
          </w:p>
        </w:tc>
      </w:tr>
    </w:tbl>
    <w:p>
      <w:pPr>
        <w:spacing w:after="0"/>
      </w:pPr>
    </w:p>
    <w:p>
      <w:r>
        <w:rPr>
          <w:rFonts w:ascii="Calibri" w:hAnsi="Calibri"/>
          <w:i w:val="0"/>
        </w:rPr>
        <w:t>`PurchaseOrder` et `GoodsReceipt` sont distincts : une commande accepte plusieurs réceptions partielles. Une réception directe sans commande est autorisée par défaut, sous contrôle de `PurchasingPolicy.purchaseOrderRequiredForReceipt`.</w:t>
      </w:r>
    </w:p>
    <w:p>
      <w:pPr>
        <w:pStyle w:val="Heading2"/>
      </w:pPr>
      <w:r>
        <w:t>12.2 PurchaseOrder</w:t>
      </w:r>
    </w:p>
    <w:p>
      <w:pPr>
        <w:pStyle w:val="CodeBlock"/>
        <w:keepLines/>
        <w:shd w:fill="F7F9FC"/>
      </w:pPr>
      <w:r>
        <w:rPr>
          <w:rFonts w:ascii="Consolas" w:hAnsi="Consolas"/>
          <w:color w:val="243B53"/>
          <w:sz w:val="18"/>
        </w:rPr>
        <w:t>PurchaseOrder</w:t>
      </w:r>
      <w:r>
        <w:br/>
      </w:r>
      <w:r>
        <w:rPr>
          <w:rFonts w:ascii="Consolas" w:hAnsi="Consolas"/>
          <w:color w:val="243B53"/>
          <w:sz w:val="18"/>
        </w:rPr>
        <w:t>├── PurchaseOrderId, OrganizationId</w:t>
      </w:r>
      <w:r>
        <w:br/>
      </w:r>
      <w:r>
        <w:rPr>
          <w:rFonts w:ascii="Consolas" w:hAnsi="Consolas"/>
          <w:color w:val="243B53"/>
          <w:sz w:val="18"/>
        </w:rPr>
        <w:t>├── destinationStoreId, supplierId, number</w:t>
      </w:r>
      <w:r>
        <w:br/>
      </w:r>
      <w:r>
        <w:rPr>
          <w:rFonts w:ascii="Consolas" w:hAnsi="Consolas"/>
          <w:color w:val="243B53"/>
          <w:sz w:val="18"/>
        </w:rPr>
        <w:t>├── status, currency, lines[]</w:t>
      </w:r>
      <w:r>
        <w:br/>
      </w:r>
      <w:r>
        <w:rPr>
          <w:rFonts w:ascii="Consolas" w:hAnsi="Consolas"/>
          <w:color w:val="243B53"/>
          <w:sz w:val="18"/>
        </w:rPr>
        <w:t>├── expectedTotal</w:t>
      </w:r>
      <w:r>
        <w:br/>
      </w:r>
      <w:r>
        <w:rPr>
          <w:rFonts w:ascii="Consolas" w:hAnsi="Consolas"/>
          <w:color w:val="243B53"/>
          <w:sz w:val="18"/>
        </w:rPr>
        <w:t>├── actors and timestamps</w:t>
      </w:r>
      <w:r>
        <w:br/>
      </w:r>
      <w:r>
        <w:rPr>
          <w:rFonts w:ascii="Consolas" w:hAnsi="Consolas"/>
          <w:color w:val="243B53"/>
          <w:sz w:val="18"/>
        </w:rPr>
        <w:t>└── Version version</w:t>
      </w:r>
      <w:r>
        <w:br/>
      </w:r>
      <w:r>
        <w:rPr>
          <w:rFonts w:ascii="Consolas" w:hAnsi="Consolas"/>
          <w:color w:val="243B53"/>
          <w:sz w:val="18"/>
        </w:rPr>
      </w:r>
      <w:r>
        <w:br/>
      </w:r>
      <w:r>
        <w:rPr>
          <w:rFonts w:ascii="Consolas" w:hAnsi="Consolas"/>
          <w:color w:val="243B53"/>
          <w:sz w:val="18"/>
        </w:rPr>
        <w:t>PurchaseOrderLine</w:t>
      </w:r>
      <w:r>
        <w:br/>
      </w:r>
      <w:r>
        <w:rPr>
          <w:rFonts w:ascii="Consolas" w:hAnsi="Consolas"/>
          <w:color w:val="243B53"/>
          <w:sz w:val="18"/>
        </w:rPr>
        <w:t>├── ProductId productId</w:t>
      </w:r>
      <w:r>
        <w:br/>
      </w:r>
      <w:r>
        <w:rPr>
          <w:rFonts w:ascii="Consolas" w:hAnsi="Consolas"/>
          <w:color w:val="243B53"/>
          <w:sz w:val="18"/>
        </w:rPr>
        <w:t>├── MovementQuantity orderedQuantity</w:t>
      </w:r>
      <w:r>
        <w:br/>
      </w:r>
      <w:r>
        <w:rPr>
          <w:rFonts w:ascii="Consolas" w:hAnsi="Consolas"/>
          <w:color w:val="243B53"/>
          <w:sz w:val="18"/>
        </w:rPr>
        <w:t>├── Money unitCost</w:t>
      </w:r>
      <w:r>
        <w:br/>
      </w:r>
      <w:r>
        <w:rPr>
          <w:rFonts w:ascii="Consolas" w:hAnsi="Consolas"/>
          <w:color w:val="243B53"/>
          <w:sz w:val="18"/>
        </w:rPr>
        <w:t>└── StockQuantity receivedQuantity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workflow MVP est `DRAFT → CONFIRMED → PARTIALLY_RECEIVED/FULLY_RECEIVED → CLOSED`, avec `CANCELLED` avant toute réception.</w:t>
            </w:r>
          </w:p>
        </w:tc>
      </w:tr>
    </w:tbl>
    <w:p>
      <w:pPr>
        <w:spacing w:after="0"/>
      </w:pPr>
    </w:p>
    <w:p>
      <w:pPr>
        <w:pStyle w:val="ListBullet"/>
        <w:spacing w:after="80"/>
      </w:pPr>
      <w:r>
        <w:rPr>
          <w:rFonts w:ascii="Calibri" w:hAnsi="Calibri"/>
        </w:rPr>
        <w:t>Une commande utilise une seule devise.</w:t>
      </w:r>
    </w:p>
    <w:p>
      <w:pPr>
        <w:pStyle w:val="ListBullet"/>
        <w:spacing w:after="80"/>
      </w:pPr>
      <w:r>
        <w:rPr>
          <w:rFonts w:ascii="Calibri" w:hAnsi="Calibri"/>
        </w:rPr>
        <w:t>Un produit apparaît au maximum une fois par commande.</w:t>
      </w:r>
    </w:p>
    <w:p>
      <w:pPr>
        <w:pStyle w:val="ListBullet"/>
        <w:spacing w:after="80"/>
      </w:pPr>
      <w:r>
        <w:rPr>
          <w:rFonts w:ascii="Calibri" w:hAnsi="Calibri"/>
        </w:rPr>
        <w:t>Après `CONFIRMED`, les lignes, prix, fournisseur et store sont figés.</w:t>
      </w:r>
    </w:p>
    <w:p>
      <w:pPr>
        <w:pStyle w:val="ListBullet"/>
        <w:spacing w:after="80"/>
      </w:pPr>
      <w:r>
        <w:rPr>
          <w:rFonts w:ascii="Calibri" w:hAnsi="Calibri"/>
        </w:rPr>
        <w:t>`receivedQuantity` est un cumul transactionnel persisté.</w:t>
      </w:r>
    </w:p>
    <w:p>
      <w:pPr>
        <w:pStyle w:val="ListBullet"/>
        <w:spacing w:after="80"/>
      </w:pPr>
      <w:r>
        <w:rPr>
          <w:rFonts w:ascii="Calibri" w:hAnsi="Calibri"/>
        </w:rPr>
        <w:t>Une commande partiellement reçue peut être clôturée avec une raison obligatoire.</w:t>
      </w:r>
    </w:p>
    <w:p>
      <w:pPr>
        <w:pStyle w:val="ListBullet"/>
        <w:spacing w:after="80"/>
      </w:pPr>
      <w:r>
        <w:rPr>
          <w:rFonts w:ascii="Calibri" w:hAnsi="Calibri"/>
        </w:rPr>
        <w:t>Une commande ayant reçu des marchandises ne peut plus être annulée.</w:t>
      </w:r>
    </w:p>
    <w:p>
      <w:pPr>
        <w:pStyle w:val="Heading2"/>
      </w:pPr>
      <w:r>
        <w:t>12.3 GoodsReceipt</w:t>
      </w:r>
    </w:p>
    <w:p>
      <w:pPr>
        <w:pStyle w:val="CodeBlock"/>
        <w:keepLines/>
        <w:shd w:fill="F7F9FC"/>
      </w:pPr>
      <w:r>
        <w:rPr>
          <w:rFonts w:ascii="Consolas" w:hAnsi="Consolas"/>
          <w:color w:val="243B53"/>
          <w:sz w:val="18"/>
        </w:rPr>
        <w:t>GoodsReceipt</w:t>
      </w:r>
      <w:r>
        <w:br/>
      </w:r>
      <w:r>
        <w:rPr>
          <w:rFonts w:ascii="Consolas" w:hAnsi="Consolas"/>
          <w:color w:val="243B53"/>
          <w:sz w:val="18"/>
        </w:rPr>
        <w:t>├── GoodsReceiptId, OrganizationId</w:t>
      </w:r>
      <w:r>
        <w:br/>
      </w:r>
      <w:r>
        <w:rPr>
          <w:rFonts w:ascii="Consolas" w:hAnsi="Consolas"/>
          <w:color w:val="243B53"/>
          <w:sz w:val="18"/>
        </w:rPr>
        <w:t>├── storeId, supplierId, purchaseOrderId?</w:t>
      </w:r>
      <w:r>
        <w:br/>
      </w:r>
      <w:r>
        <w:rPr>
          <w:rFonts w:ascii="Consolas" w:hAnsi="Consolas"/>
          <w:color w:val="243B53"/>
          <w:sz w:val="18"/>
        </w:rPr>
        <w:t>├── number, status, lines[]</w:t>
      </w:r>
      <w:r>
        <w:br/>
      </w:r>
      <w:r>
        <w:rPr>
          <w:rFonts w:ascii="Consolas" w:hAnsi="Consolas"/>
          <w:color w:val="243B53"/>
          <w:sz w:val="18"/>
        </w:rPr>
        <w:t>├── supplierDeliveryNote?, notes?</w:t>
      </w:r>
      <w:r>
        <w:br/>
      </w:r>
      <w:r>
        <w:rPr>
          <w:rFonts w:ascii="Consolas" w:hAnsi="Consolas"/>
          <w:color w:val="243B53"/>
          <w:sz w:val="18"/>
        </w:rPr>
        <w:t>├── actors and timestamps</w:t>
      </w:r>
      <w:r>
        <w:br/>
      </w:r>
      <w:r>
        <w:rPr>
          <w:rFonts w:ascii="Consolas" w:hAnsi="Consolas"/>
          <w:color w:val="243B53"/>
          <w:sz w:val="18"/>
        </w:rPr>
        <w:t>└── Version version</w:t>
      </w:r>
      <w:r>
        <w:br/>
      </w:r>
      <w:r>
        <w:rPr>
          <w:rFonts w:ascii="Consolas" w:hAnsi="Consolas"/>
          <w:color w:val="243B53"/>
          <w:sz w:val="18"/>
        </w:rPr>
      </w:r>
      <w:r>
        <w:br/>
      </w:r>
      <w:r>
        <w:rPr>
          <w:rFonts w:ascii="Consolas" w:hAnsi="Consolas"/>
          <w:color w:val="243B53"/>
          <w:sz w:val="18"/>
        </w:rPr>
        <w:t>GoodsReceiptLine</w:t>
      </w:r>
      <w:r>
        <w:br/>
      </w:r>
      <w:r>
        <w:rPr>
          <w:rFonts w:ascii="Consolas" w:hAnsi="Consolas"/>
          <w:color w:val="243B53"/>
          <w:sz w:val="18"/>
        </w:rPr>
        <w:t>├── ProductId productId</w:t>
      </w:r>
      <w:r>
        <w:br/>
      </w:r>
      <w:r>
        <w:rPr>
          <w:rFonts w:ascii="Consolas" w:hAnsi="Consolas"/>
          <w:color w:val="243B53"/>
          <w:sz w:val="18"/>
        </w:rPr>
        <w:t>├── MovementQuantity receivedQuantity</w:t>
      </w:r>
      <w:r>
        <w:br/>
      </w:r>
      <w:r>
        <w:rPr>
          <w:rFonts w:ascii="Consolas" w:hAnsi="Consolas"/>
          <w:color w:val="243B53"/>
          <w:sz w:val="18"/>
        </w:rPr>
        <w:t>├── actualUnitCost?</w:t>
      </w:r>
      <w:r>
        <w:br/>
      </w:r>
      <w:r>
        <w:rPr>
          <w:rFonts w:ascii="Consolas" w:hAnsi="Consolas"/>
          <w:color w:val="243B53"/>
          <w:sz w:val="18"/>
        </w:rPr>
        <w:t>└── purchaseOrderLineId?</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cycle est `DRAFT → POSTED` ou `DRAFT → CANCELLED`. Une réception `POSTED` est immuable.</w:t>
            </w:r>
          </w:p>
        </w:tc>
      </w:tr>
    </w:tbl>
    <w:p>
      <w:pPr>
        <w:spacing w:after="0"/>
      </w:pPr>
    </w:p>
    <w:p>
      <w:r>
        <w:rPr>
          <w:rFonts w:ascii="Calibri" w:hAnsi="Calibri"/>
          <w:i w:val="0"/>
        </w:rPr>
        <w:t>Une réception liée ne contient que des produits présents dans la commande. Les produits supplémentaires passent par une réception directe séparée et justifiée.</w:t>
      </w:r>
    </w:p>
    <w:p>
      <w:pPr>
        <w:pStyle w:val="Heading3"/>
      </w:pPr>
      <w:r>
        <w:t>PostGoodsReceipt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 publication est atomique pour toutes les lignes et coordonne `GoodsReceipt`, `PurchaseOrder`, `Stock`, `StockMovement` et l’outbox dans une même transaction locale.</w:t>
            </w:r>
          </w:p>
        </w:tc>
      </w:tr>
    </w:tbl>
    <w:p>
      <w:pPr>
        <w:spacing w:after="0"/>
      </w:pPr>
    </w:p>
    <w:p>
      <w:pPr>
        <w:pStyle w:val="CodeBlock"/>
        <w:keepLines/>
        <w:shd w:fill="F7F9FC"/>
      </w:pPr>
      <w:r>
        <w:rPr>
          <w:rFonts w:ascii="Consolas" w:hAnsi="Consolas"/>
          <w:color w:val="243B53"/>
          <w:sz w:val="18"/>
        </w:rPr>
        <w:t>BEGIN</w:t>
      </w:r>
      <w:r>
        <w:br/>
      </w:r>
      <w:r>
        <w:rPr>
          <w:rFonts w:ascii="Consolas" w:hAnsi="Consolas"/>
          <w:color w:val="243B53"/>
          <w:sz w:val="18"/>
        </w:rPr>
        <w:t xml:space="preserve">  validate GoodsReceipt and optional PurchaseOrder</w:t>
      </w:r>
      <w:r>
        <w:br/>
      </w:r>
      <w:r>
        <w:rPr>
          <w:rFonts w:ascii="Consolas" w:hAnsi="Consolas"/>
          <w:color w:val="243B53"/>
          <w:sz w:val="18"/>
        </w:rPr>
        <w:t xml:space="preserve">  receive/create Stock for every line</w:t>
      </w:r>
      <w:r>
        <w:br/>
      </w:r>
      <w:r>
        <w:rPr>
          <w:rFonts w:ascii="Consolas" w:hAnsi="Consolas"/>
          <w:color w:val="243B53"/>
          <w:sz w:val="18"/>
        </w:rPr>
        <w:t xml:space="preserve">  insert PURCHASE_RECEIPT movements</w:t>
      </w:r>
      <w:r>
        <w:br/>
      </w:r>
      <w:r>
        <w:rPr>
          <w:rFonts w:ascii="Consolas" w:hAnsi="Consolas"/>
          <w:color w:val="243B53"/>
          <w:sz w:val="18"/>
        </w:rPr>
        <w:t xml:space="preserve">  update PurchaseOrderLine.receivedQuantity and status</w:t>
      </w:r>
      <w:r>
        <w:br/>
      </w:r>
      <w:r>
        <w:rPr>
          <w:rFonts w:ascii="Consolas" w:hAnsi="Consolas"/>
          <w:color w:val="243B53"/>
          <w:sz w:val="18"/>
        </w:rPr>
        <w:t xml:space="preserve">  set GoodsReceipt = POSTED</w:t>
      </w:r>
      <w:r>
        <w:br/>
      </w:r>
      <w:r>
        <w:rPr>
          <w:rFonts w:ascii="Consolas" w:hAnsi="Consolas"/>
          <w:color w:val="243B53"/>
          <w:sz w:val="18"/>
        </w:rPr>
        <w:t xml:space="preserve">  insert OutboxMessage</w:t>
      </w:r>
      <w:r>
        <w:br/>
      </w:r>
      <w:r>
        <w:rPr>
          <w:rFonts w:ascii="Consolas" w:hAnsi="Consolas"/>
          <w:color w:val="243B53"/>
          <w:sz w:val="18"/>
        </w:rPr>
        <w:t>COMMIT</w:t>
      </w:r>
    </w:p>
    <w:p>
      <w:r>
        <w:rPr>
          <w:rFonts w:ascii="Calibri" w:hAnsi="Calibri"/>
          <w:i w:val="0"/>
        </w:rPr>
        <w:t>Le respect des bounded contexts est assuré par une `Inventory.Application API`; `Purchasing` n’accède jamais directement à `StockRepository`. Si un produit est bloqué par `StockCount`, toute la publication échoue sans effet partiel.</w:t>
      </w:r>
    </w:p>
    <w:p>
      <w:pPr>
        <w:pStyle w:val="Heading2"/>
      </w:pPr>
      <w:r>
        <w:t>12.4 Dépassement de réception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dépassement est interdit par défaut. Il exige `PURCHASING_OVER_RECEIPT`, une raison et l’identité de l’autorisateur. La quantité physique réellement reçue reste enregistrée.</w:t>
            </w:r>
          </w:p>
        </w:tc>
      </w:tr>
    </w:tbl>
    <w:p>
      <w:pPr>
        <w:spacing w:after="0"/>
      </w:pPr>
    </w:p>
    <w:p>
      <w:pPr>
        <w:pStyle w:val="CodeBlock"/>
        <w:keepLines/>
        <w:shd w:fill="F7F9FC"/>
      </w:pPr>
      <w:r>
        <w:rPr>
          <w:rFonts w:ascii="Consolas" w:hAnsi="Consolas"/>
          <w:color w:val="243B53"/>
          <w:sz w:val="18"/>
        </w:rPr>
        <w:t>cumulativeReceivedQuantity &lt;= orderedQuantity</w:t>
      </w:r>
      <w:r>
        <w:br/>
      </w:r>
      <w:r>
        <w:rPr>
          <w:rFonts w:ascii="Consolas" w:hAnsi="Consolas"/>
          <w:color w:val="243B53"/>
          <w:sz w:val="18"/>
        </w:rPr>
      </w:r>
      <w:r>
        <w:br/>
      </w:r>
      <w:r>
        <w:rPr>
          <w:rFonts w:ascii="Consolas" w:hAnsi="Consolas"/>
          <w:color w:val="243B53"/>
          <w:sz w:val="18"/>
        </w:rPr>
        <w:t>sauf autorisation explicite selon PurchasingPolicy</w:t>
      </w:r>
    </w:p>
    <w:p>
      <w:pPr>
        <w:pStyle w:val="Heading2"/>
      </w:pPr>
      <w:r>
        <w:t>12.5 PurchaseReturn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`PurchaseReturn` représente uniquement un retour physique de marchandises du store vers le fournisseur; il ne corrige pas une erreur documentaire.</w:t>
            </w:r>
          </w:p>
        </w:tc>
      </w:tr>
    </w:tbl>
    <w:p>
      <w:pPr>
        <w:spacing w:after="0"/>
      </w:pPr>
    </w:p>
    <w:p>
      <w:pPr>
        <w:pStyle w:val="CodeBlock"/>
        <w:keepLines/>
        <w:shd w:fill="F7F9FC"/>
      </w:pPr>
      <w:r>
        <w:rPr>
          <w:rFonts w:ascii="Consolas" w:hAnsi="Consolas"/>
          <w:color w:val="243B53"/>
          <w:sz w:val="18"/>
        </w:rPr>
        <w:t>PurchaseReturn</w:t>
      </w:r>
      <w:r>
        <w:br/>
      </w:r>
      <w:r>
        <w:rPr>
          <w:rFonts w:ascii="Consolas" w:hAnsi="Consolas"/>
          <w:color w:val="243B53"/>
          <w:sz w:val="18"/>
        </w:rPr>
        <w:t>├── PurchaseReturnId, OrganizationId</w:t>
      </w:r>
      <w:r>
        <w:br/>
      </w:r>
      <w:r>
        <w:rPr>
          <w:rFonts w:ascii="Consolas" w:hAnsi="Consolas"/>
          <w:color w:val="243B53"/>
          <w:sz w:val="18"/>
        </w:rPr>
        <w:t>├── sourceStoreId, supplierId</w:t>
      </w:r>
      <w:r>
        <w:br/>
      </w:r>
      <w:r>
        <w:rPr>
          <w:rFonts w:ascii="Consolas" w:hAnsi="Consolas"/>
          <w:color w:val="243B53"/>
          <w:sz w:val="18"/>
        </w:rPr>
        <w:t>├── goodsReceiptId?, purchaseOrderId?</w:t>
      </w:r>
      <w:r>
        <w:br/>
      </w:r>
      <w:r>
        <w:rPr>
          <w:rFonts w:ascii="Consolas" w:hAnsi="Consolas"/>
          <w:color w:val="243B53"/>
          <w:sz w:val="18"/>
        </w:rPr>
        <w:t>├── status, reason, lines[]</w:t>
      </w:r>
      <w:r>
        <w:br/>
      </w:r>
      <w:r>
        <w:rPr>
          <w:rFonts w:ascii="Consolas" w:hAnsi="Consolas"/>
          <w:color w:val="243B53"/>
          <w:sz w:val="18"/>
        </w:rPr>
        <w:t>├── actors and timestamps</w:t>
      </w:r>
      <w:r>
        <w:br/>
      </w:r>
      <w:r>
        <w:rPr>
          <w:rFonts w:ascii="Consolas" w:hAnsi="Consolas"/>
          <w:color w:val="243B53"/>
          <w:sz w:val="18"/>
        </w:rPr>
        <w:t>└── Version version</w:t>
      </w:r>
      <w:r>
        <w:br/>
      </w:r>
      <w:r>
        <w:rPr>
          <w:rFonts w:ascii="Consolas" w:hAnsi="Consolas"/>
          <w:color w:val="243B53"/>
          <w:sz w:val="18"/>
        </w:rPr>
      </w:r>
      <w:r>
        <w:br/>
      </w:r>
      <w:r>
        <w:rPr>
          <w:rFonts w:ascii="Consolas" w:hAnsi="Consolas"/>
          <w:color w:val="243B53"/>
          <w:sz w:val="18"/>
        </w:rPr>
        <w:t>DRAFT ──ShipPurchaseReturn──► SHIPPED</w:t>
      </w:r>
      <w:r>
        <w:br/>
      </w:r>
      <w:r>
        <w:rPr>
          <w:rFonts w:ascii="Consolas" w:hAnsi="Consolas"/>
          <w:color w:val="243B53"/>
          <w:sz w:val="18"/>
        </w:rPr>
        <w:t xml:space="preserve">   └──CancelPurchaseReturn──► CANCELLED</w:t>
      </w:r>
    </w:p>
    <w:p>
      <w:pPr>
        <w:pStyle w:val="ListBullet"/>
        <w:spacing w:after="80"/>
      </w:pPr>
      <w:r>
        <w:rPr>
          <w:rFonts w:ascii="Calibri" w:hAnsi="Calibri"/>
        </w:rPr>
        <w:t>`ShipPurchaseReturn` est atomique pour toutes les lignes.</w:t>
      </w:r>
    </w:p>
    <w:p>
      <w:pPr>
        <w:pStyle w:val="ListBullet"/>
        <w:spacing w:after="80"/>
      </w:pPr>
      <w:r>
        <w:rPr>
          <w:rFonts w:ascii="Calibri" w:hAnsi="Calibri"/>
        </w:rPr>
        <w:t>Le mouvement produit est `PURCHASE_RETURN`, de direction `OUT`.</w:t>
      </w:r>
    </w:p>
    <w:p>
      <w:pPr>
        <w:pStyle w:val="ListBullet"/>
        <w:spacing w:after="80"/>
      </w:pPr>
      <w:r>
        <w:rPr>
          <w:rFonts w:ascii="Calibri" w:hAnsi="Calibri"/>
        </w:rPr>
        <w:t>La quantité doit respecter le stock disponible et le reliquat retournable de la réception liée.</w:t>
      </w:r>
    </w:p>
    <w:p>
      <w:pPr>
        <w:pStyle w:val="ListBullet"/>
        <w:spacing w:after="80"/>
      </w:pPr>
      <w:r>
        <w:rPr>
          <w:rFonts w:ascii="Calibri" w:hAnsi="Calibri"/>
        </w:rPr>
        <w:t>Un retour fournisseur ne décrémente pas `PurchaseOrderLine.receivedQuantity`.</w:t>
      </w:r>
    </w:p>
    <w:p>
      <w:pPr>
        <w:pStyle w:val="ListBullet"/>
        <w:spacing w:after="80"/>
      </w:pPr>
      <w:r>
        <w:rPr>
          <w:rFonts w:ascii="Calibri" w:hAnsi="Calibri"/>
        </w:rPr>
        <w:t>Un retour lié référence une seule `GoodsReceipt` pour le MVP.</w:t>
      </w:r>
    </w:p>
    <w:p>
      <w:pPr>
        <w:pStyle w:val="Heading2"/>
      </w:pPr>
      <w:r>
        <w:t>12.6 GoodsReceiptCorrection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`GoodsReceiptCorrection` corrige une erreur de saisie sur une réception publiée sans prétendre qu’une marchandise a été physiquement retournée.</w:t>
            </w:r>
          </w:p>
        </w:tc>
      </w:tr>
    </w:tbl>
    <w:p>
      <w:pPr>
        <w:spacing w:after="0"/>
      </w:pPr>
    </w:p>
    <w:p>
      <w:pPr>
        <w:pStyle w:val="CodeBlock"/>
        <w:keepLines/>
        <w:shd w:fill="F7F9FC"/>
      </w:pPr>
      <w:r>
        <w:rPr>
          <w:rFonts w:ascii="Consolas" w:hAnsi="Consolas"/>
          <w:color w:val="243B53"/>
          <w:sz w:val="18"/>
        </w:rPr>
        <w:t>GoodsReceiptCorrectionLine</w:t>
      </w:r>
      <w:r>
        <w:br/>
      </w:r>
      <w:r>
        <w:rPr>
          <w:rFonts w:ascii="Consolas" w:hAnsi="Consolas"/>
          <w:color w:val="243B53"/>
          <w:sz w:val="18"/>
        </w:rPr>
        <w:t>├── ProductId productId</w:t>
      </w:r>
      <w:r>
        <w:br/>
      </w:r>
      <w:r>
        <w:rPr>
          <w:rFonts w:ascii="Consolas" w:hAnsi="Consolas"/>
          <w:color w:val="243B53"/>
          <w:sz w:val="18"/>
        </w:rPr>
        <w:t>├── originalReceivedQuantity</w:t>
      </w:r>
      <w:r>
        <w:br/>
      </w:r>
      <w:r>
        <w:rPr>
          <w:rFonts w:ascii="Consolas" w:hAnsi="Consolas"/>
          <w:color w:val="243B53"/>
          <w:sz w:val="18"/>
        </w:rPr>
        <w:t>├── correctedReceivedQuantity</w:t>
      </w:r>
      <w:r>
        <w:br/>
      </w:r>
      <w:r>
        <w:rPr>
          <w:rFonts w:ascii="Consolas" w:hAnsi="Consolas"/>
          <w:color w:val="243B53"/>
          <w:sz w:val="18"/>
        </w:rPr>
        <w:t>└── difference = corrected - currentEffective</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shd w:fill="F2F4F7"/>
          </w:tcPr>
          <w:p>
            <w:r>
              <w:rPr>
                <w:rFonts w:ascii="Calibri" w:hAnsi="Calibri"/>
                <w:b/>
                <w:color w:val="1F4D78"/>
                <w:sz w:val="19"/>
              </w:rPr>
              <w:t>Différence</w:t>
            </w:r>
          </w:p>
        </w:tc>
        <w:tc>
          <w:tcPr>
            <w:tcW w:type="dxa" w:w="6360"/>
            <w:tcMar>
              <w:top w:w="80" w:type="dxa"/>
              <w:start w:w="120" w:type="dxa"/>
              <w:bottom w:w="80" w:type="dxa"/>
              <w:end w:w="120" w:type="dxa"/>
            </w:tcMar>
            <w:shd w:fill="F2F4F7"/>
          </w:tcPr>
          <w:p>
            <w:r>
              <w:rPr>
                <w:rFonts w:ascii="Calibri" w:hAnsi="Calibri"/>
                <w:b/>
                <w:color w:val="1F4D78"/>
                <w:sz w:val="19"/>
              </w:rPr>
              <w:t>Mouvement</w:t>
            </w:r>
          </w:p>
        </w:tc>
      </w:tr>
      <w:tr>
        <w:tc>
          <w:tcPr>
            <w:tcW w:type="dxa" w:w="3000"/>
            <w:tcMar>
              <w:top w:w="80" w:type="dxa"/>
              <w:start w:w="120" w:type="dxa"/>
              <w:bottom w:w="80" w:type="dxa"/>
              <w:end w:w="120" w:type="dxa"/>
            </w:tcMar>
          </w:tcPr>
          <w:p>
            <w:r>
              <w:rPr>
                <w:rFonts w:ascii="Calibri" w:hAnsi="Calibri"/>
                <w:sz w:val="18"/>
              </w:rPr>
              <w:t>`difference &gt; 0`</w:t>
            </w:r>
          </w:p>
        </w:tc>
        <w:tc>
          <w:tcPr>
            <w:tcW w:type="dxa" w:w="6360"/>
            <w:tcMar>
              <w:top w:w="80" w:type="dxa"/>
              <w:start w:w="120" w:type="dxa"/>
              <w:bottom w:w="80" w:type="dxa"/>
              <w:end w:w="120" w:type="dxa"/>
            </w:tcMar>
          </w:tcPr>
          <w:p>
            <w:r>
              <w:rPr>
                <w:rFonts w:ascii="Calibri" w:hAnsi="Calibri"/>
                <w:sz w:val="18"/>
              </w:rPr>
              <w:t>`GOODS_RECEIPT_CORRECTION_IN`</w:t>
            </w:r>
          </w:p>
        </w:tc>
      </w:tr>
      <w:tr>
        <w:tc>
          <w:tcPr>
            <w:tcW w:type="dxa" w:w="3000"/>
            <w:tcMar>
              <w:top w:w="80" w:type="dxa"/>
              <w:start w:w="120" w:type="dxa"/>
              <w:bottom w:w="80" w:type="dxa"/>
              <w:end w:w="120" w:type="dxa"/>
            </w:tcMar>
          </w:tcPr>
          <w:p>
            <w:r>
              <w:rPr>
                <w:rFonts w:ascii="Calibri" w:hAnsi="Calibri"/>
                <w:sz w:val="18"/>
              </w:rPr>
              <w:t>`difference &lt; 0`</w:t>
            </w:r>
          </w:p>
        </w:tc>
        <w:tc>
          <w:tcPr>
            <w:tcW w:type="dxa" w:w="6360"/>
            <w:tcMar>
              <w:top w:w="80" w:type="dxa"/>
              <w:start w:w="120" w:type="dxa"/>
              <w:bottom w:w="80" w:type="dxa"/>
              <w:end w:w="120" w:type="dxa"/>
            </w:tcMar>
          </w:tcPr>
          <w:p>
            <w:r>
              <w:rPr>
                <w:rFonts w:ascii="Calibri" w:hAnsi="Calibri"/>
                <w:sz w:val="18"/>
              </w:rPr>
              <w:t>`GOODS_RECEIPT_CORRECTION_OUT`</w:t>
            </w:r>
          </w:p>
        </w:tc>
      </w:tr>
      <w:tr>
        <w:tc>
          <w:tcPr>
            <w:tcW w:type="dxa" w:w="3000"/>
            <w:tcMar>
              <w:top w:w="80" w:type="dxa"/>
              <w:start w:w="120" w:type="dxa"/>
              <w:bottom w:w="80" w:type="dxa"/>
              <w:end w:w="120" w:type="dxa"/>
            </w:tcMar>
          </w:tcPr>
          <w:p>
            <w:r>
              <w:rPr>
                <w:rFonts w:ascii="Calibri" w:hAnsi="Calibri"/>
                <w:sz w:val="18"/>
              </w:rPr>
              <w:t>`difference == 0`</w:t>
            </w:r>
          </w:p>
        </w:tc>
        <w:tc>
          <w:tcPr>
            <w:tcW w:type="dxa" w:w="6360"/>
            <w:tcMar>
              <w:top w:w="80" w:type="dxa"/>
              <w:start w:w="120" w:type="dxa"/>
              <w:bottom w:w="80" w:type="dxa"/>
              <w:end w:w="120" w:type="dxa"/>
            </w:tcMar>
          </w:tcPr>
          <w:p>
            <w:r>
              <w:rPr>
                <w:rFonts w:ascii="Calibri" w:hAnsi="Calibri"/>
                <w:sz w:val="18"/>
              </w:rPr>
              <w:t>Aucun mouvement</w:t>
            </w:r>
          </w:p>
        </w:tc>
      </w:tr>
    </w:tbl>
    <w:p>
      <w:pPr>
        <w:spacing w:after="0"/>
      </w:pPr>
    </w:p>
    <w:p>
      <w:pPr>
        <w:pStyle w:val="ListBullet"/>
        <w:spacing w:after="80"/>
      </w:pPr>
      <w:r>
        <w:rPr>
          <w:rFonts w:ascii="Calibri" w:hAnsi="Calibri"/>
        </w:rPr>
        <w:t>Une correction publiée est immuable; une nouvelle erreur exige une nouvelle correction.</w:t>
      </w:r>
    </w:p>
    <w:p>
      <w:pPr>
        <w:pStyle w:val="ListBullet"/>
        <w:spacing w:after="80"/>
      </w:pPr>
      <w:r>
        <w:rPr>
          <w:rFonts w:ascii="Calibri" w:hAnsi="Calibri"/>
        </w:rPr>
        <w:t>Une correction négative ne peut jamais rendre le stock négatif.</w:t>
      </w:r>
    </w:p>
    <w:p>
      <w:pPr>
        <w:pStyle w:val="ListBullet"/>
        <w:spacing w:after="80"/>
      </w:pPr>
      <w:r>
        <w:rPr>
          <w:rFonts w:ascii="Calibri" w:hAnsi="Calibri"/>
        </w:rPr>
        <w:t>La correction ajuste le cumul reçu de `PurchaseOrder` et recalcule son statut.</w:t>
      </w:r>
    </w:p>
    <w:p>
      <w:pPr>
        <w:pStyle w:val="ListBullet"/>
        <w:spacing w:after="80"/>
      </w:pPr>
      <w:r>
        <w:rPr>
          <w:rFonts w:ascii="Calibri" w:hAnsi="Calibri"/>
        </w:rPr>
        <w:t>`PURCHASING_RECEIPT_CORRECT` et une raison sont obligatoires.</w:t>
      </w:r>
    </w:p>
    <w:p>
      <w:pPr>
        <w:pStyle w:val="ListBullet"/>
        <w:spacing w:after="80"/>
      </w:pPr>
      <w:r>
        <w:rPr>
          <w:rFonts w:ascii="Calibri" w:hAnsi="Calibri"/>
        </w:rPr>
        <w:t>La correction vérifie la quantité effective courante pour prévenir les conflits concurrents.</w:t>
      </w:r>
    </w:p>
    <w:p>
      <w:pPr>
        <w:pStyle w:val="Heading2"/>
      </w:pPr>
      <w:r>
        <w:t>12.7 Distinction des intentions métier</w:t>
      </w:r>
    </w:p>
    <w:tbl>
      <w:tblPr>
        <w:tblStyle w:val="TableGrid"/>
        <w:tblW w:type="dxa" w:w="9360"/>
        <w:tblLayout w:type="fixed"/>
        <w:tblLook w:firstColumn="1" w:firstRow="1" w:lastColumn="0" w:lastRow="0" w:noHBand="0" w:noVBand="1" w:val="04A0"/>
        <w:jc w:val="left"/>
        <w:tblInd w:w="120" w:type="dxa"/>
      </w:tblPr>
      <w:tblGrid>
        <w:gridCol w:w="3100"/>
        <w:gridCol w:w="3000"/>
        <w:gridCol w:w="3260"/>
      </w:tblGrid>
      <w:tr>
        <w:trPr>
          <w:tblHeader w:val="true"/>
        </w:trPr>
        <w:tc>
          <w:tcPr>
            <w:tcW w:type="dxa" w:w="3100"/>
            <w:tcMar>
              <w:top w:w="80" w:type="dxa"/>
              <w:start w:w="120" w:type="dxa"/>
              <w:bottom w:w="80" w:type="dxa"/>
              <w:end w:w="120" w:type="dxa"/>
            </w:tcMar>
            <w:shd w:fill="F2F4F7"/>
          </w:tcPr>
          <w:p>
            <w:r>
              <w:rPr>
                <w:rFonts w:ascii="Calibri" w:hAnsi="Calibri"/>
                <w:b/>
                <w:color w:val="1F4D78"/>
                <w:sz w:val="19"/>
              </w:rPr>
              <w:t>Situation</w:t>
            </w:r>
          </w:p>
        </w:tc>
        <w:tc>
          <w:tcPr>
            <w:tcW w:type="dxa" w:w="3000"/>
            <w:tcMar>
              <w:top w:w="80" w:type="dxa"/>
              <w:start w:w="120" w:type="dxa"/>
              <w:bottom w:w="80" w:type="dxa"/>
              <w:end w:w="120" w:type="dxa"/>
            </w:tcMar>
            <w:shd w:fill="F2F4F7"/>
          </w:tcPr>
          <w:p>
            <w:r>
              <w:rPr>
                <w:rFonts w:ascii="Calibri" w:hAnsi="Calibri"/>
                <w:b/>
                <w:color w:val="1F4D78"/>
                <w:sz w:val="19"/>
              </w:rPr>
              <w:t>Document</w:t>
            </w:r>
          </w:p>
        </w:tc>
        <w:tc>
          <w:tcPr>
            <w:tcW w:type="dxa" w:w="3260"/>
            <w:tcMar>
              <w:top w:w="80" w:type="dxa"/>
              <w:start w:w="120" w:type="dxa"/>
              <w:bottom w:w="80" w:type="dxa"/>
              <w:end w:w="120" w:type="dxa"/>
            </w:tcMar>
            <w:shd w:fill="F2F4F7"/>
          </w:tcPr>
          <w:p>
            <w:r>
              <w:rPr>
                <w:rFonts w:ascii="Calibri" w:hAnsi="Calibri"/>
                <w:b/>
                <w:color w:val="1F4D78"/>
                <w:sz w:val="19"/>
              </w:rPr>
              <w:t>StockMovementType</w:t>
            </w:r>
          </w:p>
        </w:tc>
      </w:tr>
      <w:tr>
        <w:tc>
          <w:tcPr>
            <w:tcW w:type="dxa" w:w="3100"/>
            <w:tcMar>
              <w:top w:w="80" w:type="dxa"/>
              <w:start w:w="120" w:type="dxa"/>
              <w:bottom w:w="80" w:type="dxa"/>
              <w:end w:w="120" w:type="dxa"/>
            </w:tcMar>
          </w:tcPr>
          <w:p>
            <w:r>
              <w:rPr>
                <w:rFonts w:ascii="Calibri" w:hAnsi="Calibri"/>
                <w:sz w:val="18"/>
              </w:rPr>
              <w:t>Livraison fournisseur reçue</w:t>
            </w:r>
          </w:p>
        </w:tc>
        <w:tc>
          <w:tcPr>
            <w:tcW w:type="dxa" w:w="3000"/>
            <w:tcMar>
              <w:top w:w="80" w:type="dxa"/>
              <w:start w:w="120" w:type="dxa"/>
              <w:bottom w:w="80" w:type="dxa"/>
              <w:end w:w="120" w:type="dxa"/>
            </w:tcMar>
          </w:tcPr>
          <w:p>
            <w:r>
              <w:rPr>
                <w:rFonts w:ascii="Calibri" w:hAnsi="Calibri"/>
                <w:sz w:val="18"/>
              </w:rPr>
              <w:t>`GoodsReceipt`</w:t>
            </w:r>
          </w:p>
        </w:tc>
        <w:tc>
          <w:tcPr>
            <w:tcW w:type="dxa" w:w="3260"/>
            <w:tcMar>
              <w:top w:w="80" w:type="dxa"/>
              <w:start w:w="120" w:type="dxa"/>
              <w:bottom w:w="80" w:type="dxa"/>
              <w:end w:w="120" w:type="dxa"/>
            </w:tcMar>
          </w:tcPr>
          <w:p>
            <w:r>
              <w:rPr>
                <w:rFonts w:ascii="Calibri" w:hAnsi="Calibri"/>
                <w:sz w:val="18"/>
              </w:rPr>
              <w:t>`PURCHASE_RECEIPT`</w:t>
            </w:r>
          </w:p>
        </w:tc>
      </w:tr>
      <w:tr>
        <w:tc>
          <w:tcPr>
            <w:tcW w:type="dxa" w:w="3100"/>
            <w:tcMar>
              <w:top w:w="80" w:type="dxa"/>
              <w:start w:w="120" w:type="dxa"/>
              <w:bottom w:w="80" w:type="dxa"/>
              <w:end w:w="120" w:type="dxa"/>
            </w:tcMar>
          </w:tcPr>
          <w:p>
            <w:r>
              <w:rPr>
                <w:rFonts w:ascii="Calibri" w:hAnsi="Calibri"/>
                <w:sz w:val="18"/>
              </w:rPr>
              <w:t>Marchandise renvoyée au fournisseur</w:t>
            </w:r>
          </w:p>
        </w:tc>
        <w:tc>
          <w:tcPr>
            <w:tcW w:type="dxa" w:w="3000"/>
            <w:tcMar>
              <w:top w:w="80" w:type="dxa"/>
              <w:start w:w="120" w:type="dxa"/>
              <w:bottom w:w="80" w:type="dxa"/>
              <w:end w:w="120" w:type="dxa"/>
            </w:tcMar>
          </w:tcPr>
          <w:p>
            <w:r>
              <w:rPr>
                <w:rFonts w:ascii="Calibri" w:hAnsi="Calibri"/>
                <w:sz w:val="18"/>
              </w:rPr>
              <w:t>`PurchaseReturn`</w:t>
            </w:r>
          </w:p>
        </w:tc>
        <w:tc>
          <w:tcPr>
            <w:tcW w:type="dxa" w:w="3260"/>
            <w:tcMar>
              <w:top w:w="80" w:type="dxa"/>
              <w:start w:w="120" w:type="dxa"/>
              <w:bottom w:w="80" w:type="dxa"/>
              <w:end w:w="120" w:type="dxa"/>
            </w:tcMar>
          </w:tcPr>
          <w:p>
            <w:r>
              <w:rPr>
                <w:rFonts w:ascii="Calibri" w:hAnsi="Calibri"/>
                <w:sz w:val="18"/>
              </w:rPr>
              <w:t>`PURCHASE_RETURN`</w:t>
            </w:r>
          </w:p>
        </w:tc>
      </w:tr>
      <w:tr>
        <w:tc>
          <w:tcPr>
            <w:tcW w:type="dxa" w:w="3100"/>
            <w:tcMar>
              <w:top w:w="80" w:type="dxa"/>
              <w:start w:w="120" w:type="dxa"/>
              <w:bottom w:w="80" w:type="dxa"/>
              <w:end w:w="120" w:type="dxa"/>
            </w:tcMar>
          </w:tcPr>
          <w:p>
            <w:r>
              <w:rPr>
                <w:rFonts w:ascii="Calibri" w:hAnsi="Calibri"/>
                <w:sz w:val="18"/>
              </w:rPr>
              <w:t>Réception sous-déclarée</w:t>
            </w:r>
          </w:p>
        </w:tc>
        <w:tc>
          <w:tcPr>
            <w:tcW w:type="dxa" w:w="3000"/>
            <w:tcMar>
              <w:top w:w="80" w:type="dxa"/>
              <w:start w:w="120" w:type="dxa"/>
              <w:bottom w:w="80" w:type="dxa"/>
              <w:end w:w="120" w:type="dxa"/>
            </w:tcMar>
          </w:tcPr>
          <w:p>
            <w:r>
              <w:rPr>
                <w:rFonts w:ascii="Calibri" w:hAnsi="Calibri"/>
                <w:sz w:val="18"/>
              </w:rPr>
              <w:t>`GoodsReceiptCorrection`</w:t>
            </w:r>
          </w:p>
        </w:tc>
        <w:tc>
          <w:tcPr>
            <w:tcW w:type="dxa" w:w="3260"/>
            <w:tcMar>
              <w:top w:w="80" w:type="dxa"/>
              <w:start w:w="120" w:type="dxa"/>
              <w:bottom w:w="80" w:type="dxa"/>
              <w:end w:w="120" w:type="dxa"/>
            </w:tcMar>
          </w:tcPr>
          <w:p>
            <w:r>
              <w:rPr>
                <w:rFonts w:ascii="Calibri" w:hAnsi="Calibri"/>
                <w:sz w:val="18"/>
              </w:rPr>
              <w:t>`GOODS_RECEIPT_CORRECTION_IN`</w:t>
            </w:r>
          </w:p>
        </w:tc>
      </w:tr>
      <w:tr>
        <w:tc>
          <w:tcPr>
            <w:tcW w:type="dxa" w:w="3100"/>
            <w:tcMar>
              <w:top w:w="80" w:type="dxa"/>
              <w:start w:w="120" w:type="dxa"/>
              <w:bottom w:w="80" w:type="dxa"/>
              <w:end w:w="120" w:type="dxa"/>
            </w:tcMar>
          </w:tcPr>
          <w:p>
            <w:r>
              <w:rPr>
                <w:rFonts w:ascii="Calibri" w:hAnsi="Calibri"/>
                <w:sz w:val="18"/>
              </w:rPr>
              <w:t>Réception surdéclarée</w:t>
            </w:r>
          </w:p>
        </w:tc>
        <w:tc>
          <w:tcPr>
            <w:tcW w:type="dxa" w:w="3000"/>
            <w:tcMar>
              <w:top w:w="80" w:type="dxa"/>
              <w:start w:w="120" w:type="dxa"/>
              <w:bottom w:w="80" w:type="dxa"/>
              <w:end w:w="120" w:type="dxa"/>
            </w:tcMar>
          </w:tcPr>
          <w:p>
            <w:r>
              <w:rPr>
                <w:rFonts w:ascii="Calibri" w:hAnsi="Calibri"/>
                <w:sz w:val="18"/>
              </w:rPr>
              <w:t>`GoodsReceiptCorrection`</w:t>
            </w:r>
          </w:p>
        </w:tc>
        <w:tc>
          <w:tcPr>
            <w:tcW w:type="dxa" w:w="3260"/>
            <w:tcMar>
              <w:top w:w="80" w:type="dxa"/>
              <w:start w:w="120" w:type="dxa"/>
              <w:bottom w:w="80" w:type="dxa"/>
              <w:end w:w="120" w:type="dxa"/>
            </w:tcMar>
          </w:tcPr>
          <w:p>
            <w:r>
              <w:rPr>
                <w:rFonts w:ascii="Calibri" w:hAnsi="Calibri"/>
                <w:sz w:val="18"/>
              </w:rPr>
              <w:t>`GOODS_RECEIPT_CORRECTION_OUT`</w:t>
            </w:r>
          </w:p>
        </w:tc>
      </w:tr>
      <w:tr>
        <w:tc>
          <w:tcPr>
            <w:tcW w:type="dxa" w:w="3100"/>
            <w:tcMar>
              <w:top w:w="80" w:type="dxa"/>
              <w:start w:w="120" w:type="dxa"/>
              <w:bottom w:w="80" w:type="dxa"/>
              <w:end w:w="120" w:type="dxa"/>
            </w:tcMar>
          </w:tcPr>
          <w:p>
            <w:r>
              <w:rPr>
                <w:rFonts w:ascii="Calibri" w:hAnsi="Calibri"/>
                <w:sz w:val="18"/>
              </w:rPr>
              <w:t>Écart découvert par inventaire</w:t>
            </w:r>
          </w:p>
        </w:tc>
        <w:tc>
          <w:tcPr>
            <w:tcW w:type="dxa" w:w="3000"/>
            <w:tcMar>
              <w:top w:w="80" w:type="dxa"/>
              <w:start w:w="120" w:type="dxa"/>
              <w:bottom w:w="80" w:type="dxa"/>
              <w:end w:w="120" w:type="dxa"/>
            </w:tcMar>
          </w:tcPr>
          <w:p>
            <w:r>
              <w:rPr>
                <w:rFonts w:ascii="Calibri" w:hAnsi="Calibri"/>
                <w:sz w:val="18"/>
              </w:rPr>
              <w:t>`StockCount`</w:t>
            </w:r>
          </w:p>
        </w:tc>
        <w:tc>
          <w:tcPr>
            <w:tcW w:type="dxa" w:w="3260"/>
            <w:tcMar>
              <w:top w:w="80" w:type="dxa"/>
              <w:start w:w="120" w:type="dxa"/>
              <w:bottom w:w="80" w:type="dxa"/>
              <w:end w:w="120" w:type="dxa"/>
            </w:tcMar>
          </w:tcPr>
          <w:p>
            <w:r>
              <w:rPr>
                <w:rFonts w:ascii="Calibri" w:hAnsi="Calibri"/>
                <w:sz w:val="18"/>
              </w:rPr>
              <w:t>`STOCK_COUNT_CORRECTION_IN/OUT`</w:t>
            </w:r>
          </w:p>
        </w:tc>
      </w:tr>
      <w:tr>
        <w:tc>
          <w:tcPr>
            <w:tcW w:type="dxa" w:w="3100"/>
            <w:tcMar>
              <w:top w:w="80" w:type="dxa"/>
              <w:start w:w="120" w:type="dxa"/>
              <w:bottom w:w="80" w:type="dxa"/>
              <w:end w:w="120" w:type="dxa"/>
            </w:tcMar>
          </w:tcPr>
          <w:p>
            <w:r>
              <w:rPr>
                <w:rFonts w:ascii="Calibri" w:hAnsi="Calibri"/>
                <w:sz w:val="18"/>
              </w:rPr>
              <w:t>Perte ou casse indépendante</w:t>
            </w:r>
          </w:p>
        </w:tc>
        <w:tc>
          <w:tcPr>
            <w:tcW w:type="dxa" w:w="3000"/>
            <w:tcMar>
              <w:top w:w="80" w:type="dxa"/>
              <w:start w:w="120" w:type="dxa"/>
              <w:bottom w:w="80" w:type="dxa"/>
              <w:end w:w="120" w:type="dxa"/>
            </w:tcMar>
          </w:tcPr>
          <w:p>
            <w:r>
              <w:rPr>
                <w:rFonts w:ascii="Calibri" w:hAnsi="Calibri"/>
                <w:sz w:val="18"/>
              </w:rPr>
              <w:t>`AdjustStock`</w:t>
            </w:r>
          </w:p>
        </w:tc>
        <w:tc>
          <w:tcPr>
            <w:tcW w:type="dxa" w:w="3260"/>
            <w:tcMar>
              <w:top w:w="80" w:type="dxa"/>
              <w:start w:w="120" w:type="dxa"/>
              <w:bottom w:w="80" w:type="dxa"/>
              <w:end w:w="120" w:type="dxa"/>
            </w:tcMar>
          </w:tcPr>
          <w:p>
            <w:r>
              <w:rPr>
                <w:rFonts w:ascii="Calibri" w:hAnsi="Calibri"/>
                <w:sz w:val="18"/>
              </w:rPr>
              <w:t>`ADJUSTMENT_OUT`</w:t>
            </w:r>
          </w:p>
        </w:tc>
      </w:tr>
    </w:tbl>
    <w:p>
      <w:pPr>
        <w:spacing w:after="0"/>
      </w:pPr>
    </w:p>
    <w:p>
      <w:pPr>
        <w:pStyle w:val="Heading2"/>
      </w:pPr>
      <w:r>
        <w:t>12.8 Idempotence et concurrence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opérations `PostGoodsReceipt`, `ShipPurchaseReturn` et `PostGoodsReceiptCorrection` sont transactionnelles et idempotentes. Chaque mouvement est unique par tenant, store, produit, type et source.</w:t>
            </w:r>
          </w:p>
        </w:tc>
      </w:tr>
    </w:tbl>
    <w:p>
      <w:pPr>
        <w:spacing w:after="0"/>
      </w:pPr>
    </w:p>
    <w:p>
      <w:r>
        <w:rPr>
          <w:rFonts w:ascii="Calibri" w:hAnsi="Calibri"/>
          <w:i w:val="0"/>
        </w:rPr>
        <w:t>`PurchaseOrder.version` protège les cumuls lors de réceptions concurrentes. `Stock.version` ou un incrément atomique protège les entrées simultanées. Un même `commandId` avec un contenu différent produit `IdempotencyConflict`.</w:t>
      </w:r>
    </w:p>
    <w:p>
      <w:pPr>
        <w:pStyle w:val="Heading2"/>
      </w:pPr>
      <w:r>
        <w:t>12.9 Lots et expiration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DECEC"/>
            <w:vAlign w:val="center"/>
          </w:tcPr>
          <w:p>
            <w:pPr>
              <w:jc w:val="center"/>
            </w:pPr>
            <w:r>
              <w:rPr>
                <w:rFonts w:ascii="Calibri" w:hAnsi="Calibri"/>
                <w:b/>
                <w:color w:val="1F4D78"/>
                <w:sz w:val="18"/>
              </w:rPr>
              <w:t>QUESTION OUVERTE</w:t>
            </w:r>
          </w:p>
        </w:tc>
        <w:tc>
          <w:tcPr>
            <w:tcW w:type="dxa" w:w="7460"/>
            <w:tcMar>
              <w:top w:w="80" w:type="dxa"/>
              <w:start w:w="120" w:type="dxa"/>
              <w:bottom w:w="80" w:type="dxa"/>
              <w:end w:w="120" w:type="dxa"/>
            </w:tcMar>
            <w:shd w:fill="FAFAFA"/>
            <w:vAlign w:val="center"/>
          </w:tcPr>
          <w:p>
            <w:r>
              <w:rPr>
                <w:rFonts w:ascii="Calibri" w:hAnsi="Calibri"/>
                <w:sz w:val="20"/>
              </w:rPr>
              <w:t>`lotNumber` et `expirationDate` peuvent être conservés comme informations documentaires, mais la gestion réelle par lots exige un futur modèle `LotTracking` et potentiellement `StockLot`.</w:t>
            </w:r>
          </w:p>
        </w:tc>
      </w:tr>
    </w:tbl>
    <w:p>
      <w:pPr>
        <w:spacing w:after="0"/>
      </w:pPr>
    </w:p>
    <w:p>
      <w:pPr>
        <w:pStyle w:val="Heading1"/>
      </w:pPr>
      <w:r>
        <w:t>13. Identity &amp; Access</w:t>
      </w:r>
    </w:p>
    <w:p>
      <w:pPr>
        <w:pStyle w:val="Heading2"/>
      </w:pPr>
      <w:r>
        <w:t>13.1 Séparation des responsabilités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Authentication identifie l’acteur; Authorization décide s’il peut agir dans un tenant et un scope; les aggregates métier protègent leurs invariants indépendamment des rôles.</w:t>
            </w:r>
          </w:p>
        </w:tc>
      </w:tr>
    </w:tbl>
    <w:p>
      <w:pPr>
        <w:spacing w:after="0"/>
      </w:pPr>
    </w:p>
    <w:p>
      <w:pPr>
        <w:pStyle w:val="CodeBlock"/>
        <w:keepLines/>
        <w:shd w:fill="F7F9FC"/>
      </w:pPr>
      <w:r>
        <w:rPr>
          <w:rFonts w:ascii="Consolas" w:hAnsi="Consolas"/>
          <w:color w:val="243B53"/>
          <w:sz w:val="18"/>
        </w:rPr>
        <w:t>Application Handler</w:t>
      </w:r>
      <w:r>
        <w:br/>
      </w:r>
      <w:r>
        <w:rPr>
          <w:rFonts w:ascii="Consolas" w:hAnsi="Consolas"/>
          <w:color w:val="243B53"/>
          <w:sz w:val="18"/>
        </w:rPr>
        <w:t>├── OrganizationOperationalGuard</w:t>
      </w:r>
      <w:r>
        <w:br/>
      </w:r>
      <w:r>
        <w:rPr>
          <w:rFonts w:ascii="Consolas" w:hAnsi="Consolas"/>
          <w:color w:val="243B53"/>
          <w:sz w:val="18"/>
        </w:rPr>
        <w:t>├── AuthorizationService.authorize(...)</w:t>
      </w:r>
      <w:r>
        <w:br/>
      </w:r>
      <w:r>
        <w:rPr>
          <w:rFonts w:ascii="Consolas" w:hAnsi="Consolas"/>
          <w:color w:val="243B53"/>
          <w:sz w:val="18"/>
        </w:rPr>
        <w:t>└── Domain Aggregate.execute(...)</w:t>
      </w:r>
    </w:p>
    <w:p>
      <w:r>
        <w:rPr>
          <w:rFonts w:ascii="Calibri" w:hAnsi="Calibri"/>
          <w:i w:val="0"/>
        </w:rPr>
        <w:t>`organizationId` et `actorId` proviennent de `ActorContext`, jamais librement du payload externe. Les repositories recherchent toujours les ressources avec `organizationId + aggregateId`; une ressource d’un autre tenant est publiquement traitée comme `NOT_FOUND`.</w:t>
      </w:r>
    </w:p>
    <w:p>
      <w:pPr>
        <w:pStyle w:val="Heading2"/>
      </w:pPr>
      <w:r>
        <w:t>13.2 User et OrganizationMembership</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`User` est une identité globale. L’accès à un tenant est porté par `OrganizationMembership`; les rôles ne sont jamais attachés directement au user global.</w:t>
            </w:r>
          </w:p>
        </w:tc>
      </w:tr>
    </w:tbl>
    <w:p>
      <w:pPr>
        <w:spacing w:after="0"/>
      </w:pPr>
    </w:p>
    <w:p>
      <w:pPr>
        <w:pStyle w:val="CodeBlock"/>
        <w:keepLines/>
        <w:shd w:fill="F7F9FC"/>
      </w:pPr>
      <w:r>
        <w:rPr>
          <w:rFonts w:ascii="Consolas" w:hAnsi="Consolas"/>
          <w:color w:val="243B53"/>
          <w:sz w:val="18"/>
        </w:rPr>
        <w:t>OrganizationMembership</w:t>
      </w:r>
      <w:r>
        <w:br/>
      </w:r>
      <w:r>
        <w:rPr>
          <w:rFonts w:ascii="Consolas" w:hAnsi="Consolas"/>
          <w:color w:val="243B53"/>
          <w:sz w:val="18"/>
        </w:rPr>
        <w:t>├── OrganizationMembershipId id</w:t>
      </w:r>
      <w:r>
        <w:br/>
      </w:r>
      <w:r>
        <w:rPr>
          <w:rFonts w:ascii="Consolas" w:hAnsi="Consolas"/>
          <w:color w:val="243B53"/>
          <w:sz w:val="18"/>
        </w:rPr>
        <w:t>├── OrganizationId organizationId</w:t>
      </w:r>
      <w:r>
        <w:br/>
      </w:r>
      <w:r>
        <w:rPr>
          <w:rFonts w:ascii="Consolas" w:hAnsi="Consolas"/>
          <w:color w:val="243B53"/>
          <w:sz w:val="18"/>
        </w:rPr>
        <w:t>├── UserId userId</w:t>
      </w:r>
      <w:r>
        <w:br/>
      </w:r>
      <w:r>
        <w:rPr>
          <w:rFonts w:ascii="Consolas" w:hAnsi="Consolas"/>
          <w:color w:val="243B53"/>
          <w:sz w:val="18"/>
        </w:rPr>
        <w:t>├── MembershipStatus status</w:t>
      </w:r>
      <w:r>
        <w:br/>
      </w:r>
      <w:r>
        <w:rPr>
          <w:rFonts w:ascii="Consolas" w:hAnsi="Consolas"/>
          <w:color w:val="243B53"/>
          <w:sz w:val="18"/>
        </w:rPr>
        <w:t>├── List&lt;RoleAssignment&gt; roleAssignments</w:t>
      </w:r>
      <w:r>
        <w:br/>
      </w:r>
      <w:r>
        <w:rPr>
          <w:rFonts w:ascii="Consolas" w:hAnsi="Consolas"/>
          <w:color w:val="243B53"/>
          <w:sz w:val="18"/>
        </w:rPr>
        <w:t>├── lifecycle actors and timestamps</w:t>
      </w:r>
      <w:r>
        <w:br/>
      </w:r>
      <w:r>
        <w:rPr>
          <w:rFonts w:ascii="Consolas" w:hAnsi="Consolas"/>
          <w:color w:val="243B53"/>
          <w:sz w:val="18"/>
        </w:rPr>
        <w:t>├── authorizationVersion</w:t>
      </w:r>
      <w:r>
        <w:br/>
      </w:r>
      <w:r>
        <w:rPr>
          <w:rFonts w:ascii="Consolas" w:hAnsi="Consolas"/>
          <w:color w:val="243B53"/>
          <w:sz w:val="18"/>
        </w:rPr>
        <w:t>└── Version version</w:t>
      </w:r>
      <w:r>
        <w:br/>
      </w:r>
      <w:r>
        <w:rPr>
          <w:rFonts w:ascii="Consolas" w:hAnsi="Consolas"/>
          <w:color w:val="243B53"/>
          <w:sz w:val="18"/>
        </w:rPr>
      </w:r>
      <w:r>
        <w:br/>
      </w:r>
      <w:r>
        <w:rPr>
          <w:rFonts w:ascii="Consolas" w:hAnsi="Consolas"/>
          <w:color w:val="243B53"/>
          <w:sz w:val="18"/>
        </w:rPr>
        <w:t>UNIQUE (organization_id, user_id)</w:t>
      </w:r>
    </w:p>
    <w:p>
      <w:pPr>
        <w:pStyle w:val="CodeBlock"/>
        <w:keepLines/>
        <w:shd w:fill="F7F9FC"/>
      </w:pPr>
      <w:r>
        <w:rPr>
          <w:rFonts w:ascii="Consolas" w:hAnsi="Consolas"/>
          <w:color w:val="243B53"/>
          <w:sz w:val="18"/>
        </w:rPr>
        <w:t>INVITED → ACTIVE → SUSPENDED → REVOKED</w:t>
      </w:r>
    </w:p>
    <w:p>
      <w:r>
        <w:rPr>
          <w:rFonts w:ascii="Calibri" w:hAnsi="Calibri"/>
          <w:i w:val="0"/>
        </w:rPr>
        <w:t>Seul un membership `ACTIVE` accorde des permissions. Une suspension est réversible; une révocation retire immédiatement l’accès du tenant et conserve les références historiques de l’acteur.</w:t>
      </w:r>
    </w:p>
    <w:p>
      <w:pPr>
        <w:pStyle w:val="Heading2"/>
      </w:pPr>
      <w:r>
        <w:t>13.3 Roles, permissions et scopes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handlers vérifient des `PermissionCode` atomiques. Les rôles regroupent ces permissions et les attributions portent un scope `ORGANIZATION` ou `SELECTED_STORES`.</w:t>
            </w:r>
          </w:p>
        </w:tc>
      </w:tr>
    </w:tbl>
    <w:p>
      <w:pPr>
        <w:spacing w:after="0"/>
      </w:pPr>
    </w:p>
    <w:p>
      <w:pPr>
        <w:pStyle w:val="CodeBlock"/>
        <w:keepLines/>
        <w:shd w:fill="F7F9FC"/>
      </w:pPr>
      <w:r>
        <w:rPr>
          <w:rFonts w:ascii="Consolas" w:hAnsi="Consolas"/>
          <w:color w:val="243B53"/>
          <w:sz w:val="18"/>
        </w:rPr>
        <w:t>Role</w:t>
      </w:r>
      <w:r>
        <w:br/>
      </w:r>
      <w:r>
        <w:rPr>
          <w:rFonts w:ascii="Consolas" w:hAnsi="Consolas"/>
          <w:color w:val="243B53"/>
          <w:sz w:val="18"/>
        </w:rPr>
        <w:t>├── RoleId</w:t>
      </w:r>
      <w:r>
        <w:br/>
      </w:r>
      <w:r>
        <w:rPr>
          <w:rFonts w:ascii="Consolas" w:hAnsi="Consolas"/>
          <w:color w:val="243B53"/>
          <w:sz w:val="18"/>
        </w:rPr>
        <w:t>├── OrganizationId?  // null pour SYSTEM</w:t>
      </w:r>
      <w:r>
        <w:br/>
      </w:r>
      <w:r>
        <w:rPr>
          <w:rFonts w:ascii="Consolas" w:hAnsi="Consolas"/>
          <w:color w:val="243B53"/>
          <w:sz w:val="18"/>
        </w:rPr>
        <w:t>├── RoleCode, RoleType, RoleStatus</w:t>
      </w:r>
      <w:r>
        <w:br/>
      </w:r>
      <w:r>
        <w:rPr>
          <w:rFonts w:ascii="Consolas" w:hAnsi="Consolas"/>
          <w:color w:val="243B53"/>
          <w:sz w:val="18"/>
        </w:rPr>
        <w:t>├── name, description?</w:t>
      </w:r>
      <w:r>
        <w:br/>
      </w:r>
      <w:r>
        <w:rPr>
          <w:rFonts w:ascii="Consolas" w:hAnsi="Consolas"/>
          <w:color w:val="243B53"/>
          <w:sz w:val="18"/>
        </w:rPr>
        <w:t>├── Set&lt;PermissionCode&gt; permissions</w:t>
      </w:r>
      <w:r>
        <w:br/>
      </w:r>
      <w:r>
        <w:rPr>
          <w:rFonts w:ascii="Consolas" w:hAnsi="Consolas"/>
          <w:color w:val="243B53"/>
          <w:sz w:val="18"/>
        </w:rPr>
        <w:t>└── Version</w:t>
      </w:r>
      <w:r>
        <w:br/>
      </w:r>
      <w:r>
        <w:rPr>
          <w:rFonts w:ascii="Consolas" w:hAnsi="Consolas"/>
          <w:color w:val="243B53"/>
          <w:sz w:val="18"/>
        </w:rPr>
      </w:r>
      <w:r>
        <w:br/>
      </w:r>
      <w:r>
        <w:rPr>
          <w:rFonts w:ascii="Consolas" w:hAnsi="Consolas"/>
          <w:color w:val="243B53"/>
          <w:sz w:val="18"/>
        </w:rPr>
        <w:t>RoleAssignment</w:t>
      </w:r>
      <w:r>
        <w:br/>
      </w:r>
      <w:r>
        <w:rPr>
          <w:rFonts w:ascii="Consolas" w:hAnsi="Consolas"/>
          <w:color w:val="243B53"/>
          <w:sz w:val="18"/>
        </w:rPr>
        <w:t>├── RoleId</w:t>
      </w:r>
      <w:r>
        <w:br/>
      </w:r>
      <w:r>
        <w:rPr>
          <w:rFonts w:ascii="Consolas" w:hAnsi="Consolas"/>
          <w:color w:val="243B53"/>
          <w:sz w:val="18"/>
        </w:rPr>
        <w:t>├── AccessScope scope</w:t>
      </w:r>
      <w:r>
        <w:br/>
      </w:r>
      <w:r>
        <w:rPr>
          <w:rFonts w:ascii="Consolas" w:hAnsi="Consolas"/>
          <w:color w:val="243B53"/>
          <w:sz w:val="18"/>
        </w:rPr>
        <w:t>├── assignedBy, assignedAt</w:t>
      </w:r>
      <w:r>
        <w:br/>
      </w:r>
      <w:r>
        <w:rPr>
          <w:rFonts w:ascii="Consolas" w:hAnsi="Consolas"/>
          <w:color w:val="243B53"/>
          <w:sz w:val="18"/>
        </w:rPr>
        <w:t>└── expiresAt?</w:t>
      </w:r>
    </w:p>
    <w:p>
      <w:pPr>
        <w:pStyle w:val="ListBullet"/>
        <w:spacing w:after="80"/>
      </w:pPr>
      <w:r>
        <w:rPr>
          <w:rFonts w:ascii="Calibri" w:hAnsi="Calibri"/>
        </w:rPr>
        <w:t>Les rôles `SYSTEM` sont non supprimables et non personnalisables.</w:t>
      </w:r>
    </w:p>
    <w:p>
      <w:pPr>
        <w:pStyle w:val="ListBullet"/>
        <w:spacing w:after="80"/>
      </w:pPr>
      <w:r>
        <w:rPr>
          <w:rFonts w:ascii="Calibri" w:hAnsi="Calibri"/>
        </w:rPr>
        <w:t>Les rôles `CUSTOM` appartiennent à une seule organization.</w:t>
      </w:r>
    </w:p>
    <w:p>
      <w:pPr>
        <w:pStyle w:val="ListBullet"/>
        <w:spacing w:after="80"/>
      </w:pPr>
      <w:r>
        <w:rPr>
          <w:rFonts w:ascii="Calibri" w:hAnsi="Calibri"/>
        </w:rPr>
        <w:t>Un rôle `ARCHIVED` ou une attribution expirée n’accorde aucune permission.</w:t>
      </w:r>
    </w:p>
    <w:p>
      <w:pPr>
        <w:pStyle w:val="ListBullet"/>
        <w:spacing w:after="80"/>
      </w:pPr>
      <w:r>
        <w:rPr>
          <w:rFonts w:ascii="Calibri" w:hAnsi="Calibri"/>
        </w:rPr>
        <w:t>Le MVP n’introduit pas de permissions négatives : absence d’ALLOW signifie refus.</w:t>
      </w:r>
    </w:p>
    <w:p>
      <w:pPr>
        <w:pStyle w:val="ListBullet"/>
        <w:spacing w:after="80"/>
      </w:pPr>
      <w:r>
        <w:rPr>
          <w:rFonts w:ascii="Calibri" w:hAnsi="Calibri"/>
        </w:rPr>
        <w:t>Les permissions sensibles peuvent être `RESTRICTED` ou `OWNER_ONLY`.</w:t>
      </w:r>
    </w:p>
    <w:p>
      <w:pPr>
        <w:pStyle w:val="Heading2"/>
      </w:pPr>
      <w:r>
        <w:t>13.4 Owner et administration des accès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`ORGANIZATION_OWNER` est un rôle système spécial avec scope `ORGANIZATION`. Au moins un owner actif doit toujours subsister; seul un owner actif peut attribuer ou retirer ce rôle.</w:t>
            </w:r>
          </w:p>
        </w:tc>
      </w:tr>
    </w:tbl>
    <w:p>
      <w:pPr>
        <w:spacing w:after="0"/>
      </w:pPr>
    </w:p>
    <w:p>
      <w:r>
        <w:rPr>
          <w:rFonts w:ascii="Calibri" w:hAnsi="Calibri"/>
          <w:i w:val="0"/>
        </w:rPr>
        <w:t>Les opérations de suspension, révocation, retrait d’attribution, archivage ou modification de rôle doivent protéger l’invariant du dernier owner. L’auto-élévation silencieuse est interdite.</w:t>
      </w:r>
    </w:p>
    <w:p>
      <w:pPr>
        <w:pStyle w:val="Heading2"/>
      </w:pPr>
      <w:r>
        <w:t>13.5 Service accounts et ActorContext</w:t>
      </w:r>
    </w:p>
    <w:p>
      <w:pPr>
        <w:pStyle w:val="CodeBlock"/>
        <w:keepLines/>
        <w:shd w:fill="F7F9FC"/>
      </w:pPr>
      <w:r>
        <w:rPr>
          <w:rFonts w:ascii="Consolas" w:hAnsi="Consolas"/>
          <w:color w:val="243B53"/>
          <w:sz w:val="18"/>
        </w:rPr>
        <w:t>ActorContext</w:t>
      </w:r>
      <w:r>
        <w:br/>
      </w:r>
      <w:r>
        <w:rPr>
          <w:rFonts w:ascii="Consolas" w:hAnsi="Consolas"/>
          <w:color w:val="243B53"/>
          <w:sz w:val="18"/>
        </w:rPr>
        <w:t>├── ActorId actorId</w:t>
      </w:r>
      <w:r>
        <w:br/>
      </w:r>
      <w:r>
        <w:rPr>
          <w:rFonts w:ascii="Consolas" w:hAnsi="Consolas"/>
          <w:color w:val="243B53"/>
          <w:sz w:val="18"/>
        </w:rPr>
        <w:t>├── OrganizationId organizationId</w:t>
      </w:r>
      <w:r>
        <w:br/>
      </w:r>
      <w:r>
        <w:rPr>
          <w:rFonts w:ascii="Consolas" w:hAnsi="Consolas"/>
          <w:color w:val="243B53"/>
          <w:sz w:val="18"/>
        </w:rPr>
        <w:t>├── ActorType = USER | SERVICE_ACCOUNT | SYSTEM</w:t>
      </w:r>
      <w:r>
        <w:br/>
      </w:r>
      <w:r>
        <w:rPr>
          <w:rFonts w:ascii="Consolas" w:hAnsi="Consolas"/>
          <w:color w:val="243B53"/>
          <w:sz w:val="18"/>
        </w:rPr>
        <w:t>├── UserId? / SessionId?</w:t>
      </w:r>
      <w:r>
        <w:br/>
      </w:r>
      <w:r>
        <w:rPr>
          <w:rFonts w:ascii="Consolas" w:hAnsi="Consolas"/>
          <w:color w:val="243B53"/>
          <w:sz w:val="18"/>
        </w:rPr>
        <w:t>├── CorrelationId</w:t>
      </w:r>
      <w:r>
        <w:br/>
      </w:r>
      <w:r>
        <w:rPr>
          <w:rFonts w:ascii="Consolas" w:hAnsi="Consolas"/>
          <w:color w:val="243B53"/>
          <w:sz w:val="18"/>
        </w:rPr>
        <w:t>└── authenticatedAt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intégrations utilisent `ServiceAccount`, jamais l’identité d’un humain. Les secrets sont affichés une seule fois, rotatifs, révocables et absents des events et audits.</w:t>
            </w:r>
          </w:p>
        </w:tc>
      </w:tr>
    </w:tbl>
    <w:p>
      <w:pPr>
        <w:spacing w:after="0"/>
      </w:pPr>
    </w:p>
    <w:p>
      <w:pPr>
        <w:pStyle w:val="Heading2"/>
      </w:pPr>
      <w:r>
        <w:t>13.6 Cache et révocation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Toute modification de membership, rôle, scope ou attribution incrémente `authorizationVersion`. Un cache ou token dont la version diffère est recalculé; les opérations sensibles exigent une vérification serveur fraîche.</w:t>
            </w:r>
          </w:p>
        </w:tc>
      </w:tr>
    </w:tbl>
    <w:p>
      <w:pPr>
        <w:spacing w:after="0"/>
      </w:pPr>
    </w:p>
    <w:p>
      <w:pPr>
        <w:pStyle w:val="Heading1"/>
      </w:pPr>
      <w:r>
        <w:t>14. Organization et Store</w:t>
      </w:r>
    </w:p>
    <w:p>
      <w:pPr>
        <w:pStyle w:val="Heading2"/>
      </w:pPr>
      <w:r>
        <w:t>14.1 Aggregate Organization</w:t>
      </w:r>
    </w:p>
    <w:p>
      <w:pPr>
        <w:pStyle w:val="CodeBlock"/>
        <w:keepLines/>
        <w:shd w:fill="F7F9FC"/>
      </w:pPr>
      <w:r>
        <w:rPr>
          <w:rFonts w:ascii="Consolas" w:hAnsi="Consolas"/>
          <w:color w:val="243B53"/>
          <w:sz w:val="18"/>
        </w:rPr>
        <w:t>Organization</w:t>
      </w:r>
      <w:r>
        <w:br/>
      </w:r>
      <w:r>
        <w:rPr>
          <w:rFonts w:ascii="Consolas" w:hAnsi="Consolas"/>
          <w:color w:val="243B53"/>
          <w:sz w:val="18"/>
        </w:rPr>
        <w:t>├── OrganizationId id</w:t>
      </w:r>
      <w:r>
        <w:br/>
      </w:r>
      <w:r>
        <w:rPr>
          <w:rFonts w:ascii="Consolas" w:hAnsi="Consolas"/>
          <w:color w:val="243B53"/>
          <w:sz w:val="18"/>
        </w:rPr>
        <w:t>├── name, status</w:t>
      </w:r>
      <w:r>
        <w:br/>
      </w:r>
      <w:r>
        <w:rPr>
          <w:rFonts w:ascii="Consolas" w:hAnsi="Consolas"/>
          <w:color w:val="243B53"/>
          <w:sz w:val="18"/>
        </w:rPr>
        <w:t>├── countryCode, defaultCurrency</w:t>
      </w:r>
      <w:r>
        <w:br/>
      </w:r>
      <w:r>
        <w:rPr>
          <w:rFonts w:ascii="Consolas" w:hAnsi="Consolas"/>
          <w:color w:val="243B53"/>
          <w:sz w:val="18"/>
        </w:rPr>
        <w:t>├── defaultTimeZone, defaultLocale</w:t>
      </w:r>
      <w:r>
        <w:br/>
      </w:r>
      <w:r>
        <w:rPr>
          <w:rFonts w:ascii="Consolas" w:hAnsi="Consolas"/>
          <w:color w:val="243B53"/>
          <w:sz w:val="18"/>
        </w:rPr>
        <w:t>├── lifecycle actors, reasons and timestamps</w:t>
      </w:r>
      <w:r>
        <w:br/>
      </w:r>
      <w:r>
        <w:rPr>
          <w:rFonts w:ascii="Consolas" w:hAnsi="Consolas"/>
          <w:color w:val="243B53"/>
          <w:sz w:val="18"/>
        </w:rPr>
        <w:t>└── Version version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cycle opérationnel est `ACTIVE → SUSPENDED → ACTIVE` ou `ACTIVE/SUSPENDED → CLOSURE_PENDING → CLOSED`. `CLOSED` est définitif dans le workflow normal.</w:t>
            </w:r>
          </w:p>
        </w:tc>
      </w:tr>
    </w:tbl>
    <w:p>
      <w:pPr>
        <w:spacing w:after="0"/>
      </w:pPr>
    </w:p>
    <w:p>
      <w:r>
        <w:rPr>
          <w:rFonts w:ascii="Calibri" w:hAnsi="Calibri"/>
          <w:i w:val="0"/>
        </w:rPr>
        <w:t>Une suspension bloque les nouvelles opérations métier mais autorise la consultation, la remédiation et les opérations nécessaires pour terminer un workflow en sécurité. La suppression métier `DeleteOrganization` n’existe pas.</w:t>
      </w:r>
    </w:p>
    <w:p>
      <w:pPr>
        <w:pStyle w:val="Heading2"/>
      </w:pPr>
      <w:r>
        <w:t>14.2 Aggregate Store</w:t>
      </w:r>
    </w:p>
    <w:p>
      <w:pPr>
        <w:pStyle w:val="CodeBlock"/>
        <w:keepLines/>
        <w:shd w:fill="F7F9FC"/>
      </w:pPr>
      <w:r>
        <w:rPr>
          <w:rFonts w:ascii="Consolas" w:hAnsi="Consolas"/>
          <w:color w:val="243B53"/>
          <w:sz w:val="18"/>
        </w:rPr>
        <w:t>Store</w:t>
      </w:r>
      <w:r>
        <w:br/>
      </w:r>
      <w:r>
        <w:rPr>
          <w:rFonts w:ascii="Consolas" w:hAnsi="Consolas"/>
          <w:color w:val="243B53"/>
          <w:sz w:val="18"/>
        </w:rPr>
        <w:t>├── StoreId, OrganizationId</w:t>
      </w:r>
      <w:r>
        <w:br/>
      </w:r>
      <w:r>
        <w:rPr>
          <w:rFonts w:ascii="Consolas" w:hAnsi="Consolas"/>
          <w:color w:val="243B53"/>
          <w:sz w:val="18"/>
        </w:rPr>
        <w:t>├── StoreCode, name, status</w:t>
      </w:r>
      <w:r>
        <w:br/>
      </w:r>
      <w:r>
        <w:rPr>
          <w:rFonts w:ascii="Consolas" w:hAnsi="Consolas"/>
          <w:color w:val="243B53"/>
          <w:sz w:val="18"/>
        </w:rPr>
        <w:t>├── address?</w:t>
      </w:r>
      <w:r>
        <w:br/>
      </w:r>
      <w:r>
        <w:rPr>
          <w:rFonts w:ascii="Consolas" w:hAnsi="Consolas"/>
          <w:color w:val="243B53"/>
          <w:sz w:val="18"/>
        </w:rPr>
        <w:t>├── timeZone, currency, locale</w:t>
      </w:r>
      <w:r>
        <w:br/>
      </w:r>
      <w:r>
        <w:rPr>
          <w:rFonts w:ascii="Consolas" w:hAnsi="Consolas"/>
          <w:color w:val="243B53"/>
          <w:sz w:val="18"/>
        </w:rPr>
        <w:t>├── lifecycle actors, reasons and timestamps</w:t>
      </w:r>
      <w:r>
        <w:br/>
      </w:r>
      <w:r>
        <w:rPr>
          <w:rFonts w:ascii="Consolas" w:hAnsi="Consolas"/>
          <w:color w:val="243B53"/>
          <w:sz w:val="18"/>
        </w:rPr>
        <w:t>└── Version version</w:t>
      </w:r>
      <w:r>
        <w:br/>
      </w:r>
      <w:r>
        <w:rPr>
          <w:rFonts w:ascii="Consolas" w:hAnsi="Consolas"/>
          <w:color w:val="243B53"/>
          <w:sz w:val="18"/>
        </w:rPr>
      </w:r>
      <w:r>
        <w:br/>
      </w:r>
      <w:r>
        <w:rPr>
          <w:rFonts w:ascii="Consolas" w:hAnsi="Consolas"/>
          <w:color w:val="243B53"/>
          <w:sz w:val="18"/>
        </w:rPr>
        <w:t>UNIQUE (organization_id, store_code)</w:t>
      </w:r>
    </w:p>
    <w:p>
      <w:pPr>
        <w:pStyle w:val="ListBullet"/>
        <w:spacing w:after="80"/>
      </w:pPr>
      <w:r>
        <w:rPr>
          <w:rFonts w:ascii="Calibri" w:hAnsi="Calibri"/>
        </w:rPr>
        <w:t>`StoreCode` et `organizationId` deviennent immuables.</w:t>
      </w:r>
    </w:p>
    <w:p>
      <w:pPr>
        <w:pStyle w:val="ListBullet"/>
        <w:spacing w:after="80"/>
      </w:pPr>
      <w:r>
        <w:rPr>
          <w:rFonts w:ascii="Calibri" w:hAnsi="Calibri"/>
        </w:rPr>
        <w:t>Pour le MVP, `Store.currency == Organization.defaultCurrency`.</w:t>
      </w:r>
    </w:p>
    <w:p>
      <w:pPr>
        <w:pStyle w:val="ListBullet"/>
        <w:spacing w:after="80"/>
      </w:pPr>
      <w:r>
        <w:rPr>
          <w:rFonts w:ascii="Calibri" w:hAnsi="Calibri"/>
        </w:rPr>
        <w:t>Les timestamps sont enregistrés en UTC; la journée commerciale utilise `Store.timeZone`.</w:t>
      </w:r>
    </w:p>
    <w:p>
      <w:pPr>
        <w:pStyle w:val="ListBullet"/>
        <w:spacing w:after="80"/>
      </w:pPr>
      <w:r>
        <w:rPr>
          <w:rFonts w:ascii="Calibri" w:hAnsi="Calibri"/>
        </w:rPr>
        <w:t>Un store `CLOSED` ne redevient pas `ACTIVE` dans le workflow normal.</w:t>
      </w:r>
    </w:p>
    <w:p>
      <w:pPr>
        <w:pStyle w:val="ListBullet"/>
        <w:spacing w:after="80"/>
      </w:pPr>
      <w:r>
        <w:rPr>
          <w:rFonts w:ascii="Calibri" w:hAnsi="Calibri"/>
        </w:rPr>
        <w:t>Les références historiques à `StoreId` ne sont jamais modifiées.</w:t>
      </w:r>
    </w:p>
    <w:p>
      <w:pPr>
        <w:pStyle w:val="Heading2"/>
      </w:pPr>
      <w:r>
        <w:t>14.3 Guards opérationnels</w:t>
      </w:r>
    </w:p>
    <w:tbl>
      <w:tblPr>
        <w:tblStyle w:val="TableGrid"/>
        <w:tblW w:type="dxa" w:w="9360"/>
        <w:tblLayout w:type="fixed"/>
        <w:tblLook w:firstColumn="1" w:firstRow="1" w:lastColumn="0" w:lastRow="0" w:noHBand="0" w:noVBand="1" w:val="04A0"/>
        <w:jc w:val="left"/>
        <w:tblInd w:w="120" w:type="dxa"/>
      </w:tblPr>
      <w:tblGrid>
        <w:gridCol w:w="1800"/>
        <w:gridCol w:w="2500"/>
        <w:gridCol w:w="3100"/>
        <w:gridCol w:w="1960"/>
      </w:tblGrid>
      <w:tr>
        <w:trPr>
          <w:tblHeader w:val="true"/>
        </w:trPr>
        <w:tc>
          <w:tcPr>
            <w:tcW w:type="dxa" w:w="1800"/>
            <w:tcMar>
              <w:top w:w="80" w:type="dxa"/>
              <w:start w:w="120" w:type="dxa"/>
              <w:bottom w:w="80" w:type="dxa"/>
              <w:end w:w="120" w:type="dxa"/>
            </w:tcMar>
            <w:shd w:fill="F2F4F7"/>
          </w:tcPr>
          <w:p>
            <w:r>
              <w:rPr>
                <w:rFonts w:ascii="Calibri" w:hAnsi="Calibri"/>
                <w:b/>
                <w:color w:val="1F4D78"/>
                <w:sz w:val="19"/>
              </w:rPr>
              <w:t>Statut</w:t>
            </w:r>
          </w:p>
        </w:tc>
        <w:tc>
          <w:tcPr>
            <w:tcW w:type="dxa" w:w="2500"/>
            <w:tcMar>
              <w:top w:w="80" w:type="dxa"/>
              <w:start w:w="120" w:type="dxa"/>
              <w:bottom w:w="80" w:type="dxa"/>
              <w:end w:w="120" w:type="dxa"/>
            </w:tcMar>
            <w:shd w:fill="F2F4F7"/>
          </w:tcPr>
          <w:p>
            <w:r>
              <w:rPr>
                <w:rFonts w:ascii="Calibri" w:hAnsi="Calibri"/>
                <w:b/>
                <w:color w:val="1F4D78"/>
                <w:sz w:val="19"/>
              </w:rPr>
              <w:t>Nouvelles opérations</w:t>
            </w:r>
          </w:p>
        </w:tc>
        <w:tc>
          <w:tcPr>
            <w:tcW w:type="dxa" w:w="3100"/>
            <w:tcMar>
              <w:top w:w="80" w:type="dxa"/>
              <w:start w:w="120" w:type="dxa"/>
              <w:bottom w:w="80" w:type="dxa"/>
              <w:end w:w="120" w:type="dxa"/>
            </w:tcMar>
            <w:shd w:fill="F2F4F7"/>
          </w:tcPr>
          <w:p>
            <w:r>
              <w:rPr>
                <w:rFonts w:ascii="Calibri" w:hAnsi="Calibri"/>
                <w:b/>
                <w:color w:val="1F4D78"/>
                <w:sz w:val="19"/>
              </w:rPr>
              <w:t>Terminaison / remédiation</w:t>
            </w:r>
          </w:p>
        </w:tc>
        <w:tc>
          <w:tcPr>
            <w:tcW w:type="dxa" w:w="1960"/>
            <w:tcMar>
              <w:top w:w="80" w:type="dxa"/>
              <w:start w:w="120" w:type="dxa"/>
              <w:bottom w:w="80" w:type="dxa"/>
              <w:end w:w="120" w:type="dxa"/>
            </w:tcMar>
            <w:shd w:fill="F2F4F7"/>
          </w:tcPr>
          <w:p>
            <w:r>
              <w:rPr>
                <w:rFonts w:ascii="Calibri" w:hAnsi="Calibri"/>
                <w:b/>
                <w:color w:val="1F4D78"/>
                <w:sz w:val="19"/>
              </w:rPr>
              <w:t>Lecture</w:t>
            </w:r>
          </w:p>
        </w:tc>
      </w:tr>
      <w:tr>
        <w:tc>
          <w:tcPr>
            <w:tcW w:type="dxa" w:w="1800"/>
            <w:tcMar>
              <w:top w:w="80" w:type="dxa"/>
              <w:start w:w="120" w:type="dxa"/>
              <w:bottom w:w="80" w:type="dxa"/>
              <w:end w:w="120" w:type="dxa"/>
            </w:tcMar>
          </w:tcPr>
          <w:p>
            <w:r>
              <w:rPr>
                <w:rFonts w:ascii="Calibri" w:hAnsi="Calibri"/>
                <w:sz w:val="18"/>
              </w:rPr>
              <w:t>`ACTIVE`</w:t>
            </w:r>
          </w:p>
        </w:tc>
        <w:tc>
          <w:tcPr>
            <w:tcW w:type="dxa" w:w="2500"/>
            <w:tcMar>
              <w:top w:w="80" w:type="dxa"/>
              <w:start w:w="120" w:type="dxa"/>
              <w:bottom w:w="80" w:type="dxa"/>
              <w:end w:w="120" w:type="dxa"/>
            </w:tcMar>
          </w:tcPr>
          <w:p>
            <w:r>
              <w:rPr>
                <w:rFonts w:ascii="Calibri" w:hAnsi="Calibri"/>
                <w:sz w:val="18"/>
              </w:rPr>
              <w:t>Autorisées selon permissions</w:t>
            </w:r>
          </w:p>
        </w:tc>
        <w:tc>
          <w:tcPr>
            <w:tcW w:type="dxa" w:w="3100"/>
            <w:tcMar>
              <w:top w:w="80" w:type="dxa"/>
              <w:start w:w="120" w:type="dxa"/>
              <w:bottom w:w="80" w:type="dxa"/>
              <w:end w:w="120" w:type="dxa"/>
            </w:tcMar>
          </w:tcPr>
          <w:p>
            <w:r>
              <w:rPr>
                <w:rFonts w:ascii="Calibri" w:hAnsi="Calibri"/>
                <w:sz w:val="18"/>
              </w:rPr>
              <w:t>Autorisée</w:t>
            </w:r>
          </w:p>
        </w:tc>
        <w:tc>
          <w:tcPr>
            <w:tcW w:type="dxa" w:w="1960"/>
            <w:tcMar>
              <w:top w:w="80" w:type="dxa"/>
              <w:start w:w="120" w:type="dxa"/>
              <w:bottom w:w="80" w:type="dxa"/>
              <w:end w:w="120" w:type="dxa"/>
            </w:tcMar>
          </w:tcPr>
          <w:p>
            <w:r>
              <w:rPr>
                <w:rFonts w:ascii="Calibri" w:hAnsi="Calibri"/>
                <w:sz w:val="18"/>
              </w:rPr>
              <w:t>Autorisée</w:t>
            </w:r>
          </w:p>
        </w:tc>
      </w:tr>
      <w:tr>
        <w:tc>
          <w:tcPr>
            <w:tcW w:type="dxa" w:w="1800"/>
            <w:tcMar>
              <w:top w:w="80" w:type="dxa"/>
              <w:start w:w="120" w:type="dxa"/>
              <w:bottom w:w="80" w:type="dxa"/>
              <w:end w:w="120" w:type="dxa"/>
            </w:tcMar>
          </w:tcPr>
          <w:p>
            <w:r>
              <w:rPr>
                <w:rFonts w:ascii="Calibri" w:hAnsi="Calibri"/>
                <w:sz w:val="18"/>
              </w:rPr>
              <w:t>`SUSPENDED`</w:t>
            </w:r>
          </w:p>
        </w:tc>
        <w:tc>
          <w:tcPr>
            <w:tcW w:type="dxa" w:w="2500"/>
            <w:tcMar>
              <w:top w:w="80" w:type="dxa"/>
              <w:start w:w="120" w:type="dxa"/>
              <w:bottom w:w="80" w:type="dxa"/>
              <w:end w:w="120" w:type="dxa"/>
            </w:tcMar>
          </w:tcPr>
          <w:p>
            <w:r>
              <w:rPr>
                <w:rFonts w:ascii="Calibri" w:hAnsi="Calibri"/>
                <w:sz w:val="18"/>
              </w:rPr>
              <w:t>Refusées</w:t>
            </w:r>
          </w:p>
        </w:tc>
        <w:tc>
          <w:tcPr>
            <w:tcW w:type="dxa" w:w="3100"/>
            <w:tcMar>
              <w:top w:w="80" w:type="dxa"/>
              <w:start w:w="120" w:type="dxa"/>
              <w:bottom w:w="80" w:type="dxa"/>
              <w:end w:w="120" w:type="dxa"/>
            </w:tcMar>
          </w:tcPr>
          <w:p>
            <w:r>
              <w:rPr>
                <w:rFonts w:ascii="Calibri" w:hAnsi="Calibri"/>
                <w:sz w:val="18"/>
              </w:rPr>
              <w:t>Autorisée selon politique</w:t>
            </w:r>
          </w:p>
        </w:tc>
        <w:tc>
          <w:tcPr>
            <w:tcW w:type="dxa" w:w="1960"/>
            <w:tcMar>
              <w:top w:w="80" w:type="dxa"/>
              <w:start w:w="120" w:type="dxa"/>
              <w:bottom w:w="80" w:type="dxa"/>
              <w:end w:w="120" w:type="dxa"/>
            </w:tcMar>
          </w:tcPr>
          <w:p>
            <w:r>
              <w:rPr>
                <w:rFonts w:ascii="Calibri" w:hAnsi="Calibri"/>
                <w:sz w:val="18"/>
              </w:rPr>
              <w:t>Autorisée</w:t>
            </w:r>
          </w:p>
        </w:tc>
      </w:tr>
      <w:tr>
        <w:tc>
          <w:tcPr>
            <w:tcW w:type="dxa" w:w="1800"/>
            <w:tcMar>
              <w:top w:w="80" w:type="dxa"/>
              <w:start w:w="120" w:type="dxa"/>
              <w:bottom w:w="80" w:type="dxa"/>
              <w:end w:w="120" w:type="dxa"/>
            </w:tcMar>
          </w:tcPr>
          <w:p>
            <w:r>
              <w:rPr>
                <w:rFonts w:ascii="Calibri" w:hAnsi="Calibri"/>
                <w:sz w:val="18"/>
              </w:rPr>
              <w:t>`CLOSED`</w:t>
            </w:r>
          </w:p>
        </w:tc>
        <w:tc>
          <w:tcPr>
            <w:tcW w:type="dxa" w:w="2500"/>
            <w:tcMar>
              <w:top w:w="80" w:type="dxa"/>
              <w:start w:w="120" w:type="dxa"/>
              <w:bottom w:w="80" w:type="dxa"/>
              <w:end w:w="120" w:type="dxa"/>
            </w:tcMar>
          </w:tcPr>
          <w:p>
            <w:r>
              <w:rPr>
                <w:rFonts w:ascii="Calibri" w:hAnsi="Calibri"/>
                <w:sz w:val="18"/>
              </w:rPr>
              <w:t>Refusées</w:t>
            </w:r>
          </w:p>
        </w:tc>
        <w:tc>
          <w:tcPr>
            <w:tcW w:type="dxa" w:w="3100"/>
            <w:tcMar>
              <w:top w:w="80" w:type="dxa"/>
              <w:start w:w="120" w:type="dxa"/>
              <w:bottom w:w="80" w:type="dxa"/>
              <w:end w:w="120" w:type="dxa"/>
            </w:tcMar>
          </w:tcPr>
          <w:p>
            <w:r>
              <w:rPr>
                <w:rFonts w:ascii="Calibri" w:hAnsi="Calibri"/>
                <w:sz w:val="18"/>
              </w:rPr>
              <w:t>Exception administrative seulement</w:t>
            </w:r>
          </w:p>
        </w:tc>
        <w:tc>
          <w:tcPr>
            <w:tcW w:type="dxa" w:w="1960"/>
            <w:tcMar>
              <w:top w:w="80" w:type="dxa"/>
              <w:start w:w="120" w:type="dxa"/>
              <w:bottom w:w="80" w:type="dxa"/>
              <w:end w:w="120" w:type="dxa"/>
            </w:tcMar>
          </w:tcPr>
          <w:p>
            <w:r>
              <w:rPr>
                <w:rFonts w:ascii="Calibri" w:hAnsi="Calibri"/>
                <w:sz w:val="18"/>
              </w:rPr>
              <w:t>Selon rétention et permissions</w:t>
            </w:r>
          </w:p>
        </w:tc>
      </w:tr>
    </w:tbl>
    <w:p>
      <w:pPr>
        <w:spacing w:after="0"/>
      </w:pPr>
    </w:p>
    <w:p>
      <w:r>
        <w:rPr>
          <w:rFonts w:ascii="Calibri" w:hAnsi="Calibri"/>
          <w:i w:val="0"/>
        </w:rPr>
        <w:t>Exemples autorisés pendant suspension : `CloseCashSession`, finalisation ou annulation contrôlée d’un `StockCount`, réception d’un `StockTransfer` déjà expédié. Démarrer une vente, un comptage, une réception fournisseur ou un nouveau transfert reste interdit.</w:t>
      </w:r>
    </w:p>
    <w:p>
      <w:pPr>
        <w:pStyle w:val="Heading2"/>
      </w:pPr>
      <w:r>
        <w:t>14.4 StoreClosure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 fermeture d’un store est coordonnée par `StoreClosure`, process manager distinct de `Store`.</w:t>
            </w:r>
          </w:p>
        </w:tc>
      </w:tr>
    </w:tbl>
    <w:p>
      <w:pPr>
        <w:spacing w:after="0"/>
      </w:pPr>
    </w:p>
    <w:p>
      <w:pPr>
        <w:pStyle w:val="CodeBlock"/>
        <w:keepLines/>
        <w:shd w:fill="F7F9FC"/>
      </w:pPr>
      <w:r>
        <w:rPr>
          <w:rFonts w:ascii="Consolas" w:hAnsi="Consolas"/>
          <w:color w:val="243B53"/>
          <w:sz w:val="18"/>
        </w:rPr>
        <w:t>StoreClosure</w:t>
      </w:r>
      <w:r>
        <w:br/>
      </w:r>
      <w:r>
        <w:rPr>
          <w:rFonts w:ascii="Consolas" w:hAnsi="Consolas"/>
          <w:color w:val="243B53"/>
          <w:sz w:val="18"/>
        </w:rPr>
        <w:t>├── StoreClosureId, OrganizationId, StoreId</w:t>
      </w:r>
      <w:r>
        <w:br/>
      </w:r>
      <w:r>
        <w:rPr>
          <w:rFonts w:ascii="Consolas" w:hAnsi="Consolas"/>
          <w:color w:val="243B53"/>
          <w:sz w:val="18"/>
        </w:rPr>
        <w:t>├── status = REQUESTED | IN_PROGRESS | READY | COMPLETED | CANCELLED</w:t>
      </w:r>
      <w:r>
        <w:br/>
      </w:r>
      <w:r>
        <w:rPr>
          <w:rFonts w:ascii="Consolas" w:hAnsi="Consolas"/>
          <w:color w:val="243B53"/>
          <w:sz w:val="18"/>
        </w:rPr>
        <w:t>├── reason, blockers</w:t>
      </w:r>
      <w:r>
        <w:br/>
      </w:r>
      <w:r>
        <w:rPr>
          <w:rFonts w:ascii="Consolas" w:hAnsi="Consolas"/>
          <w:color w:val="243B53"/>
          <w:sz w:val="18"/>
        </w:rPr>
        <w:t>├── requestedBy/At, completedBy/At?</w:t>
      </w:r>
      <w:r>
        <w:br/>
      </w:r>
      <w:r>
        <w:rPr>
          <w:rFonts w:ascii="Consolas" w:hAnsi="Consolas"/>
          <w:color w:val="243B53"/>
          <w:sz w:val="18"/>
        </w:rPr>
        <w:t>└── Version</w:t>
      </w:r>
    </w:p>
    <w:p>
      <w:r>
        <w:rPr>
          <w:rFonts w:ascii="Calibri" w:hAnsi="Calibri"/>
          <w:i w:val="0"/>
        </w:rPr>
        <w:t>La finalisation revérifie l’absence de `CashSession OPEN`, transfert en transit, `StockCount OPEN/FINALIZING`, documents Purchasing ouverts et stock restant. Un store ne peut pas fermer tant qu’un `Stock.quantityOnHand &gt; 0` subsiste.</w:t>
      </w:r>
    </w:p>
    <w:p>
      <w:pPr>
        <w:pStyle w:val="Heading2"/>
      </w:pPr>
      <w:r>
        <w:t>14.5 Politiques métier</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politiques restent dans leur bounded context : `InventoryPolicy`, `PurchasingPolicy`, `CashManagementPolicy` et `SalesPolicy`. `OrganizationSettings` ne devient pas un dictionnaire transversal incontrôlé.</w:t>
            </w:r>
          </w:p>
        </w:tc>
      </w:tr>
    </w:tbl>
    <w:p>
      <w:pPr>
        <w:spacing w:after="0"/>
      </w:pPr>
    </w:p>
    <w:p>
      <w:pPr>
        <w:pStyle w:val="Heading1"/>
      </w:pPr>
      <w:r>
        <w:t>15. Audit transversal et event envelope</w:t>
      </w:r>
    </w:p>
    <w:p>
      <w:pPr>
        <w:pStyle w:val="Heading2"/>
      </w:pPr>
      <w:r>
        <w:t>15.1 Quatre mécanismes distincts</w:t>
      </w:r>
    </w:p>
    <w:tbl>
      <w:tblPr>
        <w:tblStyle w:val="TableGrid"/>
        <w:tblW w:type="dxa" w:w="9360"/>
        <w:tblLayout w:type="fixed"/>
        <w:tblLook w:firstColumn="1" w:firstRow="1" w:lastColumn="0" w:lastRow="0" w:noHBand="0" w:noVBand="1" w:val="04A0"/>
        <w:jc w:val="left"/>
        <w:tblInd w:w="120" w:type="dxa"/>
      </w:tblPr>
      <w:tblGrid>
        <w:gridCol w:w="2100"/>
        <w:gridCol w:w="3700"/>
        <w:gridCol w:w="3560"/>
      </w:tblGrid>
      <w:tr>
        <w:trPr>
          <w:tblHeader w:val="true"/>
        </w:trPr>
        <w:tc>
          <w:tcPr>
            <w:tcW w:type="dxa" w:w="2100"/>
            <w:tcMar>
              <w:top w:w="80" w:type="dxa"/>
              <w:start w:w="120" w:type="dxa"/>
              <w:bottom w:w="80" w:type="dxa"/>
              <w:end w:w="120" w:type="dxa"/>
            </w:tcMar>
            <w:shd w:fill="F2F4F7"/>
          </w:tcPr>
          <w:p>
            <w:r>
              <w:rPr>
                <w:rFonts w:ascii="Calibri" w:hAnsi="Calibri"/>
                <w:b/>
                <w:color w:val="1F4D78"/>
                <w:sz w:val="19"/>
              </w:rPr>
              <w:t>Mécanisme</w:t>
            </w:r>
          </w:p>
        </w:tc>
        <w:tc>
          <w:tcPr>
            <w:tcW w:type="dxa" w:w="3700"/>
            <w:tcMar>
              <w:top w:w="80" w:type="dxa"/>
              <w:start w:w="120" w:type="dxa"/>
              <w:bottom w:w="80" w:type="dxa"/>
              <w:end w:w="120" w:type="dxa"/>
            </w:tcMar>
            <w:shd w:fill="F2F4F7"/>
          </w:tcPr>
          <w:p>
            <w:r>
              <w:rPr>
                <w:rFonts w:ascii="Calibri" w:hAnsi="Calibri"/>
                <w:b/>
                <w:color w:val="1F4D78"/>
                <w:sz w:val="19"/>
              </w:rPr>
              <w:t>Finalité</w:t>
            </w:r>
          </w:p>
        </w:tc>
        <w:tc>
          <w:tcPr>
            <w:tcW w:type="dxa" w:w="3560"/>
            <w:tcMar>
              <w:top w:w="80" w:type="dxa"/>
              <w:start w:w="120" w:type="dxa"/>
              <w:bottom w:w="80" w:type="dxa"/>
              <w:end w:w="120" w:type="dxa"/>
            </w:tcMar>
            <w:shd w:fill="F2F4F7"/>
          </w:tcPr>
          <w:p>
            <w:r>
              <w:rPr>
                <w:rFonts w:ascii="Calibri" w:hAnsi="Calibri"/>
                <w:b/>
                <w:color w:val="1F4D78"/>
                <w:sz w:val="19"/>
              </w:rPr>
              <w:t>Exemples</w:t>
            </w:r>
          </w:p>
        </w:tc>
      </w:tr>
      <w:tr>
        <w:tc>
          <w:tcPr>
            <w:tcW w:type="dxa" w:w="2100"/>
            <w:tcMar>
              <w:top w:w="80" w:type="dxa"/>
              <w:start w:w="120" w:type="dxa"/>
              <w:bottom w:w="80" w:type="dxa"/>
              <w:end w:w="120" w:type="dxa"/>
            </w:tcMar>
          </w:tcPr>
          <w:p>
            <w:r>
              <w:rPr>
                <w:rFonts w:ascii="Calibri" w:hAnsi="Calibri"/>
                <w:sz w:val="18"/>
              </w:rPr>
              <w:t>Domain event</w:t>
            </w:r>
          </w:p>
        </w:tc>
        <w:tc>
          <w:tcPr>
            <w:tcW w:type="dxa" w:w="3700"/>
            <w:tcMar>
              <w:top w:w="80" w:type="dxa"/>
              <w:start w:w="120" w:type="dxa"/>
              <w:bottom w:w="80" w:type="dxa"/>
              <w:end w:w="120" w:type="dxa"/>
            </w:tcMar>
          </w:tcPr>
          <w:p>
            <w:r>
              <w:rPr>
                <w:rFonts w:ascii="Calibri" w:hAnsi="Calibri"/>
                <w:sz w:val="18"/>
              </w:rPr>
              <w:t>Fait métier publié et versionné.</w:t>
            </w:r>
          </w:p>
        </w:tc>
        <w:tc>
          <w:tcPr>
            <w:tcW w:type="dxa" w:w="3560"/>
            <w:tcMar>
              <w:top w:w="80" w:type="dxa"/>
              <w:start w:w="120" w:type="dxa"/>
              <w:bottom w:w="80" w:type="dxa"/>
              <w:end w:w="120" w:type="dxa"/>
            </w:tcMar>
          </w:tcPr>
          <w:p>
            <w:r>
              <w:rPr>
                <w:rFonts w:ascii="Calibri" w:hAnsi="Calibri"/>
                <w:sz w:val="18"/>
              </w:rPr>
              <w:t>`SaleCompleted`, `StoreClosed`</w:t>
            </w:r>
          </w:p>
        </w:tc>
      </w:tr>
      <w:tr>
        <w:tc>
          <w:tcPr>
            <w:tcW w:type="dxa" w:w="2100"/>
            <w:tcMar>
              <w:top w:w="80" w:type="dxa"/>
              <w:start w:w="120" w:type="dxa"/>
              <w:bottom w:w="80" w:type="dxa"/>
              <w:end w:w="120" w:type="dxa"/>
            </w:tcMar>
          </w:tcPr>
          <w:p>
            <w:r>
              <w:rPr>
                <w:rFonts w:ascii="Calibri" w:hAnsi="Calibri"/>
                <w:sz w:val="18"/>
              </w:rPr>
              <w:t>Business ledger</w:t>
            </w:r>
          </w:p>
        </w:tc>
        <w:tc>
          <w:tcPr>
            <w:tcW w:type="dxa" w:w="3700"/>
            <w:tcMar>
              <w:top w:w="80" w:type="dxa"/>
              <w:start w:w="120" w:type="dxa"/>
              <w:bottom w:w="80" w:type="dxa"/>
              <w:end w:w="120" w:type="dxa"/>
            </w:tcMar>
          </w:tcPr>
          <w:p>
            <w:r>
              <w:rPr>
                <w:rFonts w:ascii="Calibri" w:hAnsi="Calibri"/>
                <w:sz w:val="18"/>
              </w:rPr>
              <w:t>Preuve quantitative métier durable.</w:t>
            </w:r>
          </w:p>
        </w:tc>
        <w:tc>
          <w:tcPr>
            <w:tcW w:type="dxa" w:w="3560"/>
            <w:tcMar>
              <w:top w:w="80" w:type="dxa"/>
              <w:start w:w="120" w:type="dxa"/>
              <w:bottom w:w="80" w:type="dxa"/>
              <w:end w:w="120" w:type="dxa"/>
            </w:tcMar>
          </w:tcPr>
          <w:p>
            <w:r>
              <w:rPr>
                <w:rFonts w:ascii="Calibri" w:hAnsi="Calibri"/>
                <w:sz w:val="18"/>
              </w:rPr>
              <w:t>`StockMovement`, `CashMovement`</w:t>
            </w:r>
          </w:p>
        </w:tc>
      </w:tr>
      <w:tr>
        <w:tc>
          <w:tcPr>
            <w:tcW w:type="dxa" w:w="2100"/>
            <w:tcMar>
              <w:top w:w="80" w:type="dxa"/>
              <w:start w:w="120" w:type="dxa"/>
              <w:bottom w:w="80" w:type="dxa"/>
              <w:end w:w="120" w:type="dxa"/>
            </w:tcMar>
          </w:tcPr>
          <w:p>
            <w:r>
              <w:rPr>
                <w:rFonts w:ascii="Calibri" w:hAnsi="Calibri"/>
                <w:sz w:val="18"/>
              </w:rPr>
              <w:t>Security audit</w:t>
            </w:r>
          </w:p>
        </w:tc>
        <w:tc>
          <w:tcPr>
            <w:tcW w:type="dxa" w:w="3700"/>
            <w:tcMar>
              <w:top w:w="80" w:type="dxa"/>
              <w:start w:w="120" w:type="dxa"/>
              <w:bottom w:w="80" w:type="dxa"/>
              <w:end w:w="120" w:type="dxa"/>
            </w:tcMar>
          </w:tcPr>
          <w:p>
            <w:r>
              <w:rPr>
                <w:rFonts w:ascii="Calibri" w:hAnsi="Calibri"/>
                <w:sz w:val="18"/>
              </w:rPr>
              <w:t>Décision ou utilisation d’un accès sensible.</w:t>
            </w:r>
          </w:p>
        </w:tc>
        <w:tc>
          <w:tcPr>
            <w:tcW w:type="dxa" w:w="3560"/>
            <w:tcMar>
              <w:top w:w="80" w:type="dxa"/>
              <w:start w:w="120" w:type="dxa"/>
              <w:bottom w:w="80" w:type="dxa"/>
              <w:end w:w="120" w:type="dxa"/>
            </w:tcMar>
          </w:tcPr>
          <w:p>
            <w:r>
              <w:rPr>
                <w:rFonts w:ascii="Calibri" w:hAnsi="Calibri"/>
                <w:sz w:val="18"/>
              </w:rPr>
              <w:t>`ROLE_ASSIGNED`, `OVER_RECEIPT_AUTHORIZED`</w:t>
            </w:r>
          </w:p>
        </w:tc>
      </w:tr>
      <w:tr>
        <w:tc>
          <w:tcPr>
            <w:tcW w:type="dxa" w:w="2100"/>
            <w:tcMar>
              <w:top w:w="80" w:type="dxa"/>
              <w:start w:w="120" w:type="dxa"/>
              <w:bottom w:w="80" w:type="dxa"/>
              <w:end w:w="120" w:type="dxa"/>
            </w:tcMar>
          </w:tcPr>
          <w:p>
            <w:r>
              <w:rPr>
                <w:rFonts w:ascii="Calibri" w:hAnsi="Calibri"/>
                <w:sz w:val="18"/>
              </w:rPr>
              <w:t>Technical audit</w:t>
            </w:r>
          </w:p>
        </w:tc>
        <w:tc>
          <w:tcPr>
            <w:tcW w:type="dxa" w:w="3700"/>
            <w:tcMar>
              <w:top w:w="80" w:type="dxa"/>
              <w:start w:w="120" w:type="dxa"/>
              <w:bottom w:w="80" w:type="dxa"/>
              <w:end w:w="120" w:type="dxa"/>
            </w:tcMar>
          </w:tcPr>
          <w:p>
            <w:r>
              <w:rPr>
                <w:rFonts w:ascii="Calibri" w:hAnsi="Calibri"/>
                <w:sz w:val="18"/>
              </w:rPr>
              <w:t>Diagnostic et observabilité.</w:t>
            </w:r>
          </w:p>
        </w:tc>
        <w:tc>
          <w:tcPr>
            <w:tcW w:type="dxa" w:w="3560"/>
            <w:tcMar>
              <w:top w:w="80" w:type="dxa"/>
              <w:start w:w="120" w:type="dxa"/>
              <w:bottom w:w="80" w:type="dxa"/>
              <w:end w:w="120" w:type="dxa"/>
            </w:tcMar>
          </w:tcPr>
          <w:p>
            <w:r>
              <w:rPr>
                <w:rFonts w:ascii="Calibri" w:hAnsi="Calibri"/>
                <w:sz w:val="18"/>
              </w:rPr>
              <w:t>Retries, conflits, erreurs, métriques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Aucun mécanisme ne remplace les autres. Les business ledgers et `SecurityAuditEntry` sont append-only; les logs techniques ne constituent pas une preuve métier.</w:t>
            </w:r>
          </w:p>
        </w:tc>
      </w:tr>
    </w:tbl>
    <w:p>
      <w:pPr>
        <w:spacing w:after="0"/>
      </w:pPr>
    </w:p>
    <w:p>
      <w:pPr>
        <w:pStyle w:val="Heading2"/>
      </w:pPr>
      <w:r>
        <w:t>15.2 Event envelope et causalité</w:t>
      </w:r>
    </w:p>
    <w:p>
      <w:pPr>
        <w:pStyle w:val="CodeBlock"/>
        <w:keepLines/>
        <w:shd w:fill="F7F9FC"/>
      </w:pPr>
      <w:r>
        <w:rPr>
          <w:rFonts w:ascii="Consolas" w:hAnsi="Consolas"/>
          <w:color w:val="243B53"/>
          <w:sz w:val="18"/>
        </w:rPr>
        <w:t>DomainEventEnvelope&lt;T&gt;</w:t>
      </w:r>
      <w:r>
        <w:br/>
      </w:r>
      <w:r>
        <w:rPr>
          <w:rFonts w:ascii="Consolas" w:hAnsi="Consolas"/>
          <w:color w:val="243B53"/>
          <w:sz w:val="18"/>
        </w:rPr>
        <w:t>├── eventId, eventType, schemaVersion</w:t>
      </w:r>
      <w:r>
        <w:br/>
      </w:r>
      <w:r>
        <w:rPr>
          <w:rFonts w:ascii="Consolas" w:hAnsi="Consolas"/>
          <w:color w:val="243B53"/>
          <w:sz w:val="18"/>
        </w:rPr>
        <w:t>├── organizationId</w:t>
      </w:r>
      <w:r>
        <w:br/>
      </w:r>
      <w:r>
        <w:rPr>
          <w:rFonts w:ascii="Consolas" w:hAnsi="Consolas"/>
          <w:color w:val="243B53"/>
          <w:sz w:val="18"/>
        </w:rPr>
        <w:t>├── aggregateType, aggregateId, aggregateVersion</w:t>
      </w:r>
      <w:r>
        <w:br/>
      </w:r>
      <w:r>
        <w:rPr>
          <w:rFonts w:ascii="Consolas" w:hAnsi="Consolas"/>
          <w:color w:val="243B53"/>
          <w:sz w:val="18"/>
        </w:rPr>
        <w:t>├── occurredAt</w:t>
      </w:r>
      <w:r>
        <w:br/>
      </w:r>
      <w:r>
        <w:rPr>
          <w:rFonts w:ascii="Consolas" w:hAnsi="Consolas"/>
          <w:color w:val="243B53"/>
          <w:sz w:val="18"/>
        </w:rPr>
        <w:t>├── ActorReference actor</w:t>
      </w:r>
      <w:r>
        <w:br/>
      </w:r>
      <w:r>
        <w:rPr>
          <w:rFonts w:ascii="Consolas" w:hAnsi="Consolas"/>
          <w:color w:val="243B53"/>
          <w:sz w:val="18"/>
        </w:rPr>
        <w:t>├── correlationId, causationId</w:t>
      </w:r>
      <w:r>
        <w:br/>
      </w:r>
      <w:r>
        <w:rPr>
          <w:rFonts w:ascii="Consolas" w:hAnsi="Consolas"/>
          <w:color w:val="243B53"/>
          <w:sz w:val="18"/>
        </w:rPr>
        <w:t>└── payload</w:t>
      </w:r>
    </w:p>
    <w:p>
      <w:r>
        <w:rPr>
          <w:rFonts w:ascii="Calibri" w:hAnsi="Calibri"/>
          <w:i w:val="0"/>
        </w:rPr>
        <w:t>`CorrelationId` regroupe un workflow; `CausationId` relie chaque action à sa cause directe. L’ordre est porté par `aggregateVersion`, sans ordre global de tous les events.</w:t>
      </w:r>
    </w:p>
    <w:p>
      <w:pPr>
        <w:pStyle w:val="Heading2"/>
      </w:pPr>
      <w:r>
        <w:t>15.3 SecurityAuditEntry</w:t>
      </w:r>
    </w:p>
    <w:p>
      <w:pPr>
        <w:pStyle w:val="CodeBlock"/>
        <w:keepLines/>
        <w:shd w:fill="F7F9FC"/>
      </w:pPr>
      <w:r>
        <w:rPr>
          <w:rFonts w:ascii="Consolas" w:hAnsi="Consolas"/>
          <w:color w:val="243B53"/>
          <w:sz w:val="18"/>
        </w:rPr>
        <w:t>SecurityAuditEntry</w:t>
      </w:r>
      <w:r>
        <w:br/>
      </w:r>
      <w:r>
        <w:rPr>
          <w:rFonts w:ascii="Consolas" w:hAnsi="Consolas"/>
          <w:color w:val="243B53"/>
          <w:sz w:val="18"/>
        </w:rPr>
        <w:t>├── id, organizationId</w:t>
      </w:r>
      <w:r>
        <w:br/>
      </w:r>
      <w:r>
        <w:rPr>
          <w:rFonts w:ascii="Consolas" w:hAnsi="Consolas"/>
          <w:color w:val="243B53"/>
          <w:sz w:val="18"/>
        </w:rPr>
        <w:t>├── ActorReference actor</w:t>
      </w:r>
      <w:r>
        <w:br/>
      </w:r>
      <w:r>
        <w:rPr>
          <w:rFonts w:ascii="Consolas" w:hAnsi="Consolas"/>
          <w:color w:val="243B53"/>
          <w:sz w:val="18"/>
        </w:rPr>
        <w:t>├── SecurityAction action</w:t>
      </w:r>
      <w:r>
        <w:br/>
      </w:r>
      <w:r>
        <w:rPr>
          <w:rFonts w:ascii="Consolas" w:hAnsi="Consolas"/>
          <w:color w:val="243B53"/>
          <w:sz w:val="18"/>
        </w:rPr>
        <w:t>├── ResourceReference target</w:t>
      </w:r>
      <w:r>
        <w:br/>
      </w:r>
      <w:r>
        <w:rPr>
          <w:rFonts w:ascii="Consolas" w:hAnsi="Consolas"/>
          <w:color w:val="243B53"/>
          <w:sz w:val="18"/>
        </w:rPr>
        <w:t>├── AuditOutcome = SUCCESS | DENIED | FAILED</w:t>
      </w:r>
      <w:r>
        <w:br/>
      </w:r>
      <w:r>
        <w:rPr>
          <w:rFonts w:ascii="Consolas" w:hAnsi="Consolas"/>
          <w:color w:val="243B53"/>
          <w:sz w:val="18"/>
        </w:rPr>
        <w:t>├── reason?, SafeAuditMetadata</w:t>
      </w:r>
      <w:r>
        <w:br/>
      </w:r>
      <w:r>
        <w:rPr>
          <w:rFonts w:ascii="Consolas" w:hAnsi="Consolas"/>
          <w:color w:val="243B53"/>
          <w:sz w:val="18"/>
        </w:rPr>
        <w:t>├── correlationId, causationId?</w:t>
      </w:r>
      <w:r>
        <w:br/>
      </w:r>
      <w:r>
        <w:rPr>
          <w:rFonts w:ascii="Consolas" w:hAnsi="Consolas"/>
          <w:color w:val="243B53"/>
          <w:sz w:val="18"/>
        </w:rPr>
        <w:t>├── sessionId?, ipAddress?, userAgent?</w:t>
      </w:r>
      <w:r>
        <w:br/>
      </w:r>
      <w:r>
        <w:rPr>
          <w:rFonts w:ascii="Consolas" w:hAnsi="Consolas"/>
          <w:color w:val="243B53"/>
          <w:sz w:val="18"/>
        </w:rPr>
        <w:t>└── occurredAt</w:t>
      </w:r>
    </w:p>
    <w:p>
      <w:pPr>
        <w:pStyle w:val="ListBullet"/>
        <w:spacing w:after="80"/>
      </w:pPr>
      <w:r>
        <w:rPr>
          <w:rFonts w:ascii="Calibri" w:hAnsi="Calibri"/>
        </w:rPr>
        <w:t>Toute action sensible réussie est auditée dans la transaction métier.</w:t>
      </w:r>
    </w:p>
    <w:p>
      <w:pPr>
        <w:pStyle w:val="ListBullet"/>
        <w:spacing w:after="80"/>
      </w:pPr>
      <w:r>
        <w:rPr>
          <w:rFonts w:ascii="Calibri" w:hAnsi="Calibri"/>
        </w:rPr>
        <w:t>Tout refus sensible produit un audit séparé.</w:t>
      </w:r>
    </w:p>
    <w:p>
      <w:pPr>
        <w:pStyle w:val="ListBullet"/>
        <w:spacing w:after="80"/>
      </w:pPr>
      <w:r>
        <w:rPr>
          <w:rFonts w:ascii="Calibri" w:hAnsi="Calibri"/>
        </w:rPr>
        <w:t>Les consultations et exports sensibles sont eux-mêmes audités.</w:t>
      </w:r>
    </w:p>
    <w:p>
      <w:pPr>
        <w:pStyle w:val="ListBullet"/>
        <w:spacing w:after="80"/>
      </w:pPr>
      <w:r>
        <w:rPr>
          <w:rFonts w:ascii="Calibri" w:hAnsi="Calibri"/>
        </w:rPr>
        <w:t>Les métadonnées sont explicitement autorisées par action; aucun payload brut.</w:t>
      </w:r>
    </w:p>
    <w:p>
      <w:pPr>
        <w:pStyle w:val="ListBullet"/>
        <w:spacing w:after="80"/>
      </w:pPr>
      <w:r>
        <w:rPr>
          <w:rFonts w:ascii="Calibri" w:hAnsi="Calibri"/>
        </w:rPr>
        <w:t>Aucun mot de passe, token, secret ou donnée de paiement dans l’audit ou l’outbox.</w:t>
      </w:r>
    </w:p>
    <w:p>
      <w:pPr>
        <w:pStyle w:val="Heading2"/>
      </w:pPr>
      <w:r>
        <w:t>15.4 Outbox et idempotence des consommateurs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L’outbox fournit une livraison at-least-once. Chaque consommateur persiste `ProcessedMessage(consumer, eventId)` avec une contrainte unique.</w:t>
            </w:r>
          </w:p>
        </w:tc>
      </w:tr>
    </w:tbl>
    <w:p>
      <w:pPr>
        <w:spacing w:after="0"/>
      </w:pPr>
    </w:p>
    <w:p>
      <w:pPr>
        <w:pStyle w:val="CodeBlock"/>
        <w:keepLines/>
        <w:shd w:fill="F7F9FC"/>
      </w:pPr>
      <w:r>
        <w:rPr>
          <w:rFonts w:ascii="Consolas" w:hAnsi="Consolas"/>
          <w:color w:val="243B53"/>
          <w:sz w:val="18"/>
        </w:rPr>
        <w:t>aggregate change</w:t>
      </w:r>
      <w:r>
        <w:br/>
      </w:r>
      <w:r>
        <w:rPr>
          <w:rFonts w:ascii="Consolas" w:hAnsi="Consolas"/>
          <w:color w:val="243B53"/>
          <w:sz w:val="18"/>
        </w:rPr>
        <w:t>+ business ledger</w:t>
      </w:r>
      <w:r>
        <w:br/>
      </w:r>
      <w:r>
        <w:rPr>
          <w:rFonts w:ascii="Consolas" w:hAnsi="Consolas"/>
          <w:color w:val="243B53"/>
          <w:sz w:val="18"/>
        </w:rPr>
        <w:t>+ security audit requis</w:t>
      </w:r>
      <w:r>
        <w:br/>
      </w:r>
      <w:r>
        <w:rPr>
          <w:rFonts w:ascii="Consolas" w:hAnsi="Consolas"/>
          <w:color w:val="243B53"/>
          <w:sz w:val="18"/>
        </w:rPr>
        <w:t>+ outbox message</w:t>
      </w:r>
      <w:r>
        <w:br/>
      </w:r>
      <w:r>
        <w:rPr>
          <w:rFonts w:ascii="Consolas" w:hAnsi="Consolas"/>
          <w:color w:val="243B53"/>
          <w:sz w:val="18"/>
        </w:rPr>
        <w:t>= même transaction locale</w:t>
      </w:r>
    </w:p>
    <w:p>
      <w:pPr>
        <w:pStyle w:val="Heading2"/>
      </w:pPr>
      <w:r>
        <w:t>15.5 Temps, rétention et immutabilité</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`occurredAt` et `recordedAt` sont enregistrés en UTC; la source du timestamp est connue. Les durées de rétention sont configurées par type de donnée et juridiction.</w:t>
            </w:r>
          </w:p>
        </w:tc>
      </w:tr>
    </w:tbl>
    <w:p>
      <w:pPr>
        <w:spacing w:after="0"/>
      </w:pPr>
    </w:p>
    <w:p>
      <w:r>
        <w:rPr>
          <w:rFonts w:ascii="Calibri" w:hAnsi="Calibri"/>
          <w:i w:val="0"/>
        </w:rPr>
        <w:t>L’immutabilité est renforcée dans le domaine, les repositories, la base de données et l’exploitation. Une anonymisation conserve `ActorId` sans dupliquer inutilement les données personnelles.</w:t>
      </w:r>
    </w:p>
    <w:p>
      <w:pPr>
        <w:pStyle w:val="Heading1"/>
      </w:pPr>
      <w:r>
        <w:t>16. Catalog et unités de mesure</w:t>
      </w:r>
    </w:p>
    <w:p>
      <w:pPr>
        <w:pStyle w:val="Heading2"/>
      </w:pPr>
      <w:r>
        <w:t>16.1 Aggregate Product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Chaque SKU vendable est un `Product` autonome dans le MVP; `ProductVariant` n’est pas introduit.</w:t>
            </w:r>
          </w:p>
        </w:tc>
      </w:tr>
    </w:tbl>
    <w:p>
      <w:pPr>
        <w:spacing w:after="0"/>
      </w:pPr>
    </w:p>
    <w:p>
      <w:pPr>
        <w:pStyle w:val="CodeBlock"/>
        <w:keepLines/>
        <w:shd w:fill="F7F9FC"/>
      </w:pPr>
      <w:r>
        <w:rPr>
          <w:rFonts w:ascii="Consolas" w:hAnsi="Consolas"/>
          <w:color w:val="243B53"/>
          <w:sz w:val="18"/>
        </w:rPr>
        <w:t>Product</w:t>
      </w:r>
      <w:r>
        <w:br/>
      </w:r>
      <w:r>
        <w:rPr>
          <w:rFonts w:ascii="Consolas" w:hAnsi="Consolas"/>
          <w:color w:val="243B53"/>
          <w:sz w:val="18"/>
        </w:rPr>
        <w:t>├── ProductId, OrganizationId</w:t>
      </w:r>
      <w:r>
        <w:br/>
      </w:r>
      <w:r>
        <w:rPr>
          <w:rFonts w:ascii="Consolas" w:hAnsi="Consolas"/>
          <w:color w:val="243B53"/>
          <w:sz w:val="18"/>
        </w:rPr>
        <w:t>├── ProductCode, name, description?</w:t>
      </w:r>
      <w:r>
        <w:br/>
      </w:r>
      <w:r>
        <w:rPr>
          <w:rFonts w:ascii="Consolas" w:hAnsi="Consolas"/>
          <w:color w:val="243B53"/>
          <w:sz w:val="18"/>
        </w:rPr>
        <w:t>├── status = DRAFT | ACTIVE | INACTIVE | ARCHIVED</w:t>
      </w:r>
      <w:r>
        <w:br/>
      </w:r>
      <w:r>
        <w:rPr>
          <w:rFonts w:ascii="Consolas" w:hAnsi="Consolas"/>
          <w:color w:val="243B53"/>
          <w:sz w:val="18"/>
        </w:rPr>
        <w:t>├── type = PHYSICAL | SERVICE</w:t>
      </w:r>
      <w:r>
        <w:br/>
      </w:r>
      <w:r>
        <w:rPr>
          <w:rFonts w:ascii="Consolas" w:hAnsi="Consolas"/>
          <w:color w:val="243B53"/>
          <w:sz w:val="18"/>
        </w:rPr>
        <w:t>├── baseUnitId, inventoryTracked</w:t>
      </w:r>
      <w:r>
        <w:br/>
      </w:r>
      <w:r>
        <w:rPr>
          <w:rFonts w:ascii="Consolas" w:hAnsi="Consolas"/>
          <w:color w:val="243B53"/>
          <w:sz w:val="18"/>
        </w:rPr>
        <w:t>├── taxCategoryId?, categoryId?</w:t>
      </w:r>
      <w:r>
        <w:br/>
      </w:r>
      <w:r>
        <w:rPr>
          <w:rFonts w:ascii="Consolas" w:hAnsi="Consolas"/>
          <w:color w:val="243B53"/>
          <w:sz w:val="18"/>
        </w:rPr>
        <w:t>├── ProductPackaging[]</w:t>
      </w:r>
      <w:r>
        <w:br/>
      </w:r>
      <w:r>
        <w:rPr>
          <w:rFonts w:ascii="Consolas" w:hAnsi="Consolas"/>
          <w:color w:val="243B53"/>
          <w:sz w:val="18"/>
        </w:rPr>
        <w:t>└── Version</w:t>
      </w:r>
    </w:p>
    <w:p>
      <w:pPr>
        <w:pStyle w:val="ListBullet"/>
        <w:spacing w:after="80"/>
      </w:pPr>
      <w:r>
        <w:rPr>
          <w:rFonts w:ascii="Calibri" w:hAnsi="Calibri"/>
        </w:rPr>
        <w:t>`ProductCode` est unique par organization et immuable après activation.</w:t>
      </w:r>
    </w:p>
    <w:p>
      <w:pPr>
        <w:pStyle w:val="ListBullet"/>
        <w:spacing w:after="80"/>
      </w:pPr>
      <w:r>
        <w:rPr>
          <w:rFonts w:ascii="Calibri" w:hAnsi="Calibri"/>
        </w:rPr>
        <w:t>`SERVICE` implique `inventoryTracked = false`.</w:t>
      </w:r>
    </w:p>
    <w:p>
      <w:pPr>
        <w:pStyle w:val="ListBullet"/>
        <w:spacing w:after="80"/>
      </w:pPr>
      <w:r>
        <w:rPr>
          <w:rFonts w:ascii="Calibri" w:hAnsi="Calibri"/>
        </w:rPr>
        <w:t>Un produit inactif peut terminer un workflow existant.</w:t>
      </w:r>
    </w:p>
    <w:p>
      <w:pPr>
        <w:pStyle w:val="ListBullet"/>
        <w:spacing w:after="80"/>
      </w:pPr>
      <w:r>
        <w:rPr>
          <w:rFonts w:ascii="Calibri" w:hAnsi="Calibri"/>
        </w:rPr>
        <w:t>Un produit archivé reste consultable dans l’historique.</w:t>
      </w:r>
    </w:p>
    <w:p>
      <w:pPr>
        <w:pStyle w:val="ListBullet"/>
        <w:spacing w:after="80"/>
      </w:pPr>
      <w:r>
        <w:rPr>
          <w:rFonts w:ascii="Calibri" w:hAnsi="Calibri"/>
        </w:rPr>
        <w:t>La base unit est immuable après activation.</w:t>
      </w:r>
    </w:p>
    <w:p>
      <w:pPr>
        <w:pStyle w:val="Heading2"/>
      </w:pPr>
      <w:r>
        <w:t>16.2 Category et barcode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`Category` est un aggregate séparé; `Product` référence `CategoryId`. Les cycles hiérarchiques sont interdits.</w:t>
            </w:r>
          </w:p>
        </w:tc>
      </w:tr>
    </w:tbl>
    <w:p>
      <w:pPr>
        <w:spacing w:after="0"/>
      </w:pPr>
    </w:p>
    <w:p>
      <w:r>
        <w:rPr>
          <w:rFonts w:ascii="Calibri" w:hAnsi="Calibri"/>
          <w:i w:val="0"/>
        </w:rPr>
        <w:t>Les codes-barres sont des chaînes, préservent les zéros initiaux et sont uniques par `organizationId + normalizedBarcode`. La résolution retourne `productId + productPackagingId`.</w:t>
      </w:r>
    </w:p>
    <w:p>
      <w:pPr>
        <w:pStyle w:val="Heading2"/>
      </w:pPr>
      <w:r>
        <w:t>16.3 UnitOfMeasure et précision</w:t>
      </w:r>
    </w:p>
    <w:p>
      <w:pPr>
        <w:pStyle w:val="CodeBlock"/>
        <w:keepLines/>
        <w:shd w:fill="F7F9FC"/>
      </w:pPr>
      <w:r>
        <w:rPr>
          <w:rFonts w:ascii="Consolas" w:hAnsi="Consolas"/>
          <w:color w:val="243B53"/>
          <w:sz w:val="18"/>
        </w:rPr>
        <w:t>UnitOfMeasure</w:t>
      </w:r>
      <w:r>
        <w:br/>
      </w:r>
      <w:r>
        <w:rPr>
          <w:rFonts w:ascii="Consolas" w:hAnsi="Consolas"/>
          <w:color w:val="243B53"/>
          <w:sz w:val="18"/>
        </w:rPr>
        <w:t>├── code, name</w:t>
      </w:r>
      <w:r>
        <w:br/>
      </w:r>
      <w:r>
        <w:rPr>
          <w:rFonts w:ascii="Consolas" w:hAnsi="Consolas"/>
          <w:color w:val="243B53"/>
          <w:sz w:val="18"/>
        </w:rPr>
        <w:t>├── dimension = COUNT | MASS | VOLUME | LENGTH | TIME | OTHER</w:t>
      </w:r>
      <w:r>
        <w:br/>
      </w:r>
      <w:r>
        <w:rPr>
          <w:rFonts w:ascii="Consolas" w:hAnsi="Consolas"/>
          <w:color w:val="243B53"/>
          <w:sz w:val="18"/>
        </w:rPr>
        <w:t>├── precision, roundingMode</w:t>
      </w:r>
      <w:r>
        <w:br/>
      </w:r>
      <w:r>
        <w:rPr>
          <w:rFonts w:ascii="Consolas" w:hAnsi="Consolas"/>
          <w:color w:val="243B53"/>
          <w:sz w:val="18"/>
        </w:rPr>
        <w:t>└── status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quantités sont stockées en décimal exact avec une précision technique commune; la précision métier est validée par l’unité et le packaging. Aucune quantité physique n’est arrondie silencieusement.</w:t>
            </w:r>
          </w:p>
        </w:tc>
      </w:tr>
    </w:tbl>
    <w:p>
      <w:pPr>
        <w:spacing w:after="0"/>
      </w:pPr>
    </w:p>
    <w:p>
      <w:pPr>
        <w:pStyle w:val="Heading1"/>
      </w:pPr>
      <w:r>
        <w:t>17. ProductPackaging et conversions</w:t>
      </w:r>
    </w:p>
    <w:p>
      <w:pPr>
        <w:pStyle w:val="Heading2"/>
      </w:pPr>
      <w:r>
        <w:t>17.1 Modèle</w:t>
      </w:r>
    </w:p>
    <w:p>
      <w:pPr>
        <w:pStyle w:val="CodeBlock"/>
        <w:keepLines/>
        <w:shd w:fill="F7F9FC"/>
      </w:pPr>
      <w:r>
        <w:rPr>
          <w:rFonts w:ascii="Consolas" w:hAnsi="Consolas"/>
          <w:color w:val="243B53"/>
          <w:sz w:val="18"/>
        </w:rPr>
        <w:t>ProductPackaging</w:t>
      </w:r>
      <w:r>
        <w:br/>
      </w:r>
      <w:r>
        <w:rPr>
          <w:rFonts w:ascii="Consolas" w:hAnsi="Consolas"/>
          <w:color w:val="243B53"/>
          <w:sz w:val="18"/>
        </w:rPr>
        <w:t>├── ProductPackagingId, ProductId</w:t>
      </w:r>
      <w:r>
        <w:br/>
      </w:r>
      <w:r>
        <w:rPr>
          <w:rFonts w:ascii="Consolas" w:hAnsi="Consolas"/>
          <w:color w:val="243B53"/>
          <w:sz w:val="18"/>
        </w:rPr>
        <w:t>├── code, name, unitId</w:t>
      </w:r>
      <w:r>
        <w:br/>
      </w:r>
      <w:r>
        <w:rPr>
          <w:rFonts w:ascii="Consolas" w:hAnsi="Consolas"/>
          <w:color w:val="243B53"/>
          <w:sz w:val="18"/>
        </w:rPr>
        <w:t>├── conversionFactor</w:t>
      </w:r>
      <w:r>
        <w:br/>
      </w:r>
      <w:r>
        <w:rPr>
          <w:rFonts w:ascii="Consolas" w:hAnsi="Consolas"/>
          <w:color w:val="243B53"/>
          <w:sz w:val="18"/>
        </w:rPr>
        <w:t>├── precision, minimumQuantity, quantityIncrement</w:t>
      </w:r>
      <w:r>
        <w:br/>
      </w:r>
      <w:r>
        <w:rPr>
          <w:rFonts w:ascii="Consolas" w:hAnsi="Consolas"/>
          <w:color w:val="243B53"/>
          <w:sz w:val="18"/>
        </w:rPr>
        <w:t>├── allowedForSale, allowedForPurchase</w:t>
      </w:r>
      <w:r>
        <w:br/>
      </w:r>
      <w:r>
        <w:rPr>
          <w:rFonts w:ascii="Consolas" w:hAnsi="Consolas"/>
          <w:color w:val="243B53"/>
          <w:sz w:val="18"/>
        </w:rPr>
        <w:t>├── barcodes[]</w:t>
      </w:r>
      <w:r>
        <w:br/>
      </w:r>
      <w:r>
        <w:rPr>
          <w:rFonts w:ascii="Consolas" w:hAnsi="Consolas"/>
          <w:color w:val="243B53"/>
          <w:sz w:val="18"/>
        </w:rPr>
        <w:t>└── status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packaging de base est explicite, utilise `baseUnitId` et possède `conversionFactor = 1`. Tous les stocks et mouvements restent exprimés en base unit.</w:t>
            </w:r>
          </w:p>
        </w:tc>
      </w:tr>
    </w:tbl>
    <w:p>
      <w:pPr>
        <w:spacing w:after="0"/>
      </w:pPr>
    </w:p>
    <w:p>
      <w:pPr>
        <w:pStyle w:val="CodeBlock"/>
        <w:keepLines/>
        <w:shd w:fill="F7F9FC"/>
      </w:pPr>
      <w:r>
        <w:rPr>
          <w:rFonts w:ascii="Consolas" w:hAnsi="Consolas"/>
          <w:color w:val="243B53"/>
          <w:sz w:val="18"/>
        </w:rPr>
        <w:t>baseQuantity = enteredQuantity × conversionFactor</w:t>
      </w:r>
    </w:p>
    <w:p>
      <w:pPr>
        <w:pStyle w:val="ListBullet"/>
        <w:spacing w:after="80"/>
      </w:pPr>
      <w:r>
        <w:rPr>
          <w:rFonts w:ascii="Calibri" w:hAnsi="Calibri"/>
        </w:rPr>
        <w:t>Le facteur utilise un décimal exact et doit produire une base quantity compatible.</w:t>
      </w:r>
    </w:p>
    <w:p>
      <w:pPr>
        <w:pStyle w:val="ListBullet"/>
        <w:spacing w:after="80"/>
      </w:pPr>
      <w:r>
        <w:rPr>
          <w:rFonts w:ascii="Calibri" w:hAnsi="Calibri"/>
        </w:rPr>
        <w:t>Un facteur déjà utilisé n’est jamais modifié; un nouveau conditionnement est créé.</w:t>
      </w:r>
    </w:p>
    <w:p>
      <w:pPr>
        <w:pStyle w:val="ListBullet"/>
        <w:spacing w:after="80"/>
      </w:pPr>
      <w:r>
        <w:rPr>
          <w:rFonts w:ascii="Calibri" w:hAnsi="Calibri"/>
        </w:rPr>
        <w:t>Les transactions conservent entered quantity, packaging, facteur snapshot et base quantity.</w:t>
      </w:r>
    </w:p>
    <w:p>
      <w:pPr>
        <w:pStyle w:val="ListBullet"/>
        <w:spacing w:after="80"/>
      </w:pPr>
      <w:r>
        <w:rPr>
          <w:rFonts w:ascii="Calibri" w:hAnsi="Calibri"/>
        </w:rPr>
        <w:t>Les commandes et réceptions sont rapprochées en base quantity.</w:t>
      </w:r>
    </w:p>
    <w:p>
      <w:pPr>
        <w:pStyle w:val="ListBullet"/>
        <w:spacing w:after="80"/>
      </w:pPr>
      <w:r>
        <w:rPr>
          <w:rFonts w:ascii="Calibri" w:hAnsi="Calibri"/>
        </w:rPr>
        <w:t>`StockTransfer` et `StockCount` protègent uniquement les base quantities.</w:t>
      </w:r>
    </w:p>
    <w:p>
      <w:pPr>
        <w:pStyle w:val="Heading1"/>
      </w:pPr>
      <w:r>
        <w:t>18. Pricing, taxes et remises</w:t>
      </w:r>
    </w:p>
    <w:p>
      <w:pPr>
        <w:pStyle w:val="Heading2"/>
      </w:pPr>
      <w:r>
        <w:t>18.1 PriceList et ProductPrice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prix cible `ProductPackagingId`. `PriceList` et `ProductPrice` sont des aggregates distincts afin d’éviter une liste géante.</w:t>
            </w:r>
          </w:p>
        </w:tc>
      </w:tr>
    </w:tbl>
    <w:p>
      <w:pPr>
        <w:spacing w:after="0"/>
      </w:pPr>
    </w:p>
    <w:p>
      <w:pPr>
        <w:pStyle w:val="CodeBlock"/>
        <w:keepLines/>
        <w:shd w:fill="F7F9FC"/>
      </w:pPr>
      <w:r>
        <w:rPr>
          <w:rFonts w:ascii="Consolas" w:hAnsi="Consolas"/>
          <w:color w:val="243B53"/>
          <w:sz w:val="18"/>
        </w:rPr>
        <w:t>PriceList</w:t>
      </w:r>
      <w:r>
        <w:br/>
      </w:r>
      <w:r>
        <w:rPr>
          <w:rFonts w:ascii="Consolas" w:hAnsi="Consolas"/>
          <w:color w:val="243B53"/>
          <w:sz w:val="18"/>
        </w:rPr>
        <w:t>├── OrganizationId, code, name</w:t>
      </w:r>
      <w:r>
        <w:br/>
      </w:r>
      <w:r>
        <w:rPr>
          <w:rFonts w:ascii="Consolas" w:hAnsi="Consolas"/>
          <w:color w:val="243B53"/>
          <w:sz w:val="18"/>
        </w:rPr>
        <w:t>├── currency, status, scope</w:t>
      </w:r>
      <w:r>
        <w:br/>
      </w:r>
      <w:r>
        <w:rPr>
          <w:rFonts w:ascii="Consolas" w:hAnsi="Consolas"/>
          <w:color w:val="243B53"/>
          <w:sz w:val="18"/>
        </w:rPr>
        <w:t>├── validFrom?, validTo?, priority</w:t>
      </w:r>
      <w:r>
        <w:br/>
      </w:r>
      <w:r>
        <w:rPr>
          <w:rFonts w:ascii="Consolas" w:hAnsi="Consolas"/>
          <w:color w:val="243B53"/>
          <w:sz w:val="18"/>
        </w:rPr>
        <w:t>└── Version</w:t>
      </w:r>
      <w:r>
        <w:br/>
      </w:r>
      <w:r>
        <w:rPr>
          <w:rFonts w:ascii="Consolas" w:hAnsi="Consolas"/>
          <w:color w:val="243B53"/>
          <w:sz w:val="18"/>
        </w:rPr>
      </w:r>
      <w:r>
        <w:br/>
      </w:r>
      <w:r>
        <w:rPr>
          <w:rFonts w:ascii="Consolas" w:hAnsi="Consolas"/>
          <w:color w:val="243B53"/>
          <w:sz w:val="18"/>
        </w:rPr>
        <w:t>ProductPrice</w:t>
      </w:r>
      <w:r>
        <w:br/>
      </w:r>
      <w:r>
        <w:rPr>
          <w:rFonts w:ascii="Consolas" w:hAnsi="Consolas"/>
          <w:color w:val="243B53"/>
          <w:sz w:val="18"/>
        </w:rPr>
        <w:t>├── PriceListId, ProductId, ProductPackagingId</w:t>
      </w:r>
      <w:r>
        <w:br/>
      </w:r>
      <w:r>
        <w:rPr>
          <w:rFonts w:ascii="Consolas" w:hAnsi="Consolas"/>
          <w:color w:val="243B53"/>
          <w:sz w:val="18"/>
        </w:rPr>
        <w:t>├── Money amount</w:t>
      </w:r>
      <w:r>
        <w:br/>
      </w:r>
      <w:r>
        <w:rPr>
          <w:rFonts w:ascii="Consolas" w:hAnsi="Consolas"/>
          <w:color w:val="243B53"/>
          <w:sz w:val="18"/>
        </w:rPr>
        <w:t>├── validity and status</w:t>
      </w:r>
      <w:r>
        <w:br/>
      </w:r>
      <w:r>
        <w:rPr>
          <w:rFonts w:ascii="Consolas" w:hAnsi="Consolas"/>
          <w:color w:val="243B53"/>
          <w:sz w:val="18"/>
        </w:rPr>
        <w:t>└── Version</w:t>
      </w:r>
    </w:p>
    <w:p>
      <w:r>
        <w:rPr>
          <w:rFonts w:ascii="Calibri" w:hAnsi="Calibri"/>
          <w:i w:val="0"/>
        </w:rPr>
        <w:t>Une liste utilise une seule devise. L’absence de prix produit `ProductPriceNotFound`; un prix manuel exige `SALES_PRICE_OVERRIDE`, une raison et un audit.</w:t>
      </w:r>
    </w:p>
    <w:p>
      <w:pPr>
        <w:pStyle w:val="Heading2"/>
      </w:pPr>
      <w:r>
        <w:t>18.2 Taxes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`Product` référence `TaxCategoryId`, jamais un taux durable. `TaxRule` est versionnée par juridiction et période et utilise un mode `INCLUSIVE` ou `EXCLUSIVE`.</w:t>
            </w:r>
          </w:p>
        </w:tc>
      </w:tr>
    </w:tbl>
    <w:p>
      <w:pPr>
        <w:spacing w:after="0"/>
      </w:pPr>
    </w:p>
    <w:p>
      <w:pPr>
        <w:pStyle w:val="CodeBlock"/>
        <w:keepLines/>
        <w:shd w:fill="F7F9FC"/>
      </w:pPr>
      <w:r>
        <w:rPr>
          <w:rFonts w:ascii="Consolas" w:hAnsi="Consolas"/>
          <w:color w:val="243B53"/>
          <w:sz w:val="18"/>
        </w:rPr>
        <w:t>TaxSnapshot</w:t>
      </w:r>
      <w:r>
        <w:br/>
      </w:r>
      <w:r>
        <w:rPr>
          <w:rFonts w:ascii="Consolas" w:hAnsi="Consolas"/>
          <w:color w:val="243B53"/>
          <w:sz w:val="18"/>
        </w:rPr>
        <w:t>├── taxCategoryId, taxRuleId?</w:t>
      </w:r>
      <w:r>
        <w:br/>
      </w:r>
      <w:r>
        <w:rPr>
          <w:rFonts w:ascii="Consolas" w:hAnsi="Consolas"/>
          <w:color w:val="243B53"/>
          <w:sz w:val="18"/>
        </w:rPr>
        <w:t>├── rate, calculationMode</w:t>
      </w:r>
      <w:r>
        <w:br/>
      </w:r>
      <w:r>
        <w:rPr>
          <w:rFonts w:ascii="Consolas" w:hAnsi="Consolas"/>
          <w:color w:val="243B53"/>
          <w:sz w:val="18"/>
        </w:rPr>
        <w:t>├── taxableAmount, taxAmount</w:t>
      </w:r>
      <w:r>
        <w:br/>
      </w:r>
      <w:r>
        <w:rPr>
          <w:rFonts w:ascii="Consolas" w:hAnsi="Consolas"/>
          <w:color w:val="243B53"/>
          <w:sz w:val="18"/>
        </w:rPr>
        <w:t>└── exemptionReason?</w:t>
      </w:r>
    </w:p>
    <w:p>
      <w:r>
        <w:rPr>
          <w:rFonts w:ascii="Calibri" w:hAnsi="Calibri"/>
          <w:i w:val="0"/>
        </w:rPr>
        <w:t>`SaleLine` conserve le snapshot fiscal. Les calculs utilisent `Money` décimal exact et une politique explicite d’arrondi; le MVP recommande `PER_LINE`, à valider par juridiction.</w:t>
      </w:r>
    </w:p>
    <w:p>
      <w:pPr>
        <w:pStyle w:val="Heading2"/>
      </w:pPr>
      <w:r>
        <w:t>18.3 Remises et promotions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`PriceOverride` et `Discount` restent distincts. Une remise de vente est allouée aux lignes de manière déterministe afin de supporter taxes, marges et retours partiels.</w:t>
            </w:r>
          </w:p>
        </w:tc>
      </w:tr>
    </w:tbl>
    <w:p>
      <w:pPr>
        <w:spacing w:after="0"/>
      </w:pPr>
    </w:p>
    <w:p>
      <w:pPr>
        <w:pStyle w:val="CodeBlock"/>
        <w:keepLines/>
        <w:shd w:fill="F7F9FC"/>
      </w:pPr>
      <w:r>
        <w:rPr>
          <w:rFonts w:ascii="Consolas" w:hAnsi="Consolas"/>
          <w:color w:val="243B53"/>
          <w:sz w:val="18"/>
        </w:rPr>
        <w:t>calculation order</w:t>
      </w:r>
      <w:r>
        <w:br/>
      </w:r>
      <w:r>
        <w:rPr>
          <w:rFonts w:ascii="Consolas" w:hAnsi="Consolas"/>
          <w:color w:val="243B53"/>
          <w:sz w:val="18"/>
        </w:rPr>
        <w:t>1. quantity × unit price</w:t>
      </w:r>
      <w:r>
        <w:br/>
      </w:r>
      <w:r>
        <w:rPr>
          <w:rFonts w:ascii="Consolas" w:hAnsi="Consolas"/>
          <w:color w:val="243B53"/>
          <w:sz w:val="18"/>
        </w:rPr>
        <w:t>2. line discounts</w:t>
      </w:r>
      <w:r>
        <w:br/>
      </w:r>
      <w:r>
        <w:rPr>
          <w:rFonts w:ascii="Consolas" w:hAnsi="Consolas"/>
          <w:color w:val="243B53"/>
          <w:sz w:val="18"/>
        </w:rPr>
        <w:t>3. sale discount allocations</w:t>
      </w:r>
      <w:r>
        <w:br/>
      </w:r>
      <w:r>
        <w:rPr>
          <w:rFonts w:ascii="Consolas" w:hAnsi="Consolas"/>
          <w:color w:val="243B53"/>
          <w:sz w:val="18"/>
        </w:rPr>
        <w:t>4. taxable amount</w:t>
      </w:r>
      <w:r>
        <w:br/>
      </w:r>
      <w:r>
        <w:rPr>
          <w:rFonts w:ascii="Consolas" w:hAnsi="Consolas"/>
          <w:color w:val="243B53"/>
          <w:sz w:val="18"/>
        </w:rPr>
        <w:t>5. tax</w:t>
      </w:r>
      <w:r>
        <w:br/>
      </w:r>
      <w:r>
        <w:rPr>
          <w:rFonts w:ascii="Consolas" w:hAnsi="Consolas"/>
          <w:color w:val="243B53"/>
          <w:sz w:val="18"/>
        </w:rPr>
        <w:t>6. gross line and sale totals</w:t>
      </w:r>
    </w:p>
    <w:p>
      <w:r>
        <w:rPr>
          <w:rFonts w:ascii="Calibri" w:hAnsi="Calibri"/>
          <w:i w:val="0"/>
        </w:rPr>
        <w:t>Le MVP limite les promotions à `SPECIAL_PRICE`, `PERCENTAGE_DISCOUNT` et `FIXED_DISCOUNT` sur un packaging. Une seule promotion automatique non combinable s’applique par ligne. Les ventes conservent `DiscountSnapshot`, `PromotionSnapshot`, `TaxSnapshot` et le prix appliqué.</w:t>
      </w:r>
    </w:p>
    <w:p>
      <w:pPr>
        <w:pStyle w:val="Heading2"/>
      </w:pPr>
      <w:r>
        <w:t>18.4 SalePricingCalculator et retours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`SalePricingCalculator` est pur et déterministe. `CompleteSale` ne change jamais silencieusement le total accepté; une différence produit `SalePricingChanged`.</w:t>
            </w:r>
          </w:p>
        </w:tc>
      </w:tr>
    </w:tbl>
    <w:p>
      <w:pPr>
        <w:spacing w:after="0"/>
      </w:pPr>
    </w:p>
    <w:p>
      <w:r>
        <w:rPr>
          <w:rFonts w:ascii="Calibri" w:hAnsi="Calibri"/>
          <w:i w:val="0"/>
        </w:rPr>
        <w:t>Les remboursements utilisent les snapshots originaux. Les montants et taxes remboursés cumulés ne dépassent jamais les montants initiaux, et un retour complet restitue exactement le total remboursable malgré les résidus d’arrondi.</w:t>
      </w:r>
    </w:p>
    <w:p>
      <w:pPr>
        <w:pStyle w:val="Heading1"/>
      </w:pPr>
      <w:r>
        <w:t>19. Inventory Costing</w:t>
      </w:r>
    </w:p>
    <w:p>
      <w:pPr>
        <w:pStyle w:val="Heading2"/>
      </w:pPr>
      <w:r>
        <w:t>19.1 Responsabilité et méthode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`Inventory Costing` est distinct de `Inventory`, `Purchasing` et `Pricing`. `Product` ne contient aucun champ générique `costPrice`. Le MVP utilise `MOVING_WEIGHTED_AVERAGE` par store et produit.</w:t>
            </w:r>
          </w:p>
        </w:tc>
      </w:tr>
    </w:tbl>
    <w:p>
      <w:pPr>
        <w:spacing w:after="0"/>
      </w:pPr>
    </w:p>
    <w:p>
      <w:pPr>
        <w:pStyle w:val="CodeBlock"/>
        <w:keepLines/>
        <w:shd w:fill="F7F9FC"/>
      </w:pPr>
      <w:r>
        <w:rPr>
          <w:rFonts w:ascii="Consolas" w:hAnsi="Consolas"/>
          <w:color w:val="243B53"/>
          <w:sz w:val="18"/>
        </w:rPr>
        <w:t>StockValuation</w:t>
      </w:r>
      <w:r>
        <w:br/>
      </w:r>
      <w:r>
        <w:rPr>
          <w:rFonts w:ascii="Consolas" w:hAnsi="Consolas"/>
          <w:color w:val="243B53"/>
          <w:sz w:val="18"/>
        </w:rPr>
        <w:t>├── OrganizationId, StoreId, ProductId, StockId</w:t>
      </w:r>
      <w:r>
        <w:br/>
      </w:r>
      <w:r>
        <w:rPr>
          <w:rFonts w:ascii="Consolas" w:hAnsi="Consolas"/>
          <w:color w:val="243B53"/>
          <w:sz w:val="18"/>
        </w:rPr>
        <w:t>├── quantityOnHand</w:t>
      </w:r>
      <w:r>
        <w:br/>
      </w:r>
      <w:r>
        <w:rPr>
          <w:rFonts w:ascii="Consolas" w:hAnsi="Consolas"/>
          <w:color w:val="243B53"/>
          <w:sz w:val="18"/>
        </w:rPr>
        <w:t>├── totalValue</w:t>
      </w:r>
      <w:r>
        <w:br/>
      </w:r>
      <w:r>
        <w:rPr>
          <w:rFonts w:ascii="Consolas" w:hAnsi="Consolas"/>
          <w:color w:val="243B53"/>
          <w:sz w:val="18"/>
        </w:rPr>
        <w:t>├── currency</w:t>
      </w:r>
      <w:r>
        <w:br/>
      </w:r>
      <w:r>
        <w:rPr>
          <w:rFonts w:ascii="Consolas" w:hAnsi="Consolas"/>
          <w:color w:val="243B53"/>
          <w:sz w:val="18"/>
        </w:rPr>
        <w:t>└── Version</w:t>
      </w:r>
      <w:r>
        <w:br/>
      </w:r>
      <w:r>
        <w:rPr>
          <w:rFonts w:ascii="Consolas" w:hAnsi="Consolas"/>
          <w:color w:val="243B53"/>
          <w:sz w:val="18"/>
        </w:rPr>
      </w:r>
      <w:r>
        <w:br/>
      </w:r>
      <w:r>
        <w:rPr>
          <w:rFonts w:ascii="Consolas" w:hAnsi="Consolas"/>
          <w:color w:val="243B53"/>
          <w:sz w:val="18"/>
        </w:rPr>
        <w:t>averageUnitCost = totalValue / quantityOnHand</w:t>
      </w:r>
    </w:p>
    <w:p>
      <w:r>
        <w:rPr>
          <w:rFonts w:ascii="Calibri" w:hAnsi="Calibri"/>
          <w:i w:val="0"/>
        </w:rPr>
        <w:t>`Stock` reste l’autorité physique. `StockValuation.quantityOnHand` est une duplication de cohérence mise à jour dans la même transaction.</w:t>
      </w:r>
    </w:p>
    <w:p>
      <w:pPr>
        <w:pStyle w:val="Heading2"/>
      </w:pPr>
      <w:r>
        <w:t>19.2 Journal de valorisation</w:t>
      </w:r>
    </w:p>
    <w:p>
      <w:pPr>
        <w:pStyle w:val="CodeBlock"/>
        <w:keepLines/>
        <w:shd w:fill="F7F9FC"/>
      </w:pPr>
      <w:r>
        <w:rPr>
          <w:rFonts w:ascii="Consolas" w:hAnsi="Consolas"/>
          <w:color w:val="243B53"/>
          <w:sz w:val="18"/>
        </w:rPr>
        <w:t>StockValuationMovement</w:t>
      </w:r>
      <w:r>
        <w:br/>
      </w:r>
      <w:r>
        <w:rPr>
          <w:rFonts w:ascii="Consolas" w:hAnsi="Consolas"/>
          <w:color w:val="243B53"/>
          <w:sz w:val="18"/>
        </w:rPr>
        <w:t>├── StockMovementId unique</w:t>
      </w:r>
      <w:r>
        <w:br/>
      </w:r>
      <w:r>
        <w:rPr>
          <w:rFonts w:ascii="Consolas" w:hAnsi="Consolas"/>
          <w:color w:val="243B53"/>
          <w:sz w:val="18"/>
        </w:rPr>
        <w:t>├── type, quantity, unitCost, value</w:t>
      </w:r>
      <w:r>
        <w:br/>
      </w:r>
      <w:r>
        <w:rPr>
          <w:rFonts w:ascii="Consolas" w:hAnsi="Consolas"/>
          <w:color w:val="243B53"/>
          <w:sz w:val="18"/>
        </w:rPr>
        <w:t>├── previous/resulting totalValue</w:t>
      </w:r>
      <w:r>
        <w:br/>
      </w:r>
      <w:r>
        <w:rPr>
          <w:rFonts w:ascii="Consolas" w:hAnsi="Consolas"/>
          <w:color w:val="243B53"/>
          <w:sz w:val="18"/>
        </w:rPr>
        <w:t>├── previous/resulting averageCost</w:t>
      </w:r>
      <w:r>
        <w:br/>
      </w:r>
      <w:r>
        <w:rPr>
          <w:rFonts w:ascii="Consolas" w:hAnsi="Consolas"/>
          <w:color w:val="243B53"/>
          <w:sz w:val="18"/>
        </w:rPr>
        <w:t>├── source, occurredAt, correlationId</w:t>
      </w:r>
      <w:r>
        <w:br/>
      </w:r>
      <w:r>
        <w:rPr>
          <w:rFonts w:ascii="Consolas" w:hAnsi="Consolas"/>
          <w:color w:val="243B53"/>
          <w:sz w:val="18"/>
        </w:rPr>
        <w:t>└── append-only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Chaque mouvement physique valorisé possède au maximum un mouvement de valorisation. `Stock`, `StockMovement`, `StockValuation`, `StockValuationMovement` et l’outbox sont transactionnels.</w:t>
            </w:r>
          </w:p>
        </w:tc>
      </w:tr>
    </w:tbl>
    <w:p>
      <w:pPr>
        <w:spacing w:after="0"/>
      </w:pPr>
    </w:p>
    <w:p>
      <w:pPr>
        <w:pStyle w:val="Heading2"/>
      </w:pPr>
      <w:r>
        <w:t>19.3 Entrées, ventes et retours</w:t>
      </w:r>
    </w:p>
    <w:p>
      <w:pPr>
        <w:pStyle w:val="ListBullet"/>
        <w:spacing w:after="80"/>
      </w:pPr>
      <w:r>
        <w:rPr>
          <w:rFonts w:ascii="Calibri" w:hAnsi="Calibri"/>
        </w:rPr>
        <w:t>Une réception fournit `inventoryUnitCost` en base unit; les taxes et frais ne sont pas déduits implicitement.</w:t>
      </w:r>
    </w:p>
    <w:p>
      <w:pPr>
        <w:pStyle w:val="ListBullet"/>
        <w:spacing w:after="80"/>
      </w:pPr>
      <w:r>
        <w:rPr>
          <w:rFonts w:ascii="Calibri" w:hAnsi="Calibri"/>
        </w:rPr>
        <w:t>Une vente sort au coût moyen courant et conserve `SaleLineCostSnapshot`.</w:t>
      </w:r>
    </w:p>
    <w:p>
      <w:pPr>
        <w:pStyle w:val="ListBullet"/>
        <w:spacing w:after="80"/>
      </w:pPr>
      <w:r>
        <w:rPr>
          <w:rFonts w:ascii="Calibri" w:hAnsi="Calibri"/>
        </w:rPr>
        <w:t>Un retour client restaure le coût original de la vente, pas le coût moyen actuel.</w:t>
      </w:r>
    </w:p>
    <w:p>
      <w:pPr>
        <w:pStyle w:val="ListBullet"/>
        <w:spacing w:after="80"/>
      </w:pPr>
      <w:r>
        <w:rPr>
          <w:rFonts w:ascii="Calibri" w:hAnsi="Calibri"/>
        </w:rPr>
        <w:t>Un service ne reçoit aucun coût d’inventaire fictif.</w:t>
      </w:r>
    </w:p>
    <w:p>
      <w:pPr>
        <w:pStyle w:val="ListBullet"/>
        <w:spacing w:after="80"/>
      </w:pPr>
      <w:r>
        <w:rPr>
          <w:rFonts w:ascii="Calibri" w:hAnsi="Calibri"/>
        </w:rPr>
        <w:t>Une sortie finale absorbe les résidus : quantité zéro implique valeur totale exactement zéro.</w:t>
      </w:r>
    </w:p>
    <w:p>
      <w:pPr>
        <w:pStyle w:val="Heading2"/>
      </w:pPr>
      <w:r>
        <w:t>19.4 Transferts, retours fournisseur et corrections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Un transfert transporte la valeur du store source jusqu’au store destination. La valeur d’un écart reste attachée au transfert comme perte en transit potentielle.</w:t>
            </w:r>
          </w:p>
        </w:tc>
      </w:tr>
    </w:tbl>
    <w:p>
      <w:pPr>
        <w:spacing w:after="0"/>
      </w:pPr>
    </w:p>
    <w:p>
      <w:r>
        <w:rPr>
          <w:rFonts w:ascii="Calibri" w:hAnsi="Calibri"/>
          <w:i w:val="0"/>
        </w:rPr>
        <w:t>Un `PurchaseReturn` sort au coût moyen courant. Les corrections de réception sont prospectives dans le MVP : elles ajustent quantité et valeur sans rejouer rétroactivement toutes les sorties historiques.</w:t>
      </w:r>
    </w:p>
    <w:p>
      <w:pPr>
        <w:pStyle w:val="Heading2"/>
      </w:pPr>
      <w:r>
        <w:t>19.5 Comptages, coûts manuels et confidentialité</w:t>
      </w:r>
    </w:p>
    <w:p>
      <w:r>
        <w:rPr>
          <w:rFonts w:ascii="Calibri" w:hAnsi="Calibri"/>
          <w:i w:val="0"/>
        </w:rPr>
        <w:t>Une correction positive de comptage utilise le coût moyen courant; s’il n’existe pas, un coût manuel exige `INVENTORY_COST_ASSIGN` et une raison. Les coûts, valeurs et marges sont protégés par `INVENTORY_COST_VIEW`, `INVENTORY_VALUE_VIEW`, `SALES_MARGIN_VIEW` et `PURCHASING_COST_VIEW`.</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DECEC"/>
            <w:vAlign w:val="center"/>
          </w:tcPr>
          <w:p>
            <w:pPr>
              <w:jc w:val="center"/>
            </w:pPr>
            <w:r>
              <w:rPr>
                <w:rFonts w:ascii="Calibri" w:hAnsi="Calibri"/>
                <w:b/>
                <w:color w:val="1F4D78"/>
                <w:sz w:val="18"/>
              </w:rPr>
              <w:t>QUESTION OUVERTE</w:t>
            </w:r>
          </w:p>
        </w:tc>
        <w:tc>
          <w:tcPr>
            <w:tcW w:type="dxa" w:w="7460"/>
            <w:tcMar>
              <w:top w:w="80" w:type="dxa"/>
              <w:start w:w="120" w:type="dxa"/>
              <w:bottom w:w="80" w:type="dxa"/>
              <w:end w:w="120" w:type="dxa"/>
            </w:tcMar>
            <w:shd w:fill="FAFAFA"/>
            <w:vAlign w:val="center"/>
          </w:tcPr>
          <w:p>
            <w:r>
              <w:rPr>
                <w:rFonts w:ascii="Calibri" w:hAnsi="Calibri"/>
                <w:sz w:val="20"/>
              </w:rPr>
              <w:t>`LandedCost`, achats multi-devises, valorisation FIFO et recalcul rétroactif restent hors MVP.</w:t>
            </w:r>
          </w:p>
        </w:tc>
      </w:tr>
    </w:tbl>
    <w:p>
      <w:pPr>
        <w:spacing w:after="0"/>
      </w:pPr>
    </w:p>
    <w:p>
      <w:pPr>
        <w:pStyle w:val="Heading1"/>
      </w:pPr>
      <w:r>
        <w:t>20. Customers</w:t>
      </w:r>
    </w:p>
    <w:p>
      <w:pPr>
        <w:pStyle w:val="Heading2"/>
      </w:pPr>
      <w:r>
        <w:t>20.1 Aggregate Customer</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`Customer` est partagé à l’échelle de l’organization. Il n’appartient pas à un store, mais peut conserver un `originStoreId` informatif.</w:t>
            </w:r>
          </w:p>
        </w:tc>
      </w:tr>
    </w:tbl>
    <w:p>
      <w:pPr>
        <w:spacing w:after="0"/>
      </w:pPr>
    </w:p>
    <w:p>
      <w:pPr>
        <w:pStyle w:val="CodeBlock"/>
        <w:keepLines/>
        <w:shd w:fill="F7F9FC"/>
      </w:pPr>
      <w:r>
        <w:rPr>
          <w:rFonts w:ascii="Consolas" w:hAnsi="Consolas"/>
          <w:color w:val="243B53"/>
          <w:sz w:val="18"/>
        </w:rPr>
        <w:t>Customer</w:t>
      </w:r>
      <w:r>
        <w:br/>
      </w:r>
      <w:r>
        <w:rPr>
          <w:rFonts w:ascii="Consolas" w:hAnsi="Consolas"/>
          <w:color w:val="243B53"/>
          <w:sz w:val="18"/>
        </w:rPr>
        <w:t>├── CustomerId, OrganizationId, CustomerNumber</w:t>
      </w:r>
      <w:r>
        <w:br/>
      </w:r>
      <w:r>
        <w:rPr>
          <w:rFonts w:ascii="Consolas" w:hAnsi="Consolas"/>
          <w:color w:val="243B53"/>
          <w:sz w:val="18"/>
        </w:rPr>
        <w:t>├── type = INDIVIDUAL | BUSINESS</w:t>
      </w:r>
      <w:r>
        <w:br/>
      </w:r>
      <w:r>
        <w:rPr>
          <w:rFonts w:ascii="Consolas" w:hAnsi="Consolas"/>
          <w:color w:val="243B53"/>
          <w:sz w:val="18"/>
        </w:rPr>
        <w:t>├── status = ACTIVE | INACTIVE | BLOCKED | ANONYMIZED</w:t>
      </w:r>
      <w:r>
        <w:br/>
      </w:r>
      <w:r>
        <w:rPr>
          <w:rFonts w:ascii="Consolas" w:hAnsi="Consolas"/>
          <w:color w:val="243B53"/>
          <w:sz w:val="18"/>
        </w:rPr>
        <w:t>├── name / businessName</w:t>
      </w:r>
      <w:r>
        <w:br/>
      </w:r>
      <w:r>
        <w:rPr>
          <w:rFonts w:ascii="Consolas" w:hAnsi="Consolas"/>
          <w:color w:val="243B53"/>
          <w:sz w:val="18"/>
        </w:rPr>
        <w:t>├── phone?, email?, address?</w:t>
      </w:r>
      <w:r>
        <w:br/>
      </w:r>
      <w:r>
        <w:rPr>
          <w:rFonts w:ascii="Consolas" w:hAnsi="Consolas"/>
          <w:color w:val="243B53"/>
          <w:sz w:val="18"/>
        </w:rPr>
        <w:t>├── originStoreId?, contactPreferences</w:t>
      </w:r>
      <w:r>
        <w:br/>
      </w:r>
      <w:r>
        <w:rPr>
          <w:rFonts w:ascii="Consolas" w:hAnsi="Consolas"/>
          <w:color w:val="243B53"/>
          <w:sz w:val="18"/>
        </w:rPr>
        <w:t>└── Version</w:t>
      </w:r>
    </w:p>
    <w:p>
      <w:pPr>
        <w:pStyle w:val="ListBullet"/>
        <w:spacing w:after="80"/>
      </w:pPr>
      <w:r>
        <w:rPr>
          <w:rFonts w:ascii="Calibri" w:hAnsi="Calibri"/>
        </w:rPr>
        <w:t>`CustomerNumber` est unique par organization et immuable.</w:t>
      </w:r>
    </w:p>
    <w:p>
      <w:pPr>
        <w:pStyle w:val="ListBullet"/>
        <w:spacing w:after="80"/>
      </w:pPr>
      <w:r>
        <w:rPr>
          <w:rFonts w:ascii="Calibri" w:hAnsi="Calibri"/>
        </w:rPr>
        <w:t>`Sale.customerId` est facultatif pour un client de passage; toute vente à crédit exige un client.</w:t>
      </w:r>
    </w:p>
    <w:p>
      <w:pPr>
        <w:pStyle w:val="ListBullet"/>
        <w:spacing w:after="80"/>
      </w:pPr>
      <w:r>
        <w:rPr>
          <w:rFonts w:ascii="Calibri" w:hAnsi="Calibri"/>
        </w:rPr>
        <w:t>Téléphone et e-mail sont normalisés pour la recherche, sans contrainte d’unicité stricte; un doublon produit un avertissement.</w:t>
      </w:r>
    </w:p>
    <w:p>
      <w:pPr>
        <w:pStyle w:val="ListBullet"/>
        <w:spacing w:after="80"/>
      </w:pPr>
      <w:r>
        <w:rPr>
          <w:rFonts w:ascii="Calibri" w:hAnsi="Calibri"/>
        </w:rPr>
        <w:t>L’anonymisation conserve les identifiants et l’historique, supprime les données personnelles et est interdite tant qu’une dette active existe.</w:t>
      </w:r>
    </w:p>
    <w:p>
      <w:pPr>
        <w:pStyle w:val="ListBullet"/>
        <w:spacing w:after="80"/>
      </w:pPr>
      <w:r>
        <w:rPr>
          <w:rFonts w:ascii="Calibri" w:hAnsi="Calibri"/>
        </w:rPr>
        <w:t>Le blocage `CREDIT_ONLY` interdit le nouveau crédit; `ALL_NEW_SALES` interdit toute nouvelle vente, sans empêcher paiement de dette ni remboursement.</w:t>
      </w:r>
    </w:p>
    <w:p>
      <w:pPr>
        <w:pStyle w:val="Heading2"/>
      </w:pPr>
      <w:r>
        <w:t>20.2 Cycle de vie et intégration</w:t>
      </w:r>
    </w:p>
    <w:p>
      <w:r>
        <w:rPr>
          <w:rFonts w:ascii="Calibri" w:hAnsi="Calibri"/>
          <w:i w:val="0"/>
        </w:rPr>
        <w:t>Les commandes principales sont `CreateCustomer`, `UpdateCustomerProfile`, `BlockCustomer`, `UnblockCustomer`, `DeactivateCustomer` et `AnonymizeCustomer`. Les events correspondants sont publiés depuis l’outbox et ne transportent pas plus de données personnelles que nécessaire.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permissions de lecture, modification, blocage et anonymisation sont distinctes; toutes les actions sensibles sont auditées.</w:t>
            </w:r>
          </w:p>
        </w:tc>
      </w:tr>
    </w:tbl>
    <w:p>
      <w:pPr>
        <w:spacing w:after="0"/>
      </w:pPr>
    </w:p>
    <w:p>
      <w:pPr>
        <w:pStyle w:val="Heading1"/>
      </w:pPr>
      <w:r>
        <w:t>21. Customer Credit &amp; Debt</w:t>
      </w:r>
    </w:p>
    <w:p>
      <w:pPr>
        <w:pStyle w:val="Heading2"/>
      </w:pPr>
      <w:r>
        <w:t>21.1 CustomerAccount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Un `CustomerAccount` existe par `organizationId + customerId + currency`. Un solde positif représente une dette du client; un solde négatif représente un crédit client.</w:t>
            </w:r>
          </w:p>
        </w:tc>
      </w:tr>
    </w:tbl>
    <w:p>
      <w:pPr>
        <w:spacing w:after="0"/>
      </w:pPr>
    </w:p>
    <w:p>
      <w:pPr>
        <w:pStyle w:val="CodeBlock"/>
        <w:keepLines/>
        <w:shd w:fill="F7F9FC"/>
      </w:pPr>
      <w:r>
        <w:rPr>
          <w:rFonts w:ascii="Consolas" w:hAnsi="Consolas"/>
          <w:color w:val="243B53"/>
          <w:sz w:val="18"/>
        </w:rPr>
        <w:t>CustomerAccount</w:t>
      </w:r>
      <w:r>
        <w:br/>
      </w:r>
      <w:r>
        <w:rPr>
          <w:rFonts w:ascii="Consolas" w:hAnsi="Consolas"/>
          <w:color w:val="243B53"/>
          <w:sz w:val="18"/>
        </w:rPr>
        <w:t>├── CustomerAccountId, OrganizationId, CustomerId</w:t>
      </w:r>
      <w:r>
        <w:br/>
      </w:r>
      <w:r>
        <w:rPr>
          <w:rFonts w:ascii="Consolas" w:hAnsi="Consolas"/>
          <w:color w:val="243B53"/>
          <w:sz w:val="18"/>
        </w:rPr>
        <w:t>├── currency, balance, creditLimit</w:t>
      </w:r>
      <w:r>
        <w:br/>
      </w:r>
      <w:r>
        <w:rPr>
          <w:rFonts w:ascii="Consolas" w:hAnsi="Consolas"/>
          <w:color w:val="243B53"/>
          <w:sz w:val="18"/>
        </w:rPr>
        <w:t>├── status = ACTIVE | CREDIT_BLOCKED | CLOSED</w:t>
      </w:r>
      <w:r>
        <w:br/>
      </w:r>
      <w:r>
        <w:rPr>
          <w:rFonts w:ascii="Consolas" w:hAnsi="Consolas"/>
          <w:color w:val="243B53"/>
          <w:sz w:val="18"/>
        </w:rPr>
        <w:t>├── policy</w:t>
      </w:r>
      <w:r>
        <w:br/>
      </w:r>
      <w:r>
        <w:rPr>
          <w:rFonts w:ascii="Consolas" w:hAnsi="Consolas"/>
          <w:color w:val="243B53"/>
          <w:sz w:val="18"/>
        </w:rPr>
        <w:t>└── Version</w:t>
      </w:r>
    </w:p>
    <w:p>
      <w:r>
        <w:rPr>
          <w:rFonts w:ascii="Calibri" w:hAnsi="Calibri"/>
          <w:i w:val="0"/>
        </w:rPr>
        <w:t>Le compte est ouvert explicitement par `OpenCustomerAccount`. Le dépassement de `creditLimit` exige une autorisation structurée, une raison et un audit. La clôture exige un solde nul, aucune créance ouverte et aucune opération en attente.</w:t>
      </w:r>
    </w:p>
    <w:p>
      <w:pPr>
        <w:pStyle w:val="Heading2"/>
      </w:pPr>
      <w:r>
        <w:t>21.2 CustomerReceivable et journal</w:t>
      </w:r>
    </w:p>
    <w:p>
      <w:pPr>
        <w:pStyle w:val="CodeBlock"/>
        <w:keepLines/>
        <w:shd w:fill="F7F9FC"/>
      </w:pPr>
      <w:r>
        <w:rPr>
          <w:rFonts w:ascii="Consolas" w:hAnsi="Consolas"/>
          <w:color w:val="243B53"/>
          <w:sz w:val="18"/>
        </w:rPr>
        <w:t>CustomerReceivable</w:t>
      </w:r>
      <w:r>
        <w:br/>
      </w:r>
      <w:r>
        <w:rPr>
          <w:rFonts w:ascii="Consolas" w:hAnsi="Consolas"/>
          <w:color w:val="243B53"/>
          <w:sz w:val="18"/>
        </w:rPr>
        <w:t>├── CustomerReceivableId, SaleId unique</w:t>
      </w:r>
      <w:r>
        <w:br/>
      </w:r>
      <w:r>
        <w:rPr>
          <w:rFonts w:ascii="Consolas" w:hAnsi="Consolas"/>
          <w:color w:val="243B53"/>
          <w:sz w:val="18"/>
        </w:rPr>
        <w:t>├── originalAmount, outstandingAmount, dueDate?</w:t>
      </w:r>
      <w:r>
        <w:br/>
      </w:r>
      <w:r>
        <w:rPr>
          <w:rFonts w:ascii="Consolas" w:hAnsi="Consolas"/>
          <w:color w:val="243B53"/>
          <w:sz w:val="18"/>
        </w:rPr>
        <w:t>├── status = OPEN | PARTIALLY_PAID | SETTLED | WRITTEN_OFF | CANCELLED</w:t>
      </w:r>
      <w:r>
        <w:br/>
      </w:r>
      <w:r>
        <w:rPr>
          <w:rFonts w:ascii="Consolas" w:hAnsi="Consolas"/>
          <w:color w:val="243B53"/>
          <w:sz w:val="18"/>
        </w:rPr>
        <w:t>└── Version</w:t>
      </w:r>
      <w:r>
        <w:br/>
      </w:r>
      <w:r>
        <w:rPr>
          <w:rFonts w:ascii="Consolas" w:hAnsi="Consolas"/>
          <w:color w:val="243B53"/>
          <w:sz w:val="18"/>
        </w:rPr>
      </w:r>
      <w:r>
        <w:br/>
      </w:r>
      <w:r>
        <w:rPr>
          <w:rFonts w:ascii="Consolas" w:hAnsi="Consolas"/>
          <w:color w:val="243B53"/>
          <w:sz w:val="18"/>
        </w:rPr>
        <w:t>CustomerAccountEntry</w:t>
      </w:r>
      <w:r>
        <w:br/>
      </w:r>
      <w:r>
        <w:rPr>
          <w:rFonts w:ascii="Consolas" w:hAnsi="Consolas"/>
          <w:color w:val="243B53"/>
          <w:sz w:val="18"/>
        </w:rPr>
        <w:t>├── type, amount, currency</w:t>
      </w:r>
      <w:r>
        <w:br/>
      </w:r>
      <w:r>
        <w:rPr>
          <w:rFonts w:ascii="Consolas" w:hAnsi="Consolas"/>
          <w:color w:val="243B53"/>
          <w:sz w:val="18"/>
        </w:rPr>
        <w:t>├── previousBalance, resultingBalance</w:t>
      </w:r>
      <w:r>
        <w:br/>
      </w:r>
      <w:r>
        <w:rPr>
          <w:rFonts w:ascii="Consolas" w:hAnsi="Consolas"/>
          <w:color w:val="243B53"/>
          <w:sz w:val="18"/>
        </w:rPr>
        <w:t>├── sourceReference, occurredAt</w:t>
      </w:r>
      <w:r>
        <w:br/>
      </w:r>
      <w:r>
        <w:rPr>
          <w:rFonts w:ascii="Consolas" w:hAnsi="Consolas"/>
          <w:color w:val="243B53"/>
          <w:sz w:val="18"/>
        </w:rPr>
        <w:t>└── append-only</w:t>
      </w:r>
    </w:p>
    <w:p>
      <w:r>
        <w:rPr>
          <w:rFonts w:ascii="Calibri" w:hAnsi="Calibri"/>
          <w:i w:val="0"/>
        </w:rPr>
        <w:t>Les types comprennent `SALE_CREDIT`, `DEBT_PAYMENT`, `PAYMENT_REVERSAL`, `SALE_RETURN_CREDIT`, `DEBT_WRITE_OFF` et les ajustements explicites. Le montant est positif; le type détermine le sens. La vente à crédit met à jour vente, stock, paiements, compte, créance, journal et outbox dans une transaction locale atomique.</w:t>
      </w:r>
    </w:p>
    <w:p>
      <w:pPr>
        <w:pStyle w:val="Heading2"/>
      </w:pPr>
      <w:r>
        <w:t>21.3 Paiement, allocation et concurrence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`CustomerPayment` est alloué par `PaymentAllocation`; la politique par défaut est `OLDEST_DUE_FIRST`. Un trop-perçu crée un crédit client selon `CREATE_CUSTOMER_CREDIT`.</w:t>
            </w:r>
          </w:p>
        </w:tc>
      </w:tr>
    </w:tbl>
    <w:p>
      <w:pPr>
        <w:spacing w:after="0"/>
      </w:pPr>
    </w:p>
    <w:p>
      <w:r>
        <w:rPr>
          <w:rFonts w:ascii="Calibri" w:hAnsi="Calibri"/>
          <w:i w:val="0"/>
        </w:rPr>
        <w:t>Le `creditLimit` est protégé par version ou mise à jour atomique conditionnelle. `WriteOffCustomerDebt` et les ajustements manuels ne créent aucun `CashMovement` et exigent permission, raison et audit.</w:t>
      </w:r>
    </w:p>
    <w:p>
      <w:pPr>
        <w:pStyle w:val="Heading1"/>
      </w:pPr>
      <w:r>
        <w:t>22. Payments</w:t>
      </w:r>
    </w:p>
    <w:p>
      <w:pPr>
        <w:pStyle w:val="Heading2"/>
      </w:pPr>
      <w:r>
        <w:t>22.1 Séparation des responsabilités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`Payment` représente la réalité monétaire; `PaymentAttempt` l’interaction avec un provider; `PaymentSettlement` l’application du paiement à une cible métier; `CashMovement` le mouvement physique d’espèces.</w:t>
            </w:r>
          </w:p>
        </w:tc>
      </w:tr>
    </w:tbl>
    <w:p>
      <w:pPr>
        <w:spacing w:after="0"/>
      </w:pPr>
    </w:p>
    <w:p>
      <w:pPr>
        <w:pStyle w:val="CodeBlock"/>
        <w:keepLines/>
        <w:shd w:fill="F7F9FC"/>
      </w:pPr>
      <w:r>
        <w:rPr>
          <w:rFonts w:ascii="Consolas" w:hAnsi="Consolas"/>
          <w:color w:val="243B53"/>
          <w:sz w:val="18"/>
        </w:rPr>
        <w:t>Payment</w:t>
      </w:r>
      <w:r>
        <w:br/>
      </w:r>
      <w:r>
        <w:rPr>
          <w:rFonts w:ascii="Consolas" w:hAnsi="Consolas"/>
          <w:color w:val="243B53"/>
          <w:sz w:val="18"/>
        </w:rPr>
        <w:t>├── PaymentId, OrganizationId</w:t>
      </w:r>
      <w:r>
        <w:br/>
      </w:r>
      <w:r>
        <w:rPr>
          <w:rFonts w:ascii="Consolas" w:hAnsi="Consolas"/>
          <w:color w:val="243B53"/>
          <w:sz w:val="18"/>
        </w:rPr>
        <w:t>├── purpose = SALE | DEBT_PAYMENT | CUSTOMER_REFUND | CUSTOMER_CREDIT_PAYOUT</w:t>
      </w:r>
      <w:r>
        <w:br/>
      </w:r>
      <w:r>
        <w:rPr>
          <w:rFonts w:ascii="Consolas" w:hAnsi="Consolas"/>
          <w:color w:val="243B53"/>
          <w:sz w:val="18"/>
        </w:rPr>
        <w:t>├── status = CREATED | PENDING | CONFIRMED | FAILED | CANCELLED</w:t>
      </w:r>
      <w:r>
        <w:br/>
      </w:r>
      <w:r>
        <w:rPr>
          <w:rFonts w:ascii="Consolas" w:hAnsi="Consolas"/>
          <w:color w:val="243B53"/>
          <w:sz w:val="18"/>
        </w:rPr>
        <w:t>│            | PARTIALLY_REFUNDED | REFUNDED | REVERSED</w:t>
      </w:r>
      <w:r>
        <w:br/>
      </w:r>
      <w:r>
        <w:rPr>
          <w:rFonts w:ascii="Consolas" w:hAnsi="Consolas"/>
          <w:color w:val="243B53"/>
          <w:sz w:val="18"/>
        </w:rPr>
        <w:t>├── amount, currency, method</w:t>
      </w:r>
      <w:r>
        <w:br/>
      </w:r>
      <w:r>
        <w:rPr>
          <w:rFonts w:ascii="Consolas" w:hAnsi="Consolas"/>
          <w:color w:val="243B53"/>
          <w:sz w:val="18"/>
        </w:rPr>
        <w:t>├── targetReference</w:t>
      </w:r>
      <w:r>
        <w:br/>
      </w:r>
      <w:r>
        <w:rPr>
          <w:rFonts w:ascii="Consolas" w:hAnsi="Consolas"/>
          <w:color w:val="243B53"/>
          <w:sz w:val="18"/>
        </w:rPr>
        <w:t>└── Version</w:t>
      </w:r>
    </w:p>
    <w:p>
      <w:r>
        <w:rPr>
          <w:rFonts w:ascii="Calibri" w:hAnsi="Calibri"/>
          <w:i w:val="0"/>
        </w:rPr>
        <w:t>Les méthodes externes du MVP sont `CASH`, `CARD`, `MOBILE_MONEY` et `BANK_TRANSFER`. `CUSTOMER_CREDIT` est une méthode de settlement, pas un nouveau paiement monétaire. La direction est dérivée du purpose.</w:t>
      </w:r>
    </w:p>
    <w:p>
      <w:pPr>
        <w:pStyle w:val="Heading2"/>
      </w:pPr>
      <w:r>
        <w:t>22.2 Paiements synchrones et externes</w:t>
      </w:r>
    </w:p>
    <w:p>
      <w:pPr>
        <w:pStyle w:val="ListBullet"/>
        <w:spacing w:after="80"/>
      </w:pPr>
      <w:r>
        <w:rPr>
          <w:rFonts w:ascii="Calibri" w:hAnsi="Calibri"/>
        </w:rPr>
        <w:t>Un paiement `CASH` est confirmé atomiquement avec sa cible et son `CashMovement`.</w:t>
      </w:r>
    </w:p>
    <w:p>
      <w:pPr>
        <w:pStyle w:val="ListBullet"/>
        <w:spacing w:after="80"/>
      </w:pPr>
      <w:r>
        <w:rPr>
          <w:rFonts w:ascii="Calibri" w:hAnsi="Calibri"/>
        </w:rPr>
        <w:t>Pour un provider externe, la transaction locale crée `Payment PENDING`; l’appel réseau est hors transaction; le callback ouvre une nouvelle transaction.</w:t>
      </w:r>
    </w:p>
    <w:p>
      <w:pPr>
        <w:pStyle w:val="ListBullet"/>
        <w:spacing w:after="80"/>
      </w:pPr>
      <w:r>
        <w:rPr>
          <w:rFonts w:ascii="Calibri" w:hAnsi="Calibri"/>
        </w:rPr>
        <w:t>Le callback est authentifié, idempotent et valide provider, montant, devise et référence.</w:t>
      </w:r>
    </w:p>
    <w:p>
      <w:pPr>
        <w:pStyle w:val="ListBullet"/>
        <w:spacing w:after="80"/>
      </w:pPr>
      <w:r>
        <w:rPr>
          <w:rFonts w:ascii="Calibri" w:hAnsi="Calibri"/>
        </w:rPr>
        <w:t>Une vente accepte les split payments et reste `AWAITING_PAYMENT` tant que son financement total n’est pas confirmé.</w:t>
      </w:r>
    </w:p>
    <w:p>
      <w:pPr>
        <w:pStyle w:val="ListBullet"/>
        <w:spacing w:after="80"/>
      </w:pPr>
      <w:r>
        <w:rPr>
          <w:rFonts w:ascii="Calibri" w:hAnsi="Calibri"/>
        </w:rPr>
        <w:t>Aucun numéro complet de carte, CVV, PIN, secret, token réutilisable ou payload sensible n’est conservé.</w:t>
      </w:r>
    </w:p>
    <w:p>
      <w:pPr>
        <w:pStyle w:val="Heading2"/>
      </w:pPr>
      <w:r>
        <w:t>22.3 PaymentSettlement, refunds et reversals</w:t>
      </w:r>
    </w:p>
    <w:p>
      <w:pPr>
        <w:pStyle w:val="CodeBlock"/>
        <w:keepLines/>
        <w:shd w:fill="F7F9FC"/>
      </w:pPr>
      <w:r>
        <w:rPr>
          <w:rFonts w:ascii="Consolas" w:hAnsi="Consolas"/>
          <w:color w:val="243B53"/>
          <w:sz w:val="18"/>
        </w:rPr>
        <w:t>PaymentSettlement</w:t>
      </w:r>
      <w:r>
        <w:br/>
      </w:r>
      <w:r>
        <w:rPr>
          <w:rFonts w:ascii="Consolas" w:hAnsi="Consolas"/>
          <w:color w:val="243B53"/>
          <w:sz w:val="18"/>
        </w:rPr>
        <w:t>├── PaymentId + targetReference unique</w:t>
      </w:r>
      <w:r>
        <w:br/>
      </w:r>
      <w:r>
        <w:rPr>
          <w:rFonts w:ascii="Consolas" w:hAnsi="Consolas"/>
          <w:color w:val="243B53"/>
          <w:sz w:val="18"/>
        </w:rPr>
        <w:t>├── amount</w:t>
      </w:r>
      <w:r>
        <w:br/>
      </w:r>
      <w:r>
        <w:rPr>
          <w:rFonts w:ascii="Consolas" w:hAnsi="Consolas"/>
          <w:color w:val="243B53"/>
          <w:sz w:val="18"/>
        </w:rPr>
        <w:t>└── status = PENDING | APPLIED | FAILED_RETRYABLE</w:t>
      </w:r>
      <w:r>
        <w:br/>
      </w:r>
      <w:r>
        <w:rPr>
          <w:rFonts w:ascii="Consolas" w:hAnsi="Consolas"/>
          <w:color w:val="243B53"/>
          <w:sz w:val="18"/>
        </w:rPr>
        <w:t xml:space="preserve">             | REQUIRES_RESOLUTION | REVERSED</w:t>
      </w:r>
    </w:p>
    <w:p>
      <w:r>
        <w:rPr>
          <w:rFonts w:ascii="Calibri" w:hAnsi="Calibri"/>
          <w:i w:val="0"/>
        </w:rPr>
        <w:t>`PaymentRefund` est un aggregate séparé. Le cumul remboursé ne dépasse jamais le paiement confirmé; la méthode originale est privilégiée et tout override est audité. Une reversal provider est distincte d’un remboursement. Un paiement confirmé ne redevient jamais `FAILED` ou `CANCELLED`; il évolue vers un état compensatoire.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paiements externes sont coordonnés par une saga persistante, des events et des transitions idempotentes; aucun verrou de base n’est conservé pendant un appel réseau.</w:t>
            </w:r>
          </w:p>
        </w:tc>
      </w:tr>
    </w:tbl>
    <w:p>
      <w:pPr>
        <w:spacing w:after="0"/>
      </w:pPr>
    </w:p>
    <w:p>
      <w:pPr>
        <w:pStyle w:val="Heading1"/>
      </w:pPr>
      <w:r>
        <w:t>23. StockReservation</w:t>
      </w:r>
    </w:p>
    <w:p>
      <w:pPr>
        <w:pStyle w:val="Heading2"/>
      </w:pPr>
      <w:r>
        <w:t>23.1 Modèle et disponibilité</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`Stock` ajoute `reservedQuantity`; `availableQuantity = quantityOnHand - reservedQuantity`, avec `0 &lt;= reservedQuantity &lt;= quantityOnHand`.</w:t>
            </w:r>
          </w:p>
        </w:tc>
      </w:tr>
    </w:tbl>
    <w:p>
      <w:pPr>
        <w:spacing w:after="0"/>
      </w:pPr>
    </w:p>
    <w:p>
      <w:pPr>
        <w:pStyle w:val="CodeBlock"/>
        <w:keepLines/>
        <w:shd w:fill="F7F9FC"/>
      </w:pPr>
      <w:r>
        <w:rPr>
          <w:rFonts w:ascii="Consolas" w:hAnsi="Consolas"/>
          <w:color w:val="243B53"/>
          <w:sz w:val="18"/>
        </w:rPr>
        <w:t>StockReservation</w:t>
      </w:r>
      <w:r>
        <w:br/>
      </w:r>
      <w:r>
        <w:rPr>
          <w:rFonts w:ascii="Consolas" w:hAnsi="Consolas"/>
          <w:color w:val="243B53"/>
          <w:sz w:val="18"/>
        </w:rPr>
        <w:t>├── StockReservationId, OrganizationId, SaleId</w:t>
      </w:r>
      <w:r>
        <w:br/>
      </w:r>
      <w:r>
        <w:rPr>
          <w:rFonts w:ascii="Consolas" w:hAnsi="Consolas"/>
          <w:color w:val="243B53"/>
          <w:sz w:val="18"/>
        </w:rPr>
        <w:t>├── lines[StockId, ProductId, baseQuantity]</w:t>
      </w:r>
      <w:r>
        <w:br/>
      </w:r>
      <w:r>
        <w:rPr>
          <w:rFonts w:ascii="Consolas" w:hAnsi="Consolas"/>
          <w:color w:val="243B53"/>
          <w:sz w:val="18"/>
        </w:rPr>
        <w:t>├── status = ACTIVE | CONSUMED | RELEASED | EXPIRED</w:t>
      </w:r>
      <w:r>
        <w:br/>
      </w:r>
      <w:r>
        <w:rPr>
          <w:rFonts w:ascii="Consolas" w:hAnsi="Consolas"/>
          <w:color w:val="243B53"/>
          <w:sz w:val="18"/>
        </w:rPr>
        <w:t>├── expiresAt</w:t>
      </w:r>
      <w:r>
        <w:br/>
      </w:r>
      <w:r>
        <w:rPr>
          <w:rFonts w:ascii="Consolas" w:hAnsi="Consolas"/>
          <w:color w:val="243B53"/>
          <w:sz w:val="18"/>
        </w:rPr>
        <w:t>└── Version</w:t>
      </w:r>
    </w:p>
    <w:p>
      <w:r>
        <w:rPr>
          <w:rFonts w:ascii="Calibri" w:hAnsi="Calibri"/>
          <w:i w:val="0"/>
        </w:rPr>
        <w:t>La réservation de toutes les lignes est atomique. Elle modifie seulement `reservedQuantity` et ne crée pas de `StockMovement`; la valorisation ne change pas avant consommation.</w:t>
      </w:r>
    </w:p>
    <w:p>
      <w:pPr>
        <w:pStyle w:val="Heading2"/>
      </w:pPr>
      <w:r>
        <w:t>23.2 Consommation, libération et expiration</w:t>
      </w:r>
    </w:p>
    <w:p>
      <w:pPr>
        <w:pStyle w:val="ListBullet"/>
        <w:spacing w:after="80"/>
      </w:pPr>
      <w:r>
        <w:rPr>
          <w:rFonts w:ascii="Calibri" w:hAnsi="Calibri"/>
        </w:rPr>
        <w:t>`ConsumeStockReservation` diminue simultanément reserved et on-hand, crée les mouvements `SALE`, met à jour la valorisation et finalise la vente/settlement dans une transaction.</w:t>
      </w:r>
    </w:p>
    <w:p>
      <w:pPr>
        <w:pStyle w:val="ListBullet"/>
        <w:spacing w:after="80"/>
      </w:pPr>
      <w:r>
        <w:rPr>
          <w:rFonts w:ascii="Calibri" w:hAnsi="Calibri"/>
        </w:rPr>
        <w:t>`ReleaseStockReservation` et `ExpireStockReservation` diminuent seulement reserved, sans mouvement physique.</w:t>
      </w:r>
    </w:p>
    <w:p>
      <w:pPr>
        <w:pStyle w:val="ListBullet"/>
        <w:spacing w:after="80"/>
      </w:pPr>
      <w:r>
        <w:rPr>
          <w:rFonts w:ascii="Calibri" w:hAnsi="Calibri"/>
        </w:rPr>
        <w:t>La version protège la course entre expiration et callback.</w:t>
      </w:r>
    </w:p>
    <w:p>
      <w:pPr>
        <w:pStyle w:val="ListBullet"/>
        <w:spacing w:after="80"/>
      </w:pPr>
      <w:r>
        <w:rPr>
          <w:rFonts w:ascii="Calibri" w:hAnsi="Calibri"/>
        </w:rPr>
        <w:t>Un callback tardif tente une nouvelle acquisition puis consommation; si elle échoue, le settlement passe à `REQUIRES_RESOLUTION`.</w:t>
      </w:r>
    </w:p>
    <w:p>
      <w:pPr>
        <w:pStyle w:val="ListBullet"/>
        <w:spacing w:after="80"/>
      </w:pPr>
      <w:r>
        <w:rPr>
          <w:rFonts w:ascii="Calibri" w:hAnsi="Calibri"/>
        </w:rPr>
        <w:t>Les lignes de vente sont gelées pendant une réservation active; une vente ne possède qu’un paiement asynchrone actif.</w:t>
      </w:r>
    </w:p>
    <w:p>
      <w:pPr>
        <w:pStyle w:val="Heading2"/>
      </w:pPr>
      <w:r>
        <w:t>23.3 Interaction avec les autres workflows</w:t>
      </w:r>
    </w:p>
    <w:p>
      <w:r>
        <w:rPr>
          <w:rFonts w:ascii="Calibri" w:hAnsi="Calibri"/>
          <w:i w:val="0"/>
        </w:rPr>
        <w:t>Une vente uniquement en espèces n’a pas besoin de réservation. `StockCount` ne démarre pas sur des stocks réservés actifs. Transferts, ajustements et autres sorties utilisent `availableQuantity`, jamais la quantité réservée. Les paiements asynchrones avec réservation exigent une connexion serveur; la synchronisation offline est reportée.</w:t>
      </w:r>
    </w:p>
    <w:p>
      <w:pPr>
        <w:pStyle w:val="Heading1"/>
      </w:pPr>
      <w:r>
        <w:t>24. Reporting, projections et indicateurs</w:t>
      </w:r>
    </w:p>
    <w:p>
      <w:pPr>
        <w:pStyle w:val="Heading2"/>
      </w:pPr>
      <w:r>
        <w:t>24.1 Responsabilité du bounded context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`Reporting` est un bounded context de lecture reconstructible. Il ne constitue jamais la source de vérité métier et ne porte aucun invariant critique.</w:t>
            </w:r>
          </w:p>
        </w:tc>
      </w:tr>
    </w:tbl>
    <w:p>
      <w:pPr>
        <w:spacing w:after="0"/>
      </w:pPr>
    </w:p>
    <w:p>
      <w:pPr>
        <w:pStyle w:val="CodeBlock"/>
        <w:keepLines/>
        <w:shd w:fill="F7F9FC"/>
      </w:pPr>
      <w:r>
        <w:rPr>
          <w:rFonts w:ascii="Consolas" w:hAnsi="Consolas"/>
          <w:color w:val="243B53"/>
          <w:sz w:val="18"/>
        </w:rPr>
        <w:t>Bounded contexts métier</w:t>
      </w:r>
      <w:r>
        <w:br/>
      </w:r>
      <w:r>
        <w:rPr>
          <w:rFonts w:ascii="Consolas" w:hAnsi="Consolas"/>
          <w:color w:val="243B53"/>
          <w:sz w:val="18"/>
        </w:rPr>
        <w:t xml:space="preserve">        │</w:t>
      </w:r>
      <w:r>
        <w:br/>
      </w:r>
      <w:r>
        <w:rPr>
          <w:rFonts w:ascii="Consolas" w:hAnsi="Consolas"/>
          <w:color w:val="243B53"/>
          <w:sz w:val="18"/>
        </w:rPr>
        <w:t xml:space="preserve">        ├── OutboxMessage</w:t>
      </w:r>
      <w:r>
        <w:br/>
      </w:r>
      <w:r>
        <w:rPr>
          <w:rFonts w:ascii="Consolas" w:hAnsi="Consolas"/>
          <w:color w:val="243B53"/>
          <w:sz w:val="18"/>
        </w:rPr>
        <w:t xml:space="preserve">        ▼</w:t>
      </w:r>
      <w:r>
        <w:br/>
      </w:r>
      <w:r>
        <w:rPr>
          <w:rFonts w:ascii="Consolas" w:hAnsi="Consolas"/>
          <w:color w:val="243B53"/>
          <w:sz w:val="18"/>
        </w:rPr>
        <w:t>Reporting Event Consumers</w:t>
      </w:r>
      <w:r>
        <w:br/>
      </w:r>
      <w:r>
        <w:rPr>
          <w:rFonts w:ascii="Consolas" w:hAnsi="Consolas"/>
          <w:color w:val="243B53"/>
          <w:sz w:val="18"/>
        </w:rPr>
        <w:t xml:space="preserve">        ├── SalesDailySummary</w:t>
      </w:r>
      <w:r>
        <w:br/>
      </w:r>
      <w:r>
        <w:rPr>
          <w:rFonts w:ascii="Consolas" w:hAnsi="Consolas"/>
          <w:color w:val="243B53"/>
          <w:sz w:val="18"/>
        </w:rPr>
        <w:t xml:space="preserve">        ├── ProductSalesSummary</w:t>
      </w:r>
      <w:r>
        <w:br/>
      </w:r>
      <w:r>
        <w:rPr>
          <w:rFonts w:ascii="Consolas" w:hAnsi="Consolas"/>
          <w:color w:val="243B53"/>
          <w:sz w:val="18"/>
        </w:rPr>
        <w:t xml:space="preserve">        ├── InventoryPosition</w:t>
      </w:r>
      <w:r>
        <w:br/>
      </w:r>
      <w:r>
        <w:rPr>
          <w:rFonts w:ascii="Consolas" w:hAnsi="Consolas"/>
          <w:color w:val="243B53"/>
          <w:sz w:val="18"/>
        </w:rPr>
        <w:t xml:space="preserve">        ├── CashSessionSummary</w:t>
      </w:r>
      <w:r>
        <w:br/>
      </w:r>
      <w:r>
        <w:rPr>
          <w:rFonts w:ascii="Consolas" w:hAnsi="Consolas"/>
          <w:color w:val="243B53"/>
          <w:sz w:val="18"/>
        </w:rPr>
        <w:t xml:space="preserve">        ├── CustomerBalanceProjection</w:t>
      </w:r>
      <w:r>
        <w:br/>
      </w:r>
      <w:r>
        <w:rPr>
          <w:rFonts w:ascii="Consolas" w:hAnsi="Consolas"/>
          <w:color w:val="243B53"/>
          <w:sz w:val="18"/>
        </w:rPr>
        <w:t xml:space="preserve">        └── PaymentOperationsSummary</w:t>
      </w:r>
    </w:p>
    <w:p>
      <w:pPr>
        <w:pStyle w:val="ListBullet"/>
        <w:spacing w:after="80"/>
      </w:pPr>
      <w:r>
        <w:rPr>
          <w:rFonts w:ascii="Calibri" w:hAnsi="Calibri"/>
        </w:rPr>
        <w:t>Les projections sont alimentées par des integration events versionnés.</w:t>
      </w:r>
    </w:p>
    <w:p>
      <w:pPr>
        <w:pStyle w:val="ListBullet"/>
        <w:spacing w:after="80"/>
      </w:pPr>
      <w:r>
        <w:rPr>
          <w:rFonts w:ascii="Calibri" w:hAnsi="Calibri"/>
        </w:rPr>
        <w:t>Chaque consommateur est idempotent et isolé par `OrganizationId`.</w:t>
      </w:r>
    </w:p>
    <w:p>
      <w:pPr>
        <w:pStyle w:val="ListBullet"/>
        <w:spacing w:after="80"/>
      </w:pPr>
      <w:r>
        <w:rPr>
          <w:rFonts w:ascii="Calibri" w:hAnsi="Calibri"/>
        </w:rPr>
        <w:t>Une projection peut être reconstruite sans modifier les domaines sources.</w:t>
      </w:r>
    </w:p>
    <w:p>
      <w:pPr>
        <w:pStyle w:val="ListBullet"/>
        <w:spacing w:after="80"/>
      </w:pPr>
      <w:r>
        <w:rPr>
          <w:rFonts w:ascii="Calibri" w:hAnsi="Calibri"/>
        </w:rPr>
        <w:t>Chaque résultat expose sa définition, sa devise, son fuseau et sa fraîcheur.</w:t>
      </w:r>
    </w:p>
    <w:p>
      <w:pPr>
        <w:pStyle w:val="Heading2"/>
      </w:pPr>
      <w:r>
        <w:t>24.2 Sales et chiffre commercial</w:t>
      </w:r>
    </w:p>
    <w:p>
      <w:pPr>
        <w:pStyle w:val="CodeBlock"/>
        <w:keepLines/>
        <w:shd w:fill="F7F9FC"/>
      </w:pPr>
      <w:r>
        <w:rPr>
          <w:rFonts w:ascii="Consolas" w:hAnsi="Consolas"/>
          <w:color w:val="243B53"/>
          <w:sz w:val="18"/>
        </w:rPr>
        <w:t>SalesDailySummary</w:t>
      </w:r>
      <w:r>
        <w:br/>
      </w:r>
      <w:r>
        <w:rPr>
          <w:rFonts w:ascii="Consolas" w:hAnsi="Consolas"/>
          <w:color w:val="243B53"/>
          <w:sz w:val="18"/>
        </w:rPr>
        <w:t>├── OrganizationId, StoreId, BusinessDate, Currency</w:t>
      </w:r>
      <w:r>
        <w:br/>
      </w:r>
      <w:r>
        <w:rPr>
          <w:rFonts w:ascii="Consolas" w:hAnsi="Consolas"/>
          <w:color w:val="243B53"/>
          <w:sz w:val="18"/>
        </w:rPr>
        <w:t>├── completedSaleCount</w:t>
      </w:r>
      <w:r>
        <w:br/>
      </w:r>
      <w:r>
        <w:rPr>
          <w:rFonts w:ascii="Consolas" w:hAnsi="Consolas"/>
          <w:color w:val="243B53"/>
          <w:sz w:val="18"/>
        </w:rPr>
        <w:t>├── grossSalesAmount, discountAmount</w:t>
      </w:r>
      <w:r>
        <w:br/>
      </w:r>
      <w:r>
        <w:rPr>
          <w:rFonts w:ascii="Consolas" w:hAnsi="Consolas"/>
          <w:color w:val="243B53"/>
          <w:sz w:val="18"/>
        </w:rPr>
        <w:t>├── netSalesBeforeTax, taxAmount, netSalesIncludingTax</w:t>
      </w:r>
      <w:r>
        <w:br/>
      </w:r>
      <w:r>
        <w:rPr>
          <w:rFonts w:ascii="Consolas" w:hAnsi="Consolas"/>
          <w:color w:val="243B53"/>
          <w:sz w:val="18"/>
        </w:rPr>
        <w:t>├── returnedAmount, commercialNetSales</w:t>
      </w:r>
      <w:r>
        <w:br/>
      </w:r>
      <w:r>
        <w:rPr>
          <w:rFonts w:ascii="Consolas" w:hAnsi="Consolas"/>
          <w:color w:val="243B53"/>
          <w:sz w:val="18"/>
        </w:rPr>
        <w:t>├── costOfGoodsSold, grossMargin</w:t>
      </w:r>
      <w:r>
        <w:br/>
      </w:r>
      <w:r>
        <w:rPr>
          <w:rFonts w:ascii="Consolas" w:hAnsi="Consolas"/>
          <w:color w:val="243B53"/>
          <w:sz w:val="18"/>
        </w:rPr>
        <w:t>└── calculatedAt, ProjectionVersion</w:t>
      </w:r>
    </w:p>
    <w:p>
      <w:pPr>
        <w:pStyle w:val="CodeBlock"/>
        <w:keepLines/>
        <w:shd w:fill="F7F9FC"/>
      </w:pPr>
      <w:r>
        <w:rPr>
          <w:rFonts w:ascii="Consolas" w:hAnsi="Consolas"/>
          <w:color w:val="243B53"/>
          <w:sz w:val="18"/>
        </w:rPr>
        <w:t>netSalesBeforeTax = grossSalesAmount - discountAmount</w:t>
      </w:r>
      <w:r>
        <w:br/>
      </w:r>
      <w:r>
        <w:rPr>
          <w:rFonts w:ascii="Consolas" w:hAnsi="Consolas"/>
          <w:color w:val="243B53"/>
          <w:sz w:val="18"/>
        </w:rPr>
        <w:t>netSalesIncludingTax = netSalesBeforeTax + taxAmount</w:t>
      </w:r>
      <w:r>
        <w:br/>
      </w:r>
      <w:r>
        <w:rPr>
          <w:rFonts w:ascii="Consolas" w:hAnsi="Consolas"/>
          <w:color w:val="243B53"/>
          <w:sz w:val="18"/>
        </w:rPr>
        <w:t>commercialNetSales = netSalesIncludingTax - returnedAmount</w:t>
      </w:r>
      <w:r>
        <w:br/>
      </w:r>
      <w:r>
        <w:rPr>
          <w:rFonts w:ascii="Consolas" w:hAnsi="Consolas"/>
          <w:color w:val="243B53"/>
          <w:sz w:val="18"/>
        </w:rPr>
        <w:t>grossMargin = netSalesBeforeTax - costOfGoodsSold</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Une `Sale COMPLETED` contribue aux ventes quelle que soit sa méthode de financement. Une vente à crédit augmente les ventes et les créances, jamais les encaissements.</w:t>
            </w:r>
          </w:p>
        </w:tc>
      </w:tr>
    </w:tbl>
    <w:p>
      <w:pPr>
        <w:spacing w:after="0"/>
      </w:pPr>
    </w:p>
    <w:p>
      <w:r>
        <w:rPr>
          <w:rFonts w:ascii="Calibri" w:hAnsi="Calibri"/>
          <w:i w:val="0"/>
        </w:rPr>
        <w:t>`ReturnSale` réduit les ventes commerciales à sa propre `BusinessDate`; `PaymentRefund` réduit les encaissements nets. Les états `DRAFT`, `AWAITING_PAYMENT` et `CANCELLED` sont exclus des indicateurs définitifs et exposés séparément comme états opérationnels.</w:t>
      </w:r>
    </w:p>
    <w:p>
      <w:pPr>
        <w:pStyle w:val="Heading2"/>
      </w:pPr>
      <w:r>
        <w:t>24.3 Inventory et valorisation</w:t>
      </w:r>
    </w:p>
    <w:p>
      <w:pPr>
        <w:pStyle w:val="CodeBlock"/>
        <w:keepLines/>
        <w:shd w:fill="F7F9FC"/>
      </w:pPr>
      <w:r>
        <w:rPr>
          <w:rFonts w:ascii="Consolas" w:hAnsi="Consolas"/>
          <w:color w:val="243B53"/>
          <w:sz w:val="18"/>
        </w:rPr>
        <w:t>InventoryPosition</w:t>
      </w:r>
      <w:r>
        <w:br/>
      </w:r>
      <w:r>
        <w:rPr>
          <w:rFonts w:ascii="Consolas" w:hAnsi="Consolas"/>
          <w:color w:val="243B53"/>
          <w:sz w:val="18"/>
        </w:rPr>
        <w:t>├── OrganizationId, StoreId, ProductId</w:t>
      </w:r>
      <w:r>
        <w:br/>
      </w:r>
      <w:r>
        <w:rPr>
          <w:rFonts w:ascii="Consolas" w:hAnsi="Consolas"/>
          <w:color w:val="243B53"/>
          <w:sz w:val="18"/>
        </w:rPr>
        <w:t>├── quantityOnHand, reservedQuantity, availableQuantity</w:t>
      </w:r>
      <w:r>
        <w:br/>
      </w:r>
      <w:r>
        <w:rPr>
          <w:rFonts w:ascii="Consolas" w:hAnsi="Consolas"/>
          <w:color w:val="243B53"/>
          <w:sz w:val="18"/>
        </w:rPr>
        <w:t>├── averageUnitCost, inventoryValue</w:t>
      </w:r>
      <w:r>
        <w:br/>
      </w:r>
      <w:r>
        <w:rPr>
          <w:rFonts w:ascii="Consolas" w:hAnsi="Consolas"/>
          <w:color w:val="243B53"/>
          <w:sz w:val="18"/>
        </w:rPr>
        <w:t>├── lastMovementAt, lastCountAt?</w:t>
      </w:r>
      <w:r>
        <w:br/>
      </w:r>
      <w:r>
        <w:rPr>
          <w:rFonts w:ascii="Consolas" w:hAnsi="Consolas"/>
          <w:color w:val="243B53"/>
          <w:sz w:val="18"/>
        </w:rPr>
        <w:t>└── sourceStockVersion, calculatedAt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`Stock` reste l’autorité physique et `StockValuation` l’autorité économique. La projection ne remplace aucun des deux.</w:t>
            </w:r>
          </w:p>
        </w:tc>
      </w:tr>
    </w:tbl>
    <w:p>
      <w:pPr>
        <w:spacing w:after="0"/>
      </w:pPr>
    </w:p>
    <w:p>
      <w:pPr>
        <w:pStyle w:val="CodeBlock"/>
        <w:keepLines/>
        <w:shd w:fill="F7F9FC"/>
      </w:pPr>
      <w:r>
        <w:rPr>
          <w:rFonts w:ascii="Consolas" w:hAnsi="Consolas"/>
          <w:color w:val="243B53"/>
          <w:sz w:val="18"/>
        </w:rPr>
        <w:t>InventoryDailySnapshot</w:t>
      </w:r>
      <w:r>
        <w:br/>
      </w:r>
      <w:r>
        <w:rPr>
          <w:rFonts w:ascii="Consolas" w:hAnsi="Consolas"/>
          <w:color w:val="243B53"/>
          <w:sz w:val="18"/>
        </w:rPr>
        <w:t>├── BusinessDate, openingQuantity</w:t>
      </w:r>
      <w:r>
        <w:br/>
      </w:r>
      <w:r>
        <w:rPr>
          <w:rFonts w:ascii="Consolas" w:hAnsi="Consolas"/>
          <w:color w:val="243B53"/>
          <w:sz w:val="18"/>
        </w:rPr>
        <w:t>├── quantityIn, quantityOut, closingQuantity</w:t>
      </w:r>
      <w:r>
        <w:br/>
      </w:r>
      <w:r>
        <w:rPr>
          <w:rFonts w:ascii="Consolas" w:hAnsi="Consolas"/>
          <w:color w:val="243B53"/>
          <w:sz w:val="18"/>
        </w:rPr>
        <w:t>├── openingValue, valueIn, valueOut, closingValue</w:t>
      </w:r>
      <w:r>
        <w:br/>
      </w:r>
      <w:r>
        <w:rPr>
          <w:rFonts w:ascii="Consolas" w:hAnsi="Consolas"/>
          <w:color w:val="243B53"/>
          <w:sz w:val="18"/>
        </w:rPr>
        <w:t>└── calculatedAt</w:t>
      </w:r>
    </w:p>
    <w:p>
      <w:r>
        <w:rPr>
          <w:rFonts w:ascii="Calibri" w:hAnsi="Calibri"/>
          <w:i w:val="0"/>
        </w:rPr>
        <w:t>Les réservations ne constituent ni une entrée ni une sortie physique. L’identité `openingQuantity + quantityIn - quantityOut = closingQuantity` est contrôlée.</w:t>
      </w:r>
    </w:p>
    <w:p>
      <w:pPr>
        <w:pStyle w:val="Heading2"/>
      </w:pPr>
      <w:r>
        <w:t>24.4 Cash Management</w:t>
      </w:r>
    </w:p>
    <w:p>
      <w:pPr>
        <w:pStyle w:val="CodeBlock"/>
        <w:keepLines/>
        <w:shd w:fill="F7F9FC"/>
      </w:pPr>
      <w:r>
        <w:rPr>
          <w:rFonts w:ascii="Consolas" w:hAnsi="Consolas"/>
          <w:color w:val="243B53"/>
          <w:sz w:val="18"/>
        </w:rPr>
        <w:t>CashSessionSummary</w:t>
      </w:r>
      <w:r>
        <w:br/>
      </w:r>
      <w:r>
        <w:rPr>
          <w:rFonts w:ascii="Consolas" w:hAnsi="Consolas"/>
          <w:color w:val="243B53"/>
          <w:sz w:val="18"/>
        </w:rPr>
        <w:t>├── CashRegisterId, CashSessionId</w:t>
      </w:r>
      <w:r>
        <w:br/>
      </w:r>
      <w:r>
        <w:rPr>
          <w:rFonts w:ascii="Consolas" w:hAnsi="Consolas"/>
          <w:color w:val="243B53"/>
          <w:sz w:val="18"/>
        </w:rPr>
        <w:t>├── openingFloat</w:t>
      </w:r>
      <w:r>
        <w:br/>
      </w:r>
      <w:r>
        <w:rPr>
          <w:rFonts w:ascii="Consolas" w:hAnsi="Consolas"/>
          <w:color w:val="243B53"/>
          <w:sz w:val="18"/>
        </w:rPr>
        <w:t>├── cashSalesAmount, cashDebtPaymentAmount</w:t>
      </w:r>
      <w:r>
        <w:br/>
      </w:r>
      <w:r>
        <w:rPr>
          <w:rFonts w:ascii="Consolas" w:hAnsi="Consolas"/>
          <w:color w:val="243B53"/>
          <w:sz w:val="18"/>
        </w:rPr>
        <w:t>├── cashRefundAmount, cashPayoutAmount</w:t>
      </w:r>
      <w:r>
        <w:br/>
      </w:r>
      <w:r>
        <w:rPr>
          <w:rFonts w:ascii="Consolas" w:hAnsi="Consolas"/>
          <w:color w:val="243B53"/>
          <w:sz w:val="18"/>
        </w:rPr>
        <w:t>├── cashAdjustmentIn, cashAdjustmentOut</w:t>
      </w:r>
      <w:r>
        <w:br/>
      </w:r>
      <w:r>
        <w:rPr>
          <w:rFonts w:ascii="Consolas" w:hAnsi="Consolas"/>
          <w:color w:val="243B53"/>
          <w:sz w:val="18"/>
        </w:rPr>
        <w:t>├── expectedClosingAmount, declaredClosingAmount?</w:t>
      </w:r>
      <w:r>
        <w:br/>
      </w:r>
      <w:r>
        <w:rPr>
          <w:rFonts w:ascii="Consolas" w:hAnsi="Consolas"/>
          <w:color w:val="243B53"/>
          <w:sz w:val="18"/>
        </w:rPr>
        <w:t>├── varianceAmount?, status</w:t>
      </w:r>
      <w:r>
        <w:br/>
      </w:r>
      <w:r>
        <w:rPr>
          <w:rFonts w:ascii="Consolas" w:hAnsi="Consolas"/>
          <w:color w:val="243B53"/>
          <w:sz w:val="18"/>
        </w:rPr>
        <w:t>└── calculatedAt</w:t>
      </w:r>
    </w:p>
    <w:p>
      <w:pPr>
        <w:pStyle w:val="CodeBlock"/>
        <w:keepLines/>
        <w:shd w:fill="F7F9FC"/>
      </w:pPr>
      <w:r>
        <w:rPr>
          <w:rFonts w:ascii="Consolas" w:hAnsi="Consolas"/>
          <w:color w:val="243B53"/>
          <w:sz w:val="18"/>
        </w:rPr>
        <w:t>expectedClosingAmount = openingFloat + cashSalesAmount</w:t>
      </w:r>
      <w:r>
        <w:br/>
      </w:r>
      <w:r>
        <w:rPr>
          <w:rFonts w:ascii="Consolas" w:hAnsi="Consolas"/>
          <w:color w:val="243B53"/>
          <w:sz w:val="18"/>
        </w:rPr>
        <w:t xml:space="preserve">  + cashDebtPaymentAmount + cashAdjustmentIn</w:t>
      </w:r>
      <w:r>
        <w:br/>
      </w:r>
      <w:r>
        <w:rPr>
          <w:rFonts w:ascii="Consolas" w:hAnsi="Consolas"/>
          <w:color w:val="243B53"/>
          <w:sz w:val="18"/>
        </w:rPr>
        <w:t xml:space="preserve">  - cashRefundAmount - cashPayoutAmount - cashAdjustmentOut</w:t>
      </w:r>
      <w:r>
        <w:br/>
      </w:r>
      <w:r>
        <w:rPr>
          <w:rFonts w:ascii="Consolas" w:hAnsi="Consolas"/>
          <w:color w:val="243B53"/>
          <w:sz w:val="18"/>
        </w:rPr>
      </w:r>
      <w:r>
        <w:br/>
      </w:r>
      <w:r>
        <w:rPr>
          <w:rFonts w:ascii="Consolas" w:hAnsi="Consolas"/>
          <w:color w:val="243B53"/>
          <w:sz w:val="18"/>
        </w:rPr>
        <w:t>varianceAmount = declaredClosingAmount - expectedClosingAmount</w:t>
      </w:r>
    </w:p>
    <w:p>
      <w:pPr>
        <w:pStyle w:val="ListBullet"/>
        <w:spacing w:after="80"/>
      </w:pPr>
      <w:r>
        <w:rPr>
          <w:rFonts w:ascii="Calibri" w:hAnsi="Calibri"/>
        </w:rPr>
        <w:t>Seuls les `CashMovement` validés alimentent le montant attendu.</w:t>
      </w:r>
    </w:p>
    <w:p>
      <w:pPr>
        <w:pStyle w:val="ListBullet"/>
        <w:spacing w:after="80"/>
      </w:pPr>
      <w:r>
        <w:rPr>
          <w:rFonts w:ascii="Calibri" w:hAnsi="Calibri"/>
        </w:rPr>
        <w:t>Les paiements non cash ne contribuent jamais au contenu physique de la caisse.</w:t>
      </w:r>
    </w:p>
    <w:p>
      <w:pPr>
        <w:pStyle w:val="ListBullet"/>
        <w:spacing w:after="80"/>
      </w:pPr>
      <w:r>
        <w:rPr>
          <w:rFonts w:ascii="Calibri" w:hAnsi="Calibri"/>
        </w:rPr>
        <w:t>Un `DEBT_WRITE_OFF` ne crée aucun mouvement de caisse.</w:t>
      </w:r>
    </w:p>
    <w:p>
      <w:pPr>
        <w:pStyle w:val="ListBullet"/>
        <w:spacing w:after="80"/>
      </w:pPr>
      <w:r>
        <w:rPr>
          <w:rFonts w:ascii="Calibri" w:hAnsi="Calibri"/>
        </w:rPr>
        <w:t>Les corrections restent distinctes de leurs mouvements initiaux.</w:t>
      </w:r>
    </w:p>
    <w:p>
      <w:pPr>
        <w:pStyle w:val="Heading2"/>
      </w:pPr>
      <w:r>
        <w:t>24.5 Customers, créances et paiements</w:t>
      </w:r>
    </w:p>
    <w:p>
      <w:pPr>
        <w:pStyle w:val="CodeBlock"/>
        <w:keepLines/>
        <w:shd w:fill="F7F9FC"/>
      </w:pPr>
      <w:r>
        <w:rPr>
          <w:rFonts w:ascii="Consolas" w:hAnsi="Consolas"/>
          <w:color w:val="243B53"/>
          <w:sz w:val="18"/>
        </w:rPr>
        <w:t>CustomerBalanceProjection</w:t>
      </w:r>
      <w:r>
        <w:br/>
      </w:r>
      <w:r>
        <w:rPr>
          <w:rFonts w:ascii="Consolas" w:hAnsi="Consolas"/>
          <w:color w:val="243B53"/>
          <w:sz w:val="18"/>
        </w:rPr>
        <w:t>├── CustomerId, CustomerNumber, CustomerDisplayName</w:t>
      </w:r>
      <w:r>
        <w:br/>
      </w:r>
      <w:r>
        <w:rPr>
          <w:rFonts w:ascii="Consolas" w:hAnsi="Consolas"/>
          <w:color w:val="243B53"/>
          <w:sz w:val="18"/>
        </w:rPr>
        <w:t>├── Currency, accountStatus</w:t>
      </w:r>
      <w:r>
        <w:br/>
      </w:r>
      <w:r>
        <w:rPr>
          <w:rFonts w:ascii="Consolas" w:hAnsi="Consolas"/>
          <w:color w:val="243B53"/>
          <w:sz w:val="18"/>
        </w:rPr>
        <w:t>├── balance, creditLimit, availableCredit</w:t>
      </w:r>
      <w:r>
        <w:br/>
      </w:r>
      <w:r>
        <w:rPr>
          <w:rFonts w:ascii="Consolas" w:hAnsi="Consolas"/>
          <w:color w:val="243B53"/>
          <w:sz w:val="18"/>
        </w:rPr>
        <w:t>├── totalOutstanding, overdueAmount</w:t>
      </w:r>
      <w:r>
        <w:br/>
      </w:r>
      <w:r>
        <w:rPr>
          <w:rFonts w:ascii="Consolas" w:hAnsi="Consolas"/>
          <w:color w:val="243B53"/>
          <w:sz w:val="18"/>
        </w:rPr>
        <w:t>├── openReceivableCount, oldestDueDate?</w:t>
      </w:r>
      <w:r>
        <w:br/>
      </w:r>
      <w:r>
        <w:rPr>
          <w:rFonts w:ascii="Consolas" w:hAnsi="Consolas"/>
          <w:color w:val="243B53"/>
          <w:sz w:val="18"/>
        </w:rPr>
        <w:t>└── lastPaymentAt?, calculatedAt</w:t>
      </w:r>
    </w:p>
    <w:p>
      <w:r>
        <w:rPr>
          <w:rFonts w:ascii="Calibri" w:hAnsi="Calibri"/>
          <w:i w:val="0"/>
        </w:rPr>
        <w:t>`ReceivablesAgingSummary` sépare `notDueAmount`, 1–30, 31–60, 61–90 et plus de 90 jours. `asOfDate` et le fuseau sont toujours visibles. Dette et avoir client sont affichés séparément.</w:t>
      </w:r>
    </w:p>
    <w:p>
      <w:pPr>
        <w:pStyle w:val="CodeBlock"/>
        <w:keepLines/>
        <w:shd w:fill="F7F9FC"/>
      </w:pPr>
      <w:r>
        <w:rPr>
          <w:rFonts w:ascii="Consolas" w:hAnsi="Consolas"/>
          <w:color w:val="243B53"/>
          <w:sz w:val="18"/>
        </w:rPr>
        <w:t>PaymentOperationsSummary</w:t>
      </w:r>
      <w:r>
        <w:br/>
      </w:r>
      <w:r>
        <w:rPr>
          <w:rFonts w:ascii="Consolas" w:hAnsi="Consolas"/>
          <w:color w:val="243B53"/>
          <w:sz w:val="18"/>
        </w:rPr>
        <w:t>├── BusinessDate, Currency, PaymentMethod</w:t>
      </w:r>
      <w:r>
        <w:br/>
      </w:r>
      <w:r>
        <w:rPr>
          <w:rFonts w:ascii="Consolas" w:hAnsi="Consolas"/>
          <w:color w:val="243B53"/>
          <w:sz w:val="18"/>
        </w:rPr>
        <w:t>├── created/pending/confirmed/failed/reversed counts</w:t>
      </w:r>
      <w:r>
        <w:br/>
      </w:r>
      <w:r>
        <w:rPr>
          <w:rFonts w:ascii="Consolas" w:hAnsi="Consolas"/>
          <w:color w:val="243B53"/>
          <w:sz w:val="18"/>
        </w:rPr>
        <w:t>├── requiresResolutionCount</w:t>
      </w:r>
      <w:r>
        <w:br/>
      </w:r>
      <w:r>
        <w:rPr>
          <w:rFonts w:ascii="Consolas" w:hAnsi="Consolas"/>
          <w:color w:val="243B53"/>
          <w:sz w:val="18"/>
        </w:rPr>
        <w:t>├── confirmedAmount, refundedAmount, reversedAmount</w:t>
      </w:r>
      <w:r>
        <w:br/>
      </w:r>
      <w:r>
        <w:rPr>
          <w:rFonts w:ascii="Consolas" w:hAnsi="Consolas"/>
          <w:color w:val="243B53"/>
          <w:sz w:val="18"/>
        </w:rPr>
        <w:t>└── netCollectedAmount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`CUSTOMER_CREDIT` est exclu de `netCollectedAmount`. Le rapprochement provider reste une projection distincte et ne corrige jamais automatiquement un `Payment`.</w:t>
            </w:r>
          </w:p>
        </w:tc>
      </w:tr>
    </w:tbl>
    <w:p>
      <w:pPr>
        <w:spacing w:after="0"/>
      </w:pPr>
    </w:p>
    <w:p>
      <w:pPr>
        <w:pStyle w:val="Heading2"/>
      </w:pPr>
      <w:r>
        <w:t>24.6 Moteur de projection</w:t>
      </w:r>
    </w:p>
    <w:p>
      <w:pPr>
        <w:pStyle w:val="CodeBlock"/>
        <w:keepLines/>
        <w:shd w:fill="F7F9FC"/>
      </w:pPr>
      <w:r>
        <w:rPr>
          <w:rFonts w:ascii="Consolas" w:hAnsi="Consolas"/>
          <w:color w:val="243B53"/>
          <w:sz w:val="18"/>
        </w:rPr>
        <w:t>ReportingProjection</w:t>
      </w:r>
      <w:r>
        <w:br/>
      </w:r>
      <w:r>
        <w:rPr>
          <w:rFonts w:ascii="Consolas" w:hAnsi="Consolas"/>
          <w:color w:val="243B53"/>
          <w:sz w:val="18"/>
        </w:rPr>
        <w:t>├── projectionName, ProjectionVersion</w:t>
      </w:r>
      <w:r>
        <w:br/>
      </w:r>
      <w:r>
        <w:rPr>
          <w:rFonts w:ascii="Consolas" w:hAnsi="Consolas"/>
          <w:color w:val="243B53"/>
          <w:sz w:val="18"/>
        </w:rPr>
        <w:t>├── status = ACTIVE | REBUILDING | PAUSED | FAILED</w:t>
      </w:r>
      <w:r>
        <w:br/>
      </w:r>
      <w:r>
        <w:rPr>
          <w:rFonts w:ascii="Consolas" w:hAnsi="Consolas"/>
          <w:color w:val="243B53"/>
          <w:sz w:val="18"/>
        </w:rPr>
        <w:t>├── lastProcessedEventPosition, lastProcessedAt</w:t>
      </w:r>
      <w:r>
        <w:br/>
      </w:r>
      <w:r>
        <w:rPr>
          <w:rFonts w:ascii="Consolas" w:hAnsi="Consolas"/>
          <w:color w:val="243B53"/>
          <w:sz w:val="18"/>
        </w:rPr>
        <w:t>├── rebuildStartedAt?, rebuildCompletedAt?</w:t>
      </w:r>
      <w:r>
        <w:br/>
      </w:r>
      <w:r>
        <w:rPr>
          <w:rFonts w:ascii="Consolas" w:hAnsi="Consolas"/>
          <w:color w:val="243B53"/>
          <w:sz w:val="18"/>
        </w:rPr>
        <w:t>├── failureCount, lastErrorCode?</w:t>
      </w:r>
      <w:r>
        <w:br/>
      </w:r>
      <w:r>
        <w:rPr>
          <w:rFonts w:ascii="Consolas" w:hAnsi="Consolas"/>
          <w:color w:val="243B53"/>
          <w:sz w:val="18"/>
        </w:rPr>
        <w:t>└── freshnessStatus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 mise à jour de la projection et de `ProjectionCheckpoint` est atomique. Le checkpoint est partitionné au minimum par organization afin qu’un tenant ne bloque pas les autres.</w:t>
            </w:r>
          </w:p>
        </w:tc>
      </w:tr>
    </w:tbl>
    <w:p>
      <w:pPr>
        <w:spacing w:after="0"/>
      </w:pPr>
    </w:p>
    <w:p>
      <w:pPr>
        <w:pStyle w:val="CodeBlock"/>
        <w:keepLines/>
        <w:shd w:fill="F7F9FC"/>
      </w:pPr>
      <w:r>
        <w:rPr>
          <w:rFonts w:ascii="Consolas" w:hAnsi="Consolas"/>
          <w:color w:val="243B53"/>
          <w:sz w:val="18"/>
        </w:rPr>
        <w:t>ProcessedProjectionEvent unique</w:t>
      </w:r>
      <w:r>
        <w:br/>
      </w:r>
      <w:r>
        <w:rPr>
          <w:rFonts w:ascii="Consolas" w:hAnsi="Consolas"/>
          <w:color w:val="243B53"/>
          <w:sz w:val="18"/>
        </w:rPr>
        <w:t>(projectionName, partitionKey, eventId)</w:t>
      </w:r>
    </w:p>
    <w:p>
      <w:r>
        <w:rPr>
          <w:rFonts w:ascii="Calibri" w:hAnsi="Calibri"/>
          <w:i w:val="0"/>
        </w:rPr>
        <w:t>L’ordre global n’est pas requis; l’ordre d’un même aggregate est contrôlé par `aggregateVersion`. Une version manquante retarde la partition et déclenche retry puis réparation ciblée.</w:t>
      </w:r>
    </w:p>
    <w:p>
      <w:pPr>
        <w:pStyle w:val="Heading2"/>
      </w:pPr>
      <w:r>
        <w:t>24.7 BusinessDate et events tardifs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`BusinessDate` est calculée selon le fuseau du store et reste distincte de `occurredAt`, `recordedAt` et `calculatedAt`.</w:t>
            </w:r>
          </w:p>
        </w:tc>
      </w:tr>
    </w:tbl>
    <w:p>
      <w:pPr>
        <w:spacing w:after="0"/>
      </w:pPr>
    </w:p>
    <w:p>
      <w:r>
        <w:rPr>
          <w:rFonts w:ascii="Calibri" w:hAnsi="Calibri"/>
          <w:i w:val="0"/>
        </w:rPr>
        <w:t>Un event traité tardivement corrige la journée où l’opération s’est produite. Un retour reste toutefois attaché au jour du retour : il ne réécrit pas la journée de la vente originale.</w:t>
      </w:r>
    </w:p>
    <w:p>
      <w:pPr>
        <w:pStyle w:val="Heading2"/>
      </w:pPr>
      <w:r>
        <w:t>24.8 Reconstruction et réparation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Une nouvelle version est reconstruite en parallèle de la version active, rattrape les nouveaux events, passe les contrôles puis devient active par basculement atomique. L’ancienne version permet un rollback temporaire.</w:t>
            </w:r>
          </w:p>
        </w:tc>
      </w:tr>
    </w:tbl>
    <w:p>
      <w:pPr>
        <w:spacing w:after="0"/>
      </w:pPr>
    </w:p>
    <w:p>
      <w:r>
        <w:rPr>
          <w:rFonts w:ascii="Calibri" w:hAnsi="Calibri"/>
          <w:i w:val="0"/>
        </w:rPr>
        <w:t>Les sources de reconstruction sont, par préférence : ledgers immuables, historique d’integration events, snapshot certifié plus events ultérieurs, puis extraction contrôlée des domaines. Une réparation peut cibler organization, store et période.</w:t>
      </w:r>
    </w:p>
    <w:p>
      <w:pPr>
        <w:pStyle w:val="CodeBlock"/>
        <w:keepLines/>
        <w:shd w:fill="F7F9FC"/>
      </w:pPr>
      <w:r>
        <w:rPr>
          <w:rFonts w:ascii="Consolas" w:hAnsi="Consolas"/>
          <w:color w:val="243B53"/>
          <w:sz w:val="18"/>
        </w:rPr>
        <w:t>ProjectionFailure.status</w:t>
      </w:r>
      <w:r>
        <w:br/>
      </w:r>
      <w:r>
        <w:rPr>
          <w:rFonts w:ascii="Consolas" w:hAnsi="Consolas"/>
          <w:color w:val="243B53"/>
          <w:sz w:val="18"/>
        </w:rPr>
        <w:t>= RETRY_PENDING | DEAD_LETTERED | RESOLVED | IGNORED_WITH_APPROVAL</w:t>
      </w:r>
    </w:p>
    <w:p>
      <w:pPr>
        <w:pStyle w:val="Heading2"/>
      </w:pPr>
      <w:r>
        <w:t>24.9 Requêtes, sécurité et cache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`ReportingQueryService` expose des application APIs; aucune table Reporting n’est interrogée directement par un autre module.</w:t>
            </w:r>
          </w:p>
        </w:tc>
      </w:tr>
    </w:tbl>
    <w:p>
      <w:pPr>
        <w:spacing w:after="0"/>
      </w:pPr>
    </w:p>
    <w:p>
      <w:pPr>
        <w:pStyle w:val="ListBullet"/>
        <w:spacing w:after="80"/>
      </w:pPr>
      <w:r>
        <w:rPr>
          <w:rFonts w:ascii="Calibri" w:hAnsi="Calibri"/>
        </w:rPr>
        <w:t>`OrganizationId` provient de `ActorContext`.</w:t>
      </w:r>
    </w:p>
    <w:p>
      <w:pPr>
        <w:pStyle w:val="ListBullet"/>
        <w:spacing w:after="80"/>
      </w:pPr>
      <w:r>
        <w:rPr>
          <w:rFonts w:ascii="Calibri" w:hAnsi="Calibri"/>
        </w:rPr>
        <w:t>Les dimensions et métriques sont des listes fermées par endpoint.</w:t>
      </w:r>
    </w:p>
    <w:p>
      <w:pPr>
        <w:pStyle w:val="ListBullet"/>
        <w:spacing w:after="80"/>
      </w:pPr>
      <w:r>
        <w:rPr>
          <w:rFonts w:ascii="Calibri" w:hAnsi="Calibri"/>
        </w:rPr>
        <w:t>Les rapports multi-devises retournent des groupes séparés sans conversion implicite.</w:t>
      </w:r>
    </w:p>
    <w:p>
      <w:pPr>
        <w:pStyle w:val="ListBullet"/>
        <w:spacing w:after="80"/>
      </w:pPr>
      <w:r>
        <w:rPr>
          <w:rFonts w:ascii="Calibri" w:hAnsi="Calibri"/>
        </w:rPr>
        <w:t>La pagination par curseur est déterministe.</w:t>
      </w:r>
    </w:p>
    <w:p>
      <w:pPr>
        <w:pStyle w:val="ListBullet"/>
        <w:spacing w:after="80"/>
      </w:pPr>
      <w:r>
        <w:rPr>
          <w:rFonts w:ascii="Calibri" w:hAnsi="Calibri"/>
        </w:rPr>
        <w:t>Toute tentative sur un store hors scope est rejetée explicitement.</w:t>
      </w:r>
    </w:p>
    <w:p>
      <w:pPr>
        <w:pStyle w:val="ListBullet"/>
        <w:spacing w:after="80"/>
      </w:pPr>
      <w:r>
        <w:rPr>
          <w:rFonts w:ascii="Calibri" w:hAnsi="Calibri"/>
        </w:rPr>
        <w:t>Le cache inclut tenant, empreinte de permissions, scopes, requête normalisée et version de projection.</w:t>
      </w:r>
    </w:p>
    <w:p>
      <w:r>
        <w:rPr>
          <w:rFonts w:ascii="Calibri" w:hAnsi="Calibri"/>
          <w:i w:val="0"/>
        </w:rPr>
        <w:t>Les coûts, marges, créances, données clients et rapprochements provider sont protégés par des permissions spécifiques. Le drill-down utilise l’application API du bounded context source.</w:t>
      </w:r>
    </w:p>
    <w:p>
      <w:pPr>
        <w:pStyle w:val="Heading2"/>
      </w:pPr>
      <w:r>
        <w:t>24.10 Exports</w:t>
      </w:r>
    </w:p>
    <w:p>
      <w:pPr>
        <w:pStyle w:val="CodeBlock"/>
        <w:keepLines/>
        <w:shd w:fill="F7F9FC"/>
      </w:pPr>
      <w:r>
        <w:rPr>
          <w:rFonts w:ascii="Consolas" w:hAnsi="Consolas"/>
          <w:color w:val="243B53"/>
          <w:sz w:val="18"/>
        </w:rPr>
        <w:t>ReportExport</w:t>
      </w:r>
      <w:r>
        <w:br/>
      </w:r>
      <w:r>
        <w:rPr>
          <w:rFonts w:ascii="Consolas" w:hAnsi="Consolas"/>
          <w:color w:val="243B53"/>
          <w:sz w:val="18"/>
        </w:rPr>
        <w:t>├── OrganizationId, requestedBy, reportType</w:t>
      </w:r>
      <w:r>
        <w:br/>
      </w:r>
      <w:r>
        <w:rPr>
          <w:rFonts w:ascii="Consolas" w:hAnsi="Consolas"/>
          <w:color w:val="243B53"/>
          <w:sz w:val="18"/>
        </w:rPr>
        <w:t>├── normalizedParameters</w:t>
      </w:r>
      <w:r>
        <w:br/>
      </w:r>
      <w:r>
        <w:rPr>
          <w:rFonts w:ascii="Consolas" w:hAnsi="Consolas"/>
          <w:color w:val="243B53"/>
          <w:sz w:val="18"/>
        </w:rPr>
        <w:t>├── outputFormat = CSV | XLSX | PDF</w:t>
      </w:r>
      <w:r>
        <w:br/>
      </w:r>
      <w:r>
        <w:rPr>
          <w:rFonts w:ascii="Consolas" w:hAnsi="Consolas"/>
          <w:color w:val="243B53"/>
          <w:sz w:val="18"/>
        </w:rPr>
        <w:t>├── status = REQUESTED | GENERATING | READY | FAILED | EXPIRED | CANCELLED</w:t>
      </w:r>
      <w:r>
        <w:br/>
      </w:r>
      <w:r>
        <w:rPr>
          <w:rFonts w:ascii="Consolas" w:hAnsi="Consolas"/>
          <w:color w:val="243B53"/>
          <w:sz w:val="18"/>
        </w:rPr>
        <w:t>├── requestedAt, completedAt?, expiresAt?</w:t>
      </w:r>
      <w:r>
        <w:br/>
      </w:r>
      <w:r>
        <w:rPr>
          <w:rFonts w:ascii="Consolas" w:hAnsi="Consolas"/>
          <w:color w:val="243B53"/>
          <w:sz w:val="18"/>
        </w:rPr>
        <w:t>├── rowCount?, checksum?, storageReference?</w:t>
      </w:r>
      <w:r>
        <w:br/>
      </w:r>
      <w:r>
        <w:rPr>
          <w:rFonts w:ascii="Consolas" w:hAnsi="Consolas"/>
          <w:color w:val="243B53"/>
          <w:sz w:val="18"/>
        </w:rPr>
        <w:t>└── failureCode?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exports volumineux sont asynchrones. Permissions, scopes, expiration et checksum sont vérifiés à la génération et au téléchargement; le lien est temporaire.</w:t>
            </w:r>
          </w:p>
        </w:tc>
      </w:tr>
    </w:tbl>
    <w:p>
      <w:pPr>
        <w:spacing w:after="0"/>
      </w:pPr>
    </w:p>
    <w:p>
      <w:r>
        <w:rPr>
          <w:rFonts w:ascii="Calibri" w:hAnsi="Calibri"/>
          <w:i w:val="0"/>
        </w:rPr>
        <w:t>Chaque export indique période, stores, fuseau, devise, filtres, `generatedAt`, `dataAsOf`, fraîcheur et version de définition. Les valeurs susceptibles de déclencher une formule sont neutralisées.</w:t>
      </w:r>
    </w:p>
    <w:p>
      <w:pPr>
        <w:pStyle w:val="Heading2"/>
      </w:pPr>
      <w:r>
        <w:t>24.11 Observabilité et cohérence</w:t>
      </w:r>
    </w:p>
    <w:p>
      <w:r>
        <w:rPr>
          <w:rFonts w:ascii="Calibri" w:hAnsi="Calibri"/>
          <w:i w:val="0"/>
        </w:rPr>
        <w:t>Les métriques couvrent lag, checkpoint, débit, échecs, retries, dead letters, progression de rebuild, latence des requêtes et exports. Les alertes ne contiennent aucune donnée sensible.</w:t>
      </w:r>
    </w:p>
    <w:p>
      <w:pPr>
        <w:pStyle w:val="CodeBlock"/>
        <w:keepLines/>
        <w:shd w:fill="F7F9FC"/>
      </w:pPr>
      <w:r>
        <w:rPr>
          <w:rFonts w:ascii="Consolas" w:hAnsi="Consolas"/>
          <w:color w:val="243B53"/>
          <w:sz w:val="18"/>
        </w:rPr>
        <w:t>ProjectionConsistencyCheck</w:t>
      </w:r>
      <w:r>
        <w:br/>
      </w:r>
      <w:r>
        <w:rPr>
          <w:rFonts w:ascii="Consolas" w:hAnsi="Consolas"/>
          <w:color w:val="243B53"/>
          <w:sz w:val="18"/>
        </w:rPr>
        <w:t>├── checkName, projectionName, OrganizationId, period?</w:t>
      </w:r>
      <w:r>
        <w:br/>
      </w:r>
      <w:r>
        <w:rPr>
          <w:rFonts w:ascii="Consolas" w:hAnsi="Consolas"/>
          <w:color w:val="243B53"/>
          <w:sz w:val="18"/>
        </w:rPr>
        <w:t>├── expectedValue, actualValue, difference, tolerance</w:t>
      </w:r>
      <w:r>
        <w:br/>
      </w:r>
      <w:r>
        <w:rPr>
          <w:rFonts w:ascii="Consolas" w:hAnsi="Consolas"/>
          <w:color w:val="243B53"/>
          <w:sz w:val="18"/>
        </w:rPr>
        <w:t>├── status = MATCHED | WITHIN_TOLERANCE | MISMATCH | CHECK_FAILED</w:t>
      </w:r>
      <w:r>
        <w:br/>
      </w:r>
      <w:r>
        <w:rPr>
          <w:rFonts w:ascii="Consolas" w:hAnsi="Consolas"/>
          <w:color w:val="243B53"/>
          <w:sz w:val="18"/>
        </w:rPr>
        <w:t>└── executedAt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Une divergence déclenche investigation ou reconstruction, jamais une correction automatique du domaine source. Les quantités ont une tolérance nulle; les tolérances monétaires sont explicites par contrôle.</w:t>
            </w:r>
          </w:p>
        </w:tc>
      </w:tr>
    </w:tbl>
    <w:p>
      <w:pPr>
        <w:spacing w:after="0"/>
      </w:pPr>
    </w:p>
    <w:p>
      <w:pPr>
        <w:pStyle w:val="Heading2"/>
      </w:pPr>
      <w:r>
        <w:t>24.12 Catalogue des indicateurs</w:t>
      </w:r>
    </w:p>
    <w:p>
      <w:pPr>
        <w:pStyle w:val="CodeBlock"/>
        <w:keepLines/>
        <w:shd w:fill="F7F9FC"/>
      </w:pPr>
      <w:r>
        <w:rPr>
          <w:rFonts w:ascii="Consolas" w:hAnsi="Consolas"/>
          <w:color w:val="243B53"/>
          <w:sz w:val="18"/>
        </w:rPr>
        <w:t>MetricDefinition</w:t>
      </w:r>
      <w:r>
        <w:br/>
      </w:r>
      <w:r>
        <w:rPr>
          <w:rFonts w:ascii="Consolas" w:hAnsi="Consolas"/>
          <w:color w:val="243B53"/>
          <w:sz w:val="18"/>
        </w:rPr>
        <w:t>├── metricCode, name, description, formula</w:t>
      </w:r>
      <w:r>
        <w:br/>
      </w:r>
      <w:r>
        <w:rPr>
          <w:rFonts w:ascii="Consolas" w:hAnsi="Consolas"/>
          <w:color w:val="243B53"/>
          <w:sz w:val="18"/>
        </w:rPr>
        <w:t>├── sourceEvents[], includedStatuses[], excludedStatuses[]</w:t>
      </w:r>
      <w:r>
        <w:br/>
      </w:r>
      <w:r>
        <w:rPr>
          <w:rFonts w:ascii="Consolas" w:hAnsi="Consolas"/>
          <w:color w:val="243B53"/>
          <w:sz w:val="18"/>
        </w:rPr>
        <w:t>├── dimensions[], currencyPolicy, timezonePolicy, roundingPolicy</w:t>
      </w:r>
      <w:r>
        <w:br/>
      </w:r>
      <w:r>
        <w:rPr>
          <w:rFonts w:ascii="Consolas" w:hAnsi="Consolas"/>
          <w:color w:val="243B53"/>
          <w:sz w:val="18"/>
        </w:rPr>
        <w:t>├── securityClassification, DefinitionVersion, validFrom</w:t>
      </w:r>
      <w:r>
        <w:br/>
      </w:r>
      <w:r>
        <w:rPr>
          <w:rFonts w:ascii="Consolas" w:hAnsi="Consolas"/>
          <w:color w:val="243B53"/>
          <w:sz w:val="18"/>
        </w:rPr>
        <w:t>└── status = DRAFT | ACTIVE | RETIRED</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shd w:fill="F2F4F7"/>
          </w:tcPr>
          <w:p>
            <w:r>
              <w:rPr>
                <w:rFonts w:ascii="Calibri" w:hAnsi="Calibri"/>
                <w:b/>
                <w:color w:val="1F4D78"/>
                <w:sz w:val="19"/>
              </w:rPr>
              <w:t>Code</w:t>
            </w:r>
          </w:p>
        </w:tc>
        <w:tc>
          <w:tcPr>
            <w:tcW w:type="dxa" w:w="6360"/>
            <w:tcMar>
              <w:top w:w="80" w:type="dxa"/>
              <w:start w:w="120" w:type="dxa"/>
              <w:bottom w:w="80" w:type="dxa"/>
              <w:end w:w="120" w:type="dxa"/>
            </w:tcMar>
            <w:shd w:fill="F2F4F7"/>
          </w:tcPr>
          <w:p>
            <w:r>
              <w:rPr>
                <w:rFonts w:ascii="Calibri" w:hAnsi="Calibri"/>
                <w:b/>
                <w:color w:val="1F4D78"/>
                <w:sz w:val="19"/>
              </w:rPr>
              <w:t>Définition synthétique</w:t>
            </w:r>
          </w:p>
        </w:tc>
      </w:tr>
      <w:tr>
        <w:tc>
          <w:tcPr>
            <w:tcW w:type="dxa" w:w="3000"/>
            <w:tcMar>
              <w:top w:w="80" w:type="dxa"/>
              <w:start w:w="120" w:type="dxa"/>
              <w:bottom w:w="80" w:type="dxa"/>
              <w:end w:w="120" w:type="dxa"/>
            </w:tcMar>
          </w:tcPr>
          <w:p>
            <w:r>
              <w:rPr>
                <w:rFonts w:ascii="Calibri" w:hAnsi="Calibri"/>
                <w:sz w:val="18"/>
              </w:rPr>
              <w:t>GROSS_SALES</w:t>
            </w:r>
          </w:p>
        </w:tc>
        <w:tc>
          <w:tcPr>
            <w:tcW w:type="dxa" w:w="6360"/>
            <w:tcMar>
              <w:top w:w="80" w:type="dxa"/>
              <w:start w:w="120" w:type="dxa"/>
              <w:bottom w:w="80" w:type="dxa"/>
              <w:end w:w="120" w:type="dxa"/>
            </w:tcMar>
          </w:tcPr>
          <w:p>
            <w:r>
              <w:rPr>
                <w:rFonts w:ascii="Calibri" w:hAnsi="Calibri"/>
                <w:sz w:val="18"/>
              </w:rPr>
              <w:t>Montant avant remises et taxes.</w:t>
            </w:r>
          </w:p>
        </w:tc>
      </w:tr>
      <w:tr>
        <w:tc>
          <w:tcPr>
            <w:tcW w:type="dxa" w:w="3000"/>
            <w:tcMar>
              <w:top w:w="80" w:type="dxa"/>
              <w:start w:w="120" w:type="dxa"/>
              <w:bottom w:w="80" w:type="dxa"/>
              <w:end w:w="120" w:type="dxa"/>
            </w:tcMar>
          </w:tcPr>
          <w:p>
            <w:r>
              <w:rPr>
                <w:rFonts w:ascii="Calibri" w:hAnsi="Calibri"/>
                <w:sz w:val="18"/>
              </w:rPr>
              <w:t>NET_SALES_BEFORE_TAX</w:t>
            </w:r>
          </w:p>
        </w:tc>
        <w:tc>
          <w:tcPr>
            <w:tcW w:type="dxa" w:w="6360"/>
            <w:tcMar>
              <w:top w:w="80" w:type="dxa"/>
              <w:start w:w="120" w:type="dxa"/>
              <w:bottom w:w="80" w:type="dxa"/>
              <w:end w:w="120" w:type="dxa"/>
            </w:tcMar>
          </w:tcPr>
          <w:p>
            <w:r>
              <w:rPr>
                <w:rFonts w:ascii="Calibri" w:hAnsi="Calibri"/>
                <w:sz w:val="18"/>
              </w:rPr>
              <w:t>Ventes après remises, hors taxes.</w:t>
            </w:r>
          </w:p>
        </w:tc>
      </w:tr>
      <w:tr>
        <w:tc>
          <w:tcPr>
            <w:tcW w:type="dxa" w:w="3000"/>
            <w:tcMar>
              <w:top w:w="80" w:type="dxa"/>
              <w:start w:w="120" w:type="dxa"/>
              <w:bottom w:w="80" w:type="dxa"/>
              <w:end w:w="120" w:type="dxa"/>
            </w:tcMar>
          </w:tcPr>
          <w:p>
            <w:r>
              <w:rPr>
                <w:rFonts w:ascii="Calibri" w:hAnsi="Calibri"/>
                <w:sz w:val="18"/>
              </w:rPr>
              <w:t>COMMERCIAL_NET_SALES</w:t>
            </w:r>
          </w:p>
        </w:tc>
        <w:tc>
          <w:tcPr>
            <w:tcW w:type="dxa" w:w="6360"/>
            <w:tcMar>
              <w:top w:w="80" w:type="dxa"/>
              <w:start w:w="120" w:type="dxa"/>
              <w:bottom w:w="80" w:type="dxa"/>
              <w:end w:w="120" w:type="dxa"/>
            </w:tcMar>
          </w:tcPr>
          <w:p>
            <w:r>
              <w:rPr>
                <w:rFonts w:ascii="Calibri" w:hAnsi="Calibri"/>
                <w:sz w:val="18"/>
              </w:rPr>
              <w:t>Ventes taxes incluses moins retours.</w:t>
            </w:r>
          </w:p>
        </w:tc>
      </w:tr>
      <w:tr>
        <w:tc>
          <w:tcPr>
            <w:tcW w:type="dxa" w:w="3000"/>
            <w:tcMar>
              <w:top w:w="80" w:type="dxa"/>
              <w:start w:w="120" w:type="dxa"/>
              <w:bottom w:w="80" w:type="dxa"/>
              <w:end w:w="120" w:type="dxa"/>
            </w:tcMar>
          </w:tcPr>
          <w:p>
            <w:r>
              <w:rPr>
                <w:rFonts w:ascii="Calibri" w:hAnsi="Calibri"/>
                <w:sz w:val="18"/>
              </w:rPr>
              <w:t>NET_COLLECTED_AMOUNT</w:t>
            </w:r>
          </w:p>
        </w:tc>
        <w:tc>
          <w:tcPr>
            <w:tcW w:type="dxa" w:w="6360"/>
            <w:tcMar>
              <w:top w:w="80" w:type="dxa"/>
              <w:start w:w="120" w:type="dxa"/>
              <w:bottom w:w="80" w:type="dxa"/>
              <w:end w:w="120" w:type="dxa"/>
            </w:tcMar>
          </w:tcPr>
          <w:p>
            <w:r>
              <w:rPr>
                <w:rFonts w:ascii="Calibri" w:hAnsi="Calibri"/>
                <w:sz w:val="18"/>
              </w:rPr>
              <w:t>Paiements confirmés moins remboursements et reversals.</w:t>
            </w:r>
          </w:p>
        </w:tc>
      </w:tr>
      <w:tr>
        <w:tc>
          <w:tcPr>
            <w:tcW w:type="dxa" w:w="3000"/>
            <w:tcMar>
              <w:top w:w="80" w:type="dxa"/>
              <w:start w:w="120" w:type="dxa"/>
              <w:bottom w:w="80" w:type="dxa"/>
              <w:end w:w="120" w:type="dxa"/>
            </w:tcMar>
          </w:tcPr>
          <w:p>
            <w:r>
              <w:rPr>
                <w:rFonts w:ascii="Calibri" w:hAnsi="Calibri"/>
                <w:sz w:val="18"/>
              </w:rPr>
              <w:t>OUTSTANDING_RECEIVABLES</w:t>
            </w:r>
          </w:p>
        </w:tc>
        <w:tc>
          <w:tcPr>
            <w:tcW w:type="dxa" w:w="6360"/>
            <w:tcMar>
              <w:top w:w="80" w:type="dxa"/>
              <w:start w:w="120" w:type="dxa"/>
              <w:bottom w:w="80" w:type="dxa"/>
              <w:end w:w="120" w:type="dxa"/>
            </w:tcMar>
          </w:tcPr>
          <w:p>
            <w:r>
              <w:rPr>
                <w:rFonts w:ascii="Calibri" w:hAnsi="Calibri"/>
                <w:sz w:val="18"/>
              </w:rPr>
              <w:t>Solde des créances ouvertes.</w:t>
            </w:r>
          </w:p>
        </w:tc>
      </w:tr>
      <w:tr>
        <w:tc>
          <w:tcPr>
            <w:tcW w:type="dxa" w:w="3000"/>
            <w:tcMar>
              <w:top w:w="80" w:type="dxa"/>
              <w:start w:w="120" w:type="dxa"/>
              <w:bottom w:w="80" w:type="dxa"/>
              <w:end w:w="120" w:type="dxa"/>
            </w:tcMar>
          </w:tcPr>
          <w:p>
            <w:r>
              <w:rPr>
                <w:rFonts w:ascii="Calibri" w:hAnsi="Calibri"/>
                <w:sz w:val="18"/>
              </w:rPr>
              <w:t>AVAILABLE_QUANTITY</w:t>
            </w:r>
          </w:p>
        </w:tc>
        <w:tc>
          <w:tcPr>
            <w:tcW w:type="dxa" w:w="6360"/>
            <w:tcMar>
              <w:top w:w="80" w:type="dxa"/>
              <w:start w:w="120" w:type="dxa"/>
              <w:bottom w:w="80" w:type="dxa"/>
              <w:end w:w="120" w:type="dxa"/>
            </w:tcMar>
          </w:tcPr>
          <w:p>
            <w:r>
              <w:rPr>
                <w:rFonts w:ascii="Calibri" w:hAnsi="Calibri"/>
                <w:sz w:val="18"/>
              </w:rPr>
              <w:t>Quantité physique moins réservations.</w:t>
            </w:r>
          </w:p>
        </w:tc>
      </w:tr>
      <w:tr>
        <w:tc>
          <w:tcPr>
            <w:tcW w:type="dxa" w:w="3000"/>
            <w:tcMar>
              <w:top w:w="80" w:type="dxa"/>
              <w:start w:w="120" w:type="dxa"/>
              <w:bottom w:w="80" w:type="dxa"/>
              <w:end w:w="120" w:type="dxa"/>
            </w:tcMar>
          </w:tcPr>
          <w:p>
            <w:r>
              <w:rPr>
                <w:rFonts w:ascii="Calibri" w:hAnsi="Calibri"/>
                <w:sz w:val="18"/>
              </w:rPr>
              <w:t>INVENTORY_VALUE</w:t>
            </w:r>
          </w:p>
        </w:tc>
        <w:tc>
          <w:tcPr>
            <w:tcW w:type="dxa" w:w="6360"/>
            <w:tcMar>
              <w:top w:w="80" w:type="dxa"/>
              <w:start w:w="120" w:type="dxa"/>
              <w:bottom w:w="80" w:type="dxa"/>
              <w:end w:w="120" w:type="dxa"/>
            </w:tcMar>
          </w:tcPr>
          <w:p>
            <w:r>
              <w:rPr>
                <w:rFonts w:ascii="Calibri" w:hAnsi="Calibri"/>
                <w:sz w:val="18"/>
              </w:rPr>
              <w:t>Valeur opérationnelle du stock.</w:t>
            </w:r>
          </w:p>
        </w:tc>
      </w:tr>
      <w:tr>
        <w:tc>
          <w:tcPr>
            <w:tcW w:type="dxa" w:w="3000"/>
            <w:tcMar>
              <w:top w:w="80" w:type="dxa"/>
              <w:start w:w="120" w:type="dxa"/>
              <w:bottom w:w="80" w:type="dxa"/>
              <w:end w:w="120" w:type="dxa"/>
            </w:tcMar>
          </w:tcPr>
          <w:p>
            <w:r>
              <w:rPr>
                <w:rFonts w:ascii="Calibri" w:hAnsi="Calibri"/>
                <w:sz w:val="18"/>
              </w:rPr>
              <w:t>GROSS_MARGIN</w:t>
            </w:r>
          </w:p>
        </w:tc>
        <w:tc>
          <w:tcPr>
            <w:tcW w:type="dxa" w:w="6360"/>
            <w:tcMar>
              <w:top w:w="80" w:type="dxa"/>
              <w:start w:w="120" w:type="dxa"/>
              <w:bottom w:w="80" w:type="dxa"/>
              <w:end w:w="120" w:type="dxa"/>
            </w:tcMar>
          </w:tcPr>
          <w:p>
            <w:r>
              <w:rPr>
                <w:rFonts w:ascii="Calibri" w:hAnsi="Calibri"/>
                <w:sz w:val="18"/>
              </w:rPr>
              <w:t>Ventes hors taxes moins coût des marchandises.</w:t>
            </w:r>
          </w:p>
        </w:tc>
      </w:tr>
      <w:tr>
        <w:tc>
          <w:tcPr>
            <w:tcW w:type="dxa" w:w="3000"/>
            <w:tcMar>
              <w:top w:w="80" w:type="dxa"/>
              <w:start w:w="120" w:type="dxa"/>
              <w:bottom w:w="80" w:type="dxa"/>
              <w:end w:w="120" w:type="dxa"/>
            </w:tcMar>
          </w:tcPr>
          <w:p>
            <w:r>
              <w:rPr>
                <w:rFonts w:ascii="Calibri" w:hAnsi="Calibri"/>
                <w:sz w:val="18"/>
              </w:rPr>
              <w:t>CASH_VARIANCE</w:t>
            </w:r>
          </w:p>
        </w:tc>
        <w:tc>
          <w:tcPr>
            <w:tcW w:type="dxa" w:w="6360"/>
            <w:tcMar>
              <w:top w:w="80" w:type="dxa"/>
              <w:start w:w="120" w:type="dxa"/>
              <w:bottom w:w="80" w:type="dxa"/>
              <w:end w:w="120" w:type="dxa"/>
            </w:tcMar>
          </w:tcPr>
          <w:p>
            <w:r>
              <w:rPr>
                <w:rFonts w:ascii="Calibri" w:hAnsi="Calibri"/>
                <w:sz w:val="18"/>
              </w:rPr>
              <w:t>Montant déclaré moins montant attendu.</w:t>
            </w:r>
          </w:p>
        </w:tc>
      </w:tr>
    </w:tbl>
    <w:p>
      <w:pPr>
        <w:spacing w:after="0"/>
      </w:pPr>
    </w:p>
    <w:p>
      <w:r>
        <w:rPr>
          <w:rFonts w:ascii="Calibri" w:hAnsi="Calibri"/>
          <w:i w:val="0"/>
        </w:rPr>
        <w:t>Toute activation exige un propriétaire métier, une formule, les sources, exclusions, politiques monétaire et temporelle, exemples de contrôle et permissions. Une modification sémantique crée une nouvelle `DefinitionVersion`.</w:t>
      </w:r>
    </w:p>
    <w:p>
      <w:pPr>
        <w:pStyle w:val="Heading2"/>
      </w:pPr>
      <w:r>
        <w:t>24.13 Critères d’acceptation</w:t>
      </w:r>
    </w:p>
    <w:p>
      <w:pPr>
        <w:pStyle w:val="ListBullet"/>
        <w:spacing w:after="80"/>
      </w:pPr>
      <w:r>
        <w:rPr>
          <w:rFonts w:ascii="Calibri" w:hAnsi="Calibri"/>
        </w:rPr>
        <w:t>Une vente comptant alimente ventes, paiements et caisse une seule fois.</w:t>
      </w:r>
    </w:p>
    <w:p>
      <w:pPr>
        <w:pStyle w:val="ListBullet"/>
        <w:spacing w:after="80"/>
      </w:pPr>
      <w:r>
        <w:rPr>
          <w:rFonts w:ascii="Calibri" w:hAnsi="Calibri"/>
        </w:rPr>
        <w:t>Une vente à crédit alimente ventes et créances sans augmenter les encaissements.</w:t>
      </w:r>
    </w:p>
    <w:p>
      <w:pPr>
        <w:pStyle w:val="ListBullet"/>
        <w:spacing w:after="80"/>
      </w:pPr>
      <w:r>
        <w:rPr>
          <w:rFonts w:ascii="Calibri" w:hAnsi="Calibri"/>
        </w:rPr>
        <w:t>Un retour et un remboursement affectent leurs indicateurs distincts.</w:t>
      </w:r>
    </w:p>
    <w:p>
      <w:pPr>
        <w:pStyle w:val="ListBullet"/>
        <w:spacing w:after="80"/>
      </w:pPr>
      <w:r>
        <w:rPr>
          <w:rFonts w:ascii="Calibri" w:hAnsi="Calibri"/>
        </w:rPr>
        <w:t>Une réservation réduit la disponibilité sans mouvement physique.</w:t>
      </w:r>
    </w:p>
    <w:p>
      <w:pPr>
        <w:pStyle w:val="ListBullet"/>
        <w:spacing w:after="80"/>
      </w:pPr>
      <w:r>
        <w:rPr>
          <w:rFonts w:ascii="Calibri" w:hAnsi="Calibri"/>
        </w:rPr>
        <w:t>Un event dupliqué ou tardif produit le résultat attendu.</w:t>
      </w:r>
    </w:p>
    <w:p>
      <w:pPr>
        <w:pStyle w:val="ListBullet"/>
        <w:spacing w:after="80"/>
      </w:pPr>
      <w:r>
        <w:rPr>
          <w:rFonts w:ascii="Calibri" w:hAnsi="Calibri"/>
        </w:rPr>
        <w:t>Une reconstruction produit les mêmes résultats que la projection active.</w:t>
      </w:r>
    </w:p>
    <w:p>
      <w:pPr>
        <w:pStyle w:val="ListBullet"/>
        <w:spacing w:after="80"/>
      </w:pPr>
      <w:r>
        <w:rPr>
          <w:rFonts w:ascii="Calibri" w:hAnsi="Calibri"/>
        </w:rPr>
        <w:t>Un acteur ne consulte ni n’exporte un store non autorisé.</w:t>
      </w:r>
    </w:p>
    <w:p>
      <w:pPr>
        <w:pStyle w:val="ListBullet"/>
        <w:spacing w:after="80"/>
      </w:pPr>
      <w:r>
        <w:rPr>
          <w:rFonts w:ascii="Calibri" w:hAnsi="Calibri"/>
        </w:rPr>
        <w:t>Deux devises ne sont jamais additionnées sans conversion explicite.</w:t>
      </w:r>
    </w:p>
    <w:p>
      <w:pPr>
        <w:pStyle w:val="Heading1"/>
      </w:pPr>
      <w:r>
        <w:t>25. Offline, synchronisation et reprise</w:t>
      </w:r>
    </w:p>
    <w:p>
      <w:pPr>
        <w:pStyle w:val="Heading2"/>
      </w:pPr>
      <w:r>
        <w:t>25.1 Positionnement et capacités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serveur reste l’autorité finale. Le mode offline maintient un sous-ensemble explicite d’opérations essentielles pendant une coupure temporaire; il ne constitue pas un second système autonome.</w:t>
            </w:r>
          </w:p>
        </w:tc>
      </w:tr>
    </w:tbl>
    <w:p>
      <w:pPr>
        <w:spacing w:after="0"/>
      </w:pPr>
    </w:p>
    <w:p>
      <w:pPr>
        <w:pStyle w:val="CodeBlock"/>
        <w:keepLines/>
        <w:shd w:fill="F7F9FC"/>
      </w:pPr>
      <w:r>
        <w:rPr>
          <w:rFonts w:ascii="Consolas" w:hAnsi="Consolas"/>
          <w:color w:val="243B53"/>
          <w:sz w:val="18"/>
        </w:rPr>
        <w:t>Terminal du store</w:t>
      </w:r>
      <w:r>
        <w:br/>
      </w:r>
      <w:r>
        <w:rPr>
          <w:rFonts w:ascii="Consolas" w:hAnsi="Consolas"/>
          <w:color w:val="243B53"/>
          <w:sz w:val="18"/>
        </w:rPr>
        <w:t>├── Local Read Model</w:t>
      </w:r>
      <w:r>
        <w:br/>
      </w:r>
      <w:r>
        <w:rPr>
          <w:rFonts w:ascii="Consolas" w:hAnsi="Consolas"/>
          <w:color w:val="243B53"/>
          <w:sz w:val="18"/>
        </w:rPr>
        <w:t>├── Offline Command Queue</w:t>
      </w:r>
      <w:r>
        <w:br/>
      </w:r>
      <w:r>
        <w:rPr>
          <w:rFonts w:ascii="Consolas" w:hAnsi="Consolas"/>
          <w:color w:val="243B53"/>
          <w:sz w:val="18"/>
        </w:rPr>
        <w:t>├── Local Operation Ledger</w:t>
      </w:r>
      <w:r>
        <w:br/>
      </w:r>
      <w:r>
        <w:rPr>
          <w:rFonts w:ascii="Consolas" w:hAnsi="Consolas"/>
          <w:color w:val="243B53"/>
          <w:sz w:val="18"/>
        </w:rPr>
        <w:t>├── Sync Checkpoint</w:t>
      </w:r>
      <w:r>
        <w:br/>
      </w:r>
      <w:r>
        <w:rPr>
          <w:rFonts w:ascii="Consolas" w:hAnsi="Consolas"/>
          <w:color w:val="243B53"/>
          <w:sz w:val="18"/>
        </w:rPr>
        <w:t>└── Encrypted Local Storage</w:t>
      </w:r>
      <w:r>
        <w:br/>
      </w:r>
      <w:r>
        <w:rPr>
          <w:rFonts w:ascii="Consolas" w:hAnsi="Consolas"/>
          <w:color w:val="243B53"/>
          <w:sz w:val="18"/>
        </w:rPr>
        <w:t xml:space="preserve">          │</w:t>
      </w:r>
      <w:r>
        <w:br/>
      </w:r>
      <w:r>
        <w:rPr>
          <w:rFonts w:ascii="Consolas" w:hAnsi="Consolas"/>
          <w:color w:val="243B53"/>
          <w:sz w:val="18"/>
        </w:rPr>
        <w:t xml:space="preserve">          ▼</w:t>
      </w:r>
      <w:r>
        <w:br/>
      </w:r>
      <w:r>
        <w:rPr>
          <w:rFonts w:ascii="Consolas" w:hAnsi="Consolas"/>
          <w:color w:val="243B53"/>
          <w:sz w:val="18"/>
        </w:rPr>
        <w:t>Synchronization → serveur Zandu</w:t>
      </w:r>
    </w:p>
    <w:p>
      <w:r>
        <w:rPr>
          <w:rFonts w:ascii="Calibri" w:hAnsi="Calibri"/>
          <w:i w:val="0"/>
        </w:rPr>
        <w:t>Le MVP autorise consultation du catalogue local, vente cash, reçu provisoire, stock estimé et mouvements de caisse autorisés. Paiements provider, crédit client, refunds, transferts, comptages, réceptions, pricing et administration restent online.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Une capacité offline exige politique explicite, données suffisamment fraîches, grant valide et invariant vérifiable localement. En cas d’incertitude, elle est bloquée.</w:t>
            </w:r>
          </w:p>
        </w:tc>
      </w:tr>
    </w:tbl>
    <w:p>
      <w:pPr>
        <w:spacing w:after="0"/>
      </w:pPr>
    </w:p>
    <w:p>
      <w:pPr>
        <w:pStyle w:val="Heading2"/>
      </w:pPr>
      <w:r>
        <w:t>25.2 DeviceRegistration et autorisation</w:t>
      </w:r>
    </w:p>
    <w:p>
      <w:pPr>
        <w:pStyle w:val="CodeBlock"/>
        <w:keepLines/>
        <w:shd w:fill="F7F9FC"/>
      </w:pPr>
      <w:r>
        <w:rPr>
          <w:rFonts w:ascii="Consolas" w:hAnsi="Consolas"/>
          <w:color w:val="243B53"/>
          <w:sz w:val="18"/>
        </w:rPr>
        <w:t>DeviceRegistration</w:t>
      </w:r>
      <w:r>
        <w:br/>
      </w:r>
      <w:r>
        <w:rPr>
          <w:rFonts w:ascii="Consolas" w:hAnsi="Consolas"/>
          <w:color w:val="243B53"/>
          <w:sz w:val="18"/>
        </w:rPr>
        <w:t>├── DeviceId, OrganizationId, StoreId</w:t>
      </w:r>
      <w:r>
        <w:br/>
      </w:r>
      <w:r>
        <w:rPr>
          <w:rFonts w:ascii="Consolas" w:hAnsi="Consolas"/>
          <w:color w:val="243B53"/>
          <w:sz w:val="18"/>
        </w:rPr>
        <w:t>├── deviceName, deviceType, publicKey</w:t>
      </w:r>
      <w:r>
        <w:br/>
      </w:r>
      <w:r>
        <w:rPr>
          <w:rFonts w:ascii="Consolas" w:hAnsi="Consolas"/>
          <w:color w:val="243B53"/>
          <w:sz w:val="18"/>
        </w:rPr>
        <w:t>├── status = PENDING | ACTIVE | SUSPENDED | REVOKED</w:t>
      </w:r>
      <w:r>
        <w:br/>
      </w:r>
      <w:r>
        <w:rPr>
          <w:rFonts w:ascii="Consolas" w:hAnsi="Consolas"/>
          <w:color w:val="243B53"/>
          <w:sz w:val="18"/>
        </w:rPr>
        <w:t>├── lastSeenAt?, revokedAt?</w:t>
      </w:r>
      <w:r>
        <w:br/>
      </w:r>
      <w:r>
        <w:rPr>
          <w:rFonts w:ascii="Consolas" w:hAnsi="Consolas"/>
          <w:color w:val="243B53"/>
          <w:sz w:val="18"/>
        </w:rPr>
        <w:t>└── offlinePolicyId, Version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Un terminal appartient à une seule organization et un seul store dans le MVP. `OfflineAuthorizationGrant` est signé, temporaire et contient uniquement les permissions offline, l’utilisateur, le device, le store et la version de politique.</w:t>
            </w:r>
          </w:p>
        </w:tc>
      </w:tr>
    </w:tbl>
    <w:p>
      <w:pPr>
        <w:spacing w:after="0"/>
      </w:pPr>
    </w:p>
    <w:p>
      <w:r>
        <w:rPr>
          <w:rFonts w:ascii="Calibri" w:hAnsi="Calibri"/>
          <w:i w:val="0"/>
        </w:rPr>
        <w:t>Une révocation ne peut atteindre instantanément un terminal déconnecté; le risque est borné par grants courts, durée offline maximale, plafonds, données minimales et chiffrement. À expiration, les nouvelles écritures sont bloquées.</w:t>
      </w:r>
    </w:p>
    <w:p>
      <w:pPr>
        <w:pStyle w:val="Heading2"/>
      </w:pPr>
      <w:r>
        <w:t>25.3 OfflineCommand et journal local</w:t>
      </w:r>
    </w:p>
    <w:p>
      <w:pPr>
        <w:pStyle w:val="CodeBlock"/>
        <w:keepLines/>
        <w:shd w:fill="F7F9FC"/>
      </w:pPr>
      <w:r>
        <w:rPr>
          <w:rFonts w:ascii="Consolas" w:hAnsi="Consolas"/>
          <w:color w:val="243B53"/>
          <w:sz w:val="18"/>
        </w:rPr>
        <w:t>OfflineCommand</w:t>
      </w:r>
      <w:r>
        <w:br/>
      </w:r>
      <w:r>
        <w:rPr>
          <w:rFonts w:ascii="Consolas" w:hAnsi="Consolas"/>
          <w:color w:val="243B53"/>
          <w:sz w:val="18"/>
        </w:rPr>
        <w:t>├── OfflineCommandId, DeviceId, ActorId</w:t>
      </w:r>
      <w:r>
        <w:br/>
      </w:r>
      <w:r>
        <w:rPr>
          <w:rFonts w:ascii="Consolas" w:hAnsi="Consolas"/>
          <w:color w:val="243B53"/>
          <w:sz w:val="18"/>
        </w:rPr>
        <w:t>├── commandType, payload, schemaVersion</w:t>
      </w:r>
      <w:r>
        <w:br/>
      </w:r>
      <w:r>
        <w:rPr>
          <w:rFonts w:ascii="Consolas" w:hAnsi="Consolas"/>
          <w:color w:val="243B53"/>
          <w:sz w:val="18"/>
        </w:rPr>
        <w:t>├── localSequence, idempotencyKey</w:t>
      </w:r>
      <w:r>
        <w:br/>
      </w:r>
      <w:r>
        <w:rPr>
          <w:rFonts w:ascii="Consolas" w:hAnsi="Consolas"/>
          <w:color w:val="243B53"/>
          <w:sz w:val="18"/>
        </w:rPr>
        <w:t>├── occurredAtDevice, recordedAtDevice</w:t>
      </w:r>
      <w:r>
        <w:br/>
      </w:r>
      <w:r>
        <w:rPr>
          <w:rFonts w:ascii="Consolas" w:hAnsi="Consolas"/>
          <w:color w:val="243B53"/>
          <w:sz w:val="18"/>
        </w:rPr>
        <w:t>├── authorizationGrantId</w:t>
      </w:r>
      <w:r>
        <w:br/>
      </w:r>
      <w:r>
        <w:rPr>
          <w:rFonts w:ascii="Consolas" w:hAnsi="Consolas"/>
          <w:color w:val="243B53"/>
          <w:sz w:val="18"/>
        </w:rPr>
        <w:t>├── previousCommandHash?, commandHash</w:t>
      </w:r>
      <w:r>
        <w:br/>
      </w:r>
      <w:r>
        <w:rPr>
          <w:rFonts w:ascii="Consolas" w:hAnsi="Consolas"/>
          <w:color w:val="243B53"/>
          <w:sz w:val="18"/>
        </w:rPr>
        <w:t>└── status, retryCount, lastErrorCode?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commandes sont immuables et utilisent des UUID conservés côté serveur. Une séquence monotone par terminal, une clé d’idempotence et une chaîne de hash permettent ordre local, reprise et détection des anomalies.</w:t>
            </w:r>
          </w:p>
        </w:tc>
      </w:tr>
    </w:tbl>
    <w:p>
      <w:pPr>
        <w:spacing w:after="0"/>
      </w:pPr>
    </w:p>
    <w:p>
      <w:pPr>
        <w:pStyle w:val="CodeBlock"/>
        <w:keepLines/>
        <w:shd w:fill="F7F9FC"/>
      </w:pPr>
      <w:r>
        <w:rPr>
          <w:rFonts w:ascii="Consolas" w:hAnsi="Consolas"/>
          <w:color w:val="243B53"/>
          <w:sz w:val="18"/>
        </w:rPr>
        <w:t>BEGIN LOCAL TRANSACTION</w:t>
      </w:r>
      <w:r>
        <w:br/>
      </w:r>
      <w:r>
        <w:rPr>
          <w:rFonts w:ascii="Consolas" w:hAnsi="Consolas"/>
          <w:color w:val="243B53"/>
          <w:sz w:val="18"/>
        </w:rPr>
        <w:t xml:space="preserve">  allocate localSequence</w:t>
      </w:r>
      <w:r>
        <w:br/>
      </w:r>
      <w:r>
        <w:rPr>
          <w:rFonts w:ascii="Consolas" w:hAnsi="Consolas"/>
          <w:color w:val="243B53"/>
          <w:sz w:val="18"/>
        </w:rPr>
        <w:t xml:space="preserve">  INSERT OfflineCommand</w:t>
      </w:r>
      <w:r>
        <w:br/>
      </w:r>
      <w:r>
        <w:rPr>
          <w:rFonts w:ascii="Consolas" w:hAnsi="Consolas"/>
          <w:color w:val="243B53"/>
          <w:sz w:val="18"/>
        </w:rPr>
        <w:t xml:space="preserve">  INSERT LocalOperationLedger</w:t>
      </w:r>
      <w:r>
        <w:br/>
      </w:r>
      <w:r>
        <w:rPr>
          <w:rFonts w:ascii="Consolas" w:hAnsi="Consolas"/>
          <w:color w:val="243B53"/>
          <w:sz w:val="18"/>
        </w:rPr>
        <w:t xml:space="preserve">  UPDATE Local Read Model</w:t>
      </w:r>
      <w:r>
        <w:br/>
      </w:r>
      <w:r>
        <w:rPr>
          <w:rFonts w:ascii="Consolas" w:hAnsi="Consolas"/>
          <w:color w:val="243B53"/>
          <w:sz w:val="18"/>
        </w:rPr>
        <w:t xml:space="preserve">  UPDATE local CashSession / stock estimate</w:t>
      </w:r>
      <w:r>
        <w:br/>
      </w:r>
      <w:r>
        <w:rPr>
          <w:rFonts w:ascii="Consolas" w:hAnsi="Consolas"/>
          <w:color w:val="243B53"/>
          <w:sz w:val="18"/>
        </w:rPr>
        <w:t>COMMIT</w:t>
      </w:r>
    </w:p>
    <w:p>
      <w:r>
        <w:rPr>
          <w:rFonts w:ascii="Calibri" w:hAnsi="Calibri"/>
          <w:i w:val="0"/>
        </w:rPr>
        <w:t>Aucun succès n’est affiché avant commit. Le numéro provisoire suit `StoreCode + DeviceCode + LocalBusinessDate + LocalSequence`; le numéro provisoire et l’`OfficialSaleNumber` restent tous deux consultables.</w:t>
      </w:r>
    </w:p>
    <w:p>
      <w:pPr>
        <w:pStyle w:val="Heading2"/>
      </w:pPr>
      <w:r>
        <w:t>25.4 Protocole de synchronisation</w:t>
      </w:r>
    </w:p>
    <w:p>
      <w:pPr>
        <w:pStyle w:val="CodeBlock"/>
        <w:keepLines/>
        <w:shd w:fill="F7F9FC"/>
      </w:pPr>
      <w:r>
        <w:rPr>
          <w:rFonts w:ascii="Consolas" w:hAnsi="Consolas"/>
          <w:color w:val="243B53"/>
          <w:sz w:val="18"/>
        </w:rPr>
        <w:t>SyncBatch</w:t>
      </w:r>
      <w:r>
        <w:br/>
      </w:r>
      <w:r>
        <w:rPr>
          <w:rFonts w:ascii="Consolas" w:hAnsi="Consolas"/>
          <w:color w:val="243B53"/>
          <w:sz w:val="18"/>
        </w:rPr>
        <w:t>├── DeviceId, firstLocalSequence, lastLocalSequence</w:t>
      </w:r>
      <w:r>
        <w:br/>
      </w:r>
      <w:r>
        <w:rPr>
          <w:rFonts w:ascii="Consolas" w:hAnsi="Consolas"/>
          <w:color w:val="243B53"/>
          <w:sz w:val="18"/>
        </w:rPr>
        <w:t>├── commands[], createdAt, batchHash</w:t>
      </w:r>
      <w:r>
        <w:br/>
      </w:r>
      <w:r>
        <w:rPr>
          <w:rFonts w:ascii="Consolas" w:hAnsi="Consolas"/>
          <w:color w:val="243B53"/>
          <w:sz w:val="18"/>
        </w:rPr>
        <w:t>└── deviceSignature</w:t>
      </w:r>
      <w:r>
        <w:br/>
      </w:r>
      <w:r>
        <w:rPr>
          <w:rFonts w:ascii="Consolas" w:hAnsi="Consolas"/>
          <w:color w:val="243B53"/>
          <w:sz w:val="18"/>
        </w:rPr>
      </w:r>
      <w:r>
        <w:br/>
      </w:r>
      <w:r>
        <w:rPr>
          <w:rFonts w:ascii="Consolas" w:hAnsi="Consolas"/>
          <w:color w:val="243B53"/>
          <w:sz w:val="18"/>
        </w:rPr>
        <w:t>SyncBatchResult</w:t>
      </w:r>
      <w:r>
        <w:br/>
      </w:r>
      <w:r>
        <w:rPr>
          <w:rFonts w:ascii="Consolas" w:hAnsi="Consolas"/>
          <w:color w:val="243B53"/>
          <w:sz w:val="18"/>
        </w:rPr>
        <w:t>├── results[commandId, sequence, status, serverEntityId?, officialNumber?]</w:t>
      </w:r>
      <w:r>
        <w:br/>
      </w:r>
      <w:r>
        <w:rPr>
          <w:rFonts w:ascii="Consolas" w:hAnsi="Consolas"/>
          <w:color w:val="243B53"/>
          <w:sz w:val="18"/>
        </w:rPr>
        <w:t>└── nextExpectedLocalSequence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L’upload et le download sont séparés, idempotents et reprenables. Le serveur conserve `ProcessedOfflineCommand` avec unicité sur device, command, sequence et idempotency key.</w:t>
            </w:r>
          </w:p>
        </w:tc>
      </w:tr>
    </w:tbl>
    <w:p>
      <w:pPr>
        <w:spacing w:after="0"/>
      </w:pPr>
    </w:p>
    <w:p>
      <w:r>
        <w:rPr>
          <w:rFonts w:ascii="Calibri" w:hAnsi="Calibri"/>
          <w:i w:val="0"/>
        </w:rPr>
        <w:t>Un retry au même hash retourne le résultat existant. La réutilisation d’un identifiant ou d’une séquence avec un autre payload bloque la synchronisation. Les dépendances sont déclarées par `dependsOnCommandIds[]`.</w:t>
      </w:r>
    </w:p>
    <w:p>
      <w:pPr>
        <w:pStyle w:val="CodeBlock"/>
        <w:keepLines/>
        <w:shd w:fill="F7F9FC"/>
      </w:pPr>
      <w:r>
        <w:rPr>
          <w:rFonts w:ascii="Consolas" w:hAnsi="Consolas"/>
          <w:color w:val="243B53"/>
          <w:sz w:val="18"/>
        </w:rPr>
        <w:t>SyncCheckpoint</w:t>
      </w:r>
      <w:r>
        <w:br/>
      </w:r>
      <w:r>
        <w:rPr>
          <w:rFonts w:ascii="Consolas" w:hAnsi="Consolas"/>
          <w:color w:val="243B53"/>
          <w:sz w:val="18"/>
        </w:rPr>
        <w:t>├── DeviceId</w:t>
      </w:r>
      <w:r>
        <w:br/>
      </w:r>
      <w:r>
        <w:rPr>
          <w:rFonts w:ascii="Consolas" w:hAnsi="Consolas"/>
          <w:color w:val="243B53"/>
          <w:sz w:val="18"/>
        </w:rPr>
        <w:t>├── lastAcknowledgedLocalSequence</w:t>
      </w:r>
      <w:r>
        <w:br/>
      </w:r>
      <w:r>
        <w:rPr>
          <w:rFonts w:ascii="Consolas" w:hAnsi="Consolas"/>
          <w:color w:val="243B53"/>
          <w:sz w:val="18"/>
        </w:rPr>
        <w:t>├── lastServerEventPosition</w:t>
      </w:r>
      <w:r>
        <w:br/>
      </w:r>
      <w:r>
        <w:rPr>
          <w:rFonts w:ascii="Consolas" w:hAnsi="Consolas"/>
          <w:color w:val="243B53"/>
          <w:sz w:val="18"/>
        </w:rPr>
        <w:t>├── lastSuccessfulSyncAt, lastAttemptAt</w:t>
      </w:r>
      <w:r>
        <w:br/>
      </w:r>
      <w:r>
        <w:rPr>
          <w:rFonts w:ascii="Consolas" w:hAnsi="Consolas"/>
          <w:color w:val="243B53"/>
          <w:sz w:val="18"/>
        </w:rPr>
        <w:t>└── synchronizationStatus</w:t>
      </w:r>
    </w:p>
    <w:p>
      <w:pPr>
        <w:pStyle w:val="Heading2"/>
      </w:pPr>
      <w:r>
        <w:t>25.5 Vente et stock offline</w:t>
      </w:r>
    </w:p>
    <w:p>
      <w:pPr>
        <w:pStyle w:val="CodeBlock"/>
        <w:keepLines/>
        <w:shd w:fill="F7F9FC"/>
      </w:pPr>
      <w:r>
        <w:rPr>
          <w:rFonts w:ascii="Consolas" w:hAnsi="Consolas"/>
          <w:color w:val="243B53"/>
          <w:sz w:val="18"/>
        </w:rPr>
        <w:t>LocalStockPosition</w:t>
      </w:r>
      <w:r>
        <w:br/>
      </w:r>
      <w:r>
        <w:rPr>
          <w:rFonts w:ascii="Consolas" w:hAnsi="Consolas"/>
          <w:color w:val="243B53"/>
          <w:sz w:val="18"/>
        </w:rPr>
        <w:t>├── serverQuantityOnHand, serverReservedQuantity</w:t>
      </w:r>
      <w:r>
        <w:br/>
      </w:r>
      <w:r>
        <w:rPr>
          <w:rFonts w:ascii="Consolas" w:hAnsi="Consolas"/>
          <w:color w:val="243B53"/>
          <w:sz w:val="18"/>
        </w:rPr>
        <w:t>├── pendingLocalQuantityOut, pendingLocalQuantityIn</w:t>
      </w:r>
      <w:r>
        <w:br/>
      </w:r>
      <w:r>
        <w:rPr>
          <w:rFonts w:ascii="Consolas" w:hAnsi="Consolas"/>
          <w:color w:val="243B53"/>
          <w:sz w:val="18"/>
        </w:rPr>
        <w:t>├── estimatedAvailableQuantity</w:t>
      </w:r>
      <w:r>
        <w:br/>
      </w:r>
      <w:r>
        <w:rPr>
          <w:rFonts w:ascii="Consolas" w:hAnsi="Consolas"/>
          <w:color w:val="243B53"/>
          <w:sz w:val="18"/>
        </w:rPr>
        <w:t>├── sourceStockVersion, synchronizedAt</w:t>
      </w:r>
      <w:r>
        <w:br/>
      </w:r>
      <w:r>
        <w:rPr>
          <w:rFonts w:ascii="Consolas" w:hAnsi="Consolas"/>
          <w:color w:val="243B53"/>
          <w:sz w:val="18"/>
        </w:rPr>
        <w:t>└── Version</w:t>
      </w:r>
    </w:p>
    <w:p>
      <w:pPr>
        <w:pStyle w:val="CodeBlock"/>
        <w:keepLines/>
        <w:shd w:fill="F7F9FC"/>
      </w:pPr>
      <w:r>
        <w:rPr>
          <w:rFonts w:ascii="Consolas" w:hAnsi="Consolas"/>
          <w:color w:val="243B53"/>
          <w:sz w:val="18"/>
        </w:rPr>
        <w:t>estimatedAvailableQuantity = serverQuantityOnHand</w:t>
      </w:r>
      <w:r>
        <w:br/>
      </w:r>
      <w:r>
        <w:rPr>
          <w:rFonts w:ascii="Consolas" w:hAnsi="Consolas"/>
          <w:color w:val="243B53"/>
          <w:sz w:val="18"/>
        </w:rPr>
        <w:t xml:space="preserve">  - serverReservedQuantity - pendingLocalQuantityOut</w:t>
      </w:r>
      <w:r>
        <w:br/>
      </w:r>
      <w:r>
        <w:rPr>
          <w:rFonts w:ascii="Consolas" w:hAnsi="Consolas"/>
          <w:color w:val="243B53"/>
          <w:sz w:val="18"/>
        </w:rPr>
        <w:t xml:space="preserve">  + pendingLocalQuantityIn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L’estimation locale n’est jamais une garantie serveur et ne devient jamais négative. La politique par produit est `DISABLED | LOCAL_ESTIMATE | DEVICE_ALLOWANCE`; la valeur par défaut est `DISABLED`.</w:t>
            </w:r>
          </w:p>
        </w:tc>
      </w:tr>
    </w:tbl>
    <w:p>
      <w:pPr>
        <w:spacing w:after="0"/>
      </w:pPr>
    </w:p>
    <w:p>
      <w:r>
        <w:rPr>
          <w:rFonts w:ascii="Calibri" w:hAnsi="Calibri"/>
          <w:i w:val="0"/>
        </w:rPr>
        <w:t>`OfflineSaleLineSnapshot` conserve packaging, conversion, prix, remise, taxe, totaux et versions sources. Une donnée fiscale absente, ambiguë ou trop ancienne bloque la vente; le serveur ne recalcule pas silencieusement avec les prix actuels.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`CompleteOfflineSale` regroupe vente, paiement cash et mouvement de caisse en une unité indivisible. Le serveur applique atomiquement Sale, Payment, CashMovement, Stock, StockMovement, valuation et outbox.</w:t>
            </w:r>
          </w:p>
        </w:tc>
      </w:tr>
    </w:tbl>
    <w:p>
      <w:pPr>
        <w:spacing w:after="0"/>
      </w:pPr>
    </w:p>
    <w:p>
      <w:r>
        <w:rPr>
          <w:rFonts w:ascii="Calibri" w:hAnsi="Calibri"/>
          <w:i w:val="0"/>
        </w:rPr>
        <w:t>Une survente entre terminaux devient `OfflineSaleResolution` et `StockDiscrepancy` explicites; elle ne rend jamais le stock serveur négatif et n’est jamais masquée par un ajustement automatique.</w:t>
      </w:r>
    </w:p>
    <w:p>
      <w:pPr>
        <w:pStyle w:val="Heading2"/>
      </w:pPr>
      <w:r>
        <w:t>25.6 CashSession offline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Dans le MVP, `CashSession = CashRegister + Cashier + Device`. L’ouverture doit être acceptée online avant le passage offline; le partage entre devices est interdit.</w:t>
            </w:r>
          </w:p>
        </w:tc>
      </w:tr>
    </w:tbl>
    <w:p>
      <w:pPr>
        <w:spacing w:after="0"/>
      </w:pPr>
    </w:p>
    <w:p>
      <w:pPr>
        <w:pStyle w:val="CodeBlock"/>
        <w:keepLines/>
        <w:shd w:fill="F7F9FC"/>
      </w:pPr>
      <w:r>
        <w:rPr>
          <w:rFonts w:ascii="Consolas" w:hAnsi="Consolas"/>
          <w:color w:val="243B53"/>
          <w:sz w:val="18"/>
        </w:rPr>
        <w:t>LocalCashSession</w:t>
      </w:r>
      <w:r>
        <w:br/>
      </w:r>
      <w:r>
        <w:rPr>
          <w:rFonts w:ascii="Consolas" w:hAnsi="Consolas"/>
          <w:color w:val="243B53"/>
          <w:sz w:val="18"/>
        </w:rPr>
        <w:t>├── CashSessionId, CashRegisterId, DeviceId, CashierId</w:t>
      </w:r>
      <w:r>
        <w:br/>
      </w:r>
      <w:r>
        <w:rPr>
          <w:rFonts w:ascii="Consolas" w:hAnsi="Consolas"/>
          <w:color w:val="243B53"/>
          <w:sz w:val="18"/>
        </w:rPr>
        <w:t>├── Currency, openingFloat, expectedCashAmount</w:t>
      </w:r>
      <w:r>
        <w:br/>
      </w:r>
      <w:r>
        <w:rPr>
          <w:rFonts w:ascii="Consolas" w:hAnsi="Consolas"/>
          <w:color w:val="243B53"/>
          <w:sz w:val="18"/>
        </w:rPr>
        <w:t>├── sourceSessionVersion, lastSynchronizedAt, offlineValidUntil</w:t>
      </w:r>
      <w:r>
        <w:br/>
      </w:r>
      <w:r>
        <w:rPr>
          <w:rFonts w:ascii="Consolas" w:hAnsi="Consolas"/>
          <w:color w:val="243B53"/>
          <w:sz w:val="18"/>
        </w:rPr>
        <w:t>└── status = OPEN | CLOSURE_REQUESTED | SYNC_PENDING | CLOSED | BLOCKED</w:t>
      </w:r>
    </w:p>
    <w:p>
      <w:r>
        <w:rPr>
          <w:rFonts w:ascii="Calibri" w:hAnsi="Calibri"/>
          <w:i w:val="0"/>
        </w:rPr>
        <w:t>Les ventes cash et mouvements manuels autorisés modifient atomiquement le montant attendu. Types proposés : `CASH_DROP`, `PETTY_CASH_OUT`, `CASH_ADJUSTMENT_IN`, `CASH_ADJUSTMENT_OUT`, chacun régi par permission, plafond, raison et pièce éventuelle.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 clôture offline est provisoire. Le terminal conserve montants attendus et écarts locaux; le serveur recalcule les valeurs officielles après traitement de toutes les commandes antérieures.</w:t>
            </w:r>
          </w:p>
        </w:tc>
      </w:tr>
    </w:tbl>
    <w:p>
      <w:pPr>
        <w:spacing w:after="0"/>
      </w:pPr>
    </w:p>
    <w:p>
      <w:r>
        <w:rPr>
          <w:rFonts w:ascii="Calibri" w:hAnsi="Calibri"/>
          <w:i w:val="0"/>
        </w:rPr>
        <w:t>Une commande rejetée n’efface jamais l’argent physiquement constaté : elle crée un `CashReconciliationIssue`. Après crash, le terminal vérifie ledger, recalcule la caisse et renvoie les commandes `SENDING` avec la même clé.</w:t>
      </w:r>
    </w:p>
    <w:p>
      <w:pPr>
        <w:pStyle w:val="Heading2"/>
      </w:pPr>
      <w:r>
        <w:t>25.7 Synchronisation descendante</w:t>
      </w:r>
    </w:p>
    <w:p>
      <w:pPr>
        <w:pStyle w:val="CodeBlock"/>
        <w:keepLines/>
        <w:shd w:fill="F7F9FC"/>
      </w:pPr>
      <w:r>
        <w:rPr>
          <w:rFonts w:ascii="Consolas" w:hAnsi="Consolas"/>
          <w:color w:val="243B53"/>
          <w:sz w:val="18"/>
        </w:rPr>
        <w:t>DownloadChangesResult</w:t>
      </w:r>
      <w:r>
        <w:br/>
      </w:r>
      <w:r>
        <w:rPr>
          <w:rFonts w:ascii="Consolas" w:hAnsi="Consolas"/>
          <w:color w:val="243B53"/>
          <w:sz w:val="18"/>
        </w:rPr>
        <w:t>├── changes[entityType, entityId, operation, entityVersion, schemaVersion]</w:t>
      </w:r>
      <w:r>
        <w:br/>
      </w:r>
      <w:r>
        <w:rPr>
          <w:rFonts w:ascii="Consolas" w:hAnsi="Consolas"/>
          <w:color w:val="243B53"/>
          <w:sz w:val="18"/>
        </w:rPr>
        <w:t>├── nextCursor, hasMore, serverTime</w:t>
      </w:r>
      <w:r>
        <w:br/>
      </w:r>
      <w:r>
        <w:rPr>
          <w:rFonts w:ascii="Consolas" w:hAnsi="Consolas"/>
          <w:color w:val="243B53"/>
          <w:sz w:val="18"/>
        </w:rPr>
        <w:t>├── policyVersion</w:t>
      </w:r>
      <w:r>
        <w:br/>
      </w:r>
      <w:r>
        <w:rPr>
          <w:rFonts w:ascii="Consolas" w:hAnsi="Consolas"/>
          <w:color w:val="243B53"/>
          <w:sz w:val="18"/>
        </w:rPr>
        <w:t>└── minimumClientVersion?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curseur serveur est opaque et avance dans la même transaction locale que l’application du lot. Une ancienne version n’écrase jamais une récente.</w:t>
            </w:r>
          </w:p>
        </w:tc>
      </w:tr>
    </w:tbl>
    <w:p>
      <w:pPr>
        <w:spacing w:after="0"/>
      </w:pPr>
    </w:p>
    <w:p>
      <w:r>
        <w:rPr>
          <w:rFonts w:ascii="Calibri" w:hAnsi="Calibri"/>
          <w:i w:val="0"/>
        </w:rPr>
        <w:t>`LocalReadModel` contient uniquement produits, packaging, barcode, prix, taxes, position de stock, register, session, policy et grant nécessaires. Les suppressions utilisent des `Tombstone`; `ANONYMIZE` purge les données personnelles et index locaux.</w:t>
      </w:r>
    </w:p>
    <w:p>
      <w:r>
        <w:rPr>
          <w:rFonts w:ascii="Calibri" w:hAnsi="Calibri"/>
          <w:i w:val="0"/>
        </w:rPr>
        <w:t>Les commandes uploadées sont traitées avant le download. Les commandes non acquittées restent superposées au snapshot serveur. Une donnée supprimée mais encore référencée est conservée sous forme de snapshot minimal, sans rester sélectionnable.</w:t>
      </w:r>
    </w:p>
    <w:p>
      <w:pPr>
        <w:pStyle w:val="Heading2"/>
      </w:pPr>
      <w:r>
        <w:t>25.8 Schémas, migrations et resynchronisation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Chaque payload déclare `schemaVersion`; client et serveur négocient une version compatible. `minimumClientVersion` impose une mise à jour lorsque nécessaire.</w:t>
            </w:r>
          </w:p>
        </w:tc>
      </w:tr>
    </w:tbl>
    <w:p>
      <w:pPr>
        <w:spacing w:after="0"/>
      </w:pPr>
    </w:p>
    <w:p>
      <w:pPr>
        <w:pStyle w:val="CodeBlock"/>
        <w:keepLines/>
        <w:shd w:fill="F7F9FC"/>
      </w:pPr>
      <w:r>
        <w:rPr>
          <w:rFonts w:ascii="Consolas" w:hAnsi="Consolas"/>
          <w:color w:val="243B53"/>
          <w:sz w:val="18"/>
        </w:rPr>
        <w:t>LocalMigration.status</w:t>
      </w:r>
      <w:r>
        <w:br/>
      </w:r>
      <w:r>
        <w:rPr>
          <w:rFonts w:ascii="Consolas" w:hAnsi="Consolas"/>
          <w:color w:val="243B53"/>
          <w:sz w:val="18"/>
        </w:rPr>
        <w:t>= PENDING | RUNNING | COMPLETED | ROLLED_BACK | FAILED</w:t>
      </w:r>
    </w:p>
    <w:p>
      <w:r>
        <w:rPr>
          <w:rFonts w:ascii="Calibri" w:hAnsi="Calibri"/>
          <w:i w:val="0"/>
        </w:rPr>
        <w:t>Avant migration risquée : arrêt des écritures, contrôle d’intégrité, backup chiffré, migration transactionnelle et validation. Une migration ou une resynchronisation complète ne supprime jamais commandes, résultats non rapprochés, attachments ni anomalies ouvertes.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Un `StoreSyncSnapshot` signé et vérifié accélère installation et reconstruction; les changements postérieurs à son `eventPosition` sont ensuite téléchargés.</w:t>
            </w:r>
          </w:p>
        </w:tc>
      </w:tr>
    </w:tbl>
    <w:p>
      <w:pPr>
        <w:spacing w:after="0"/>
      </w:pPr>
    </w:p>
    <w:p>
      <w:pPr>
        <w:pStyle w:val="Heading2"/>
      </w:pPr>
      <w:r>
        <w:t>25.9 Sécurité du terminal</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Base locale, queue, ledger, attachments, snapshots et backups sont chiffrés. Les clés sont liées au terminal et séparées pour encryption, signature et confiance serveur.</w:t>
            </w:r>
          </w:p>
        </w:tc>
      </w:tr>
    </w:tbl>
    <w:p>
      <w:pPr>
        <w:spacing w:after="0"/>
      </w:pPr>
    </w:p>
    <w:p>
      <w:pPr>
        <w:pStyle w:val="ListBullet"/>
        <w:spacing w:after="80"/>
      </w:pPr>
      <w:r>
        <w:rPr>
          <w:rFonts w:ascii="Calibri" w:hAnsi="Calibri"/>
        </w:rPr>
        <w:t>Le matériel de clé privé ne quitte jamais le terminal.</w:t>
      </w:r>
    </w:p>
    <w:p>
      <w:pPr>
        <w:pStyle w:val="ListBullet"/>
        <w:spacing w:after="80"/>
      </w:pPr>
      <w:r>
        <w:rPr>
          <w:rFonts w:ascii="Calibri" w:hAnsi="Calibri"/>
        </w:rPr>
        <w:t>Aucun mot de passe serveur ni donnée complète de carte, CVV, PIN ou secret provider n’est stocké.</w:t>
      </w:r>
    </w:p>
    <w:p>
      <w:pPr>
        <w:pStyle w:val="ListBullet"/>
        <w:spacing w:after="80"/>
      </w:pPr>
      <w:r>
        <w:rPr>
          <w:rFonts w:ascii="Calibri" w:hAnsi="Calibri"/>
        </w:rPr>
        <w:t>Une copie du stockage ne doit pas fonctionner sur un autre appareil.</w:t>
      </w:r>
    </w:p>
    <w:p>
      <w:pPr>
        <w:pStyle w:val="ListBullet"/>
        <w:spacing w:after="80"/>
      </w:pPr>
      <w:r>
        <w:rPr>
          <w:rFonts w:ascii="Calibri" w:hAnsi="Calibri"/>
        </w:rPr>
        <w:t>L’authentification locale utilise un vérificateur protégé ou la sécurité native de la plateforme.</w:t>
      </w:r>
    </w:p>
    <w:p>
      <w:pPr>
        <w:pStyle w:val="ListBullet"/>
        <w:spacing w:after="80"/>
      </w:pPr>
      <w:r>
        <w:rPr>
          <w:rFonts w:ascii="Calibri" w:hAnsi="Calibri"/>
        </w:rPr>
        <w:t>Les échecs et actions sensibles alimentent un `LocalSecurityAuditEntry` append-only.</w:t>
      </w:r>
    </w:p>
    <w:p>
      <w:pPr>
        <w:pStyle w:val="CodeBlock"/>
        <w:keepLines/>
        <w:shd w:fill="F7F9FC"/>
      </w:pPr>
      <w:r>
        <w:rPr>
          <w:rFonts w:ascii="Consolas" w:hAnsi="Consolas"/>
          <w:color w:val="243B53"/>
          <w:sz w:val="18"/>
        </w:rPr>
        <w:t>timeConfidenceStatus = TRUSTED | DEGRADED | UNTRUSTED</w:t>
      </w:r>
    </w:p>
    <w:p>
      <w:r>
        <w:rPr>
          <w:rFonts w:ascii="Calibri" w:hAnsi="Calibri"/>
          <w:i w:val="0"/>
        </w:rPr>
        <w:t>Le temps est estimé depuis un `TrustedTimeAnchor` et une horloge monotone. Recul, dérive excessive, reset incohérent ou validité indémontrable du grant bloque les écritures.</w:t>
      </w:r>
    </w:p>
    <w:p>
      <w:r>
        <w:rPr>
          <w:rFonts w:ascii="Calibri" w:hAnsi="Calibri"/>
          <w:i w:val="0"/>
        </w:rPr>
        <w:t>Une révocation reçue bloque les nouvelles opérations, invalide grants et sessions puis purge de façon contrôlée. Un wipe demandé reste distinct d’un wipe confirmé. Le mode recovery autorise uniquement diagnostic, export chiffré, upload, résultats et wipe.</w:t>
      </w:r>
    </w:p>
    <w:p>
      <w:pPr>
        <w:pStyle w:val="Heading2"/>
      </w:pPr>
      <w:r>
        <w:t>25.10 Résilience et support</w:t>
      </w:r>
    </w:p>
    <w:p>
      <w:pPr>
        <w:pStyle w:val="CodeBlock"/>
        <w:keepLines/>
        <w:shd w:fill="F7F9FC"/>
      </w:pPr>
      <w:r>
        <w:rPr>
          <w:rFonts w:ascii="Consolas" w:hAnsi="Consolas"/>
          <w:color w:val="243B53"/>
          <w:sz w:val="18"/>
        </w:rPr>
        <w:t>SynchronizationSession.status</w:t>
      </w:r>
      <w:r>
        <w:br/>
      </w:r>
      <w:r>
        <w:rPr>
          <w:rFonts w:ascii="Consolas" w:hAnsi="Consolas"/>
          <w:color w:val="243B53"/>
          <w:sz w:val="18"/>
        </w:rPr>
        <w:t>= STARTED | UPLOADING | DOWNLOADING | VERIFYING</w:t>
      </w:r>
      <w:r>
        <w:br/>
      </w:r>
      <w:r>
        <w:rPr>
          <w:rFonts w:ascii="Consolas" w:hAnsi="Consolas"/>
          <w:color w:val="243B53"/>
          <w:sz w:val="18"/>
        </w:rPr>
        <w:t xml:space="preserve">  | COMPLETED | PARTIALLY_COMPLETED | FAILED | BLOCKED</w:t>
      </w:r>
    </w:p>
    <w:p>
      <w:r>
        <w:rPr>
          <w:rFonts w:ascii="Calibri" w:hAnsi="Calibri"/>
          <w:i w:val="0"/>
        </w:rPr>
        <w:t>L’interface expose `SYNCED`, `OFFLINE_READY`, `OFFLINE_LIMITED`, `PENDING_SYNC`, `SYNCHRONIZING`, `ACTION_REQUIRED` ou `BLOCKED`, avec dernière synchronisation, attente, durée restante et fraîcheur des données.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erreurs retryables utilisent exponential backoff, jitter et délai maximal. Validation, sécurité, intégrité et incompatibilité ne sont pas rejouées indéfiniment.</w:t>
            </w:r>
          </w:p>
        </w:tc>
      </w:tr>
    </w:tbl>
    <w:p>
      <w:pPr>
        <w:spacing w:after="0"/>
      </w:pPr>
    </w:p>
    <w:p>
      <w:pPr>
        <w:pStyle w:val="CodeBlock"/>
        <w:keepLines/>
        <w:shd w:fill="F7F9FC"/>
      </w:pPr>
      <w:r>
        <w:rPr>
          <w:rFonts w:ascii="Consolas" w:hAnsi="Consolas"/>
          <w:color w:val="243B53"/>
          <w:sz w:val="18"/>
        </w:rPr>
        <w:t>OfflineCommandDeadLetter.status</w:t>
      </w:r>
      <w:r>
        <w:br/>
      </w:r>
      <w:r>
        <w:rPr>
          <w:rFonts w:ascii="Consolas" w:hAnsi="Consolas"/>
          <w:color w:val="243B53"/>
          <w:sz w:val="18"/>
        </w:rPr>
        <w:t>= OPEN | UNDER_REVIEW | REQUEUED | RESOLVED | CANCELLED_WITH_APPROVAL</w:t>
      </w:r>
    </w:p>
    <w:p>
      <w:r>
        <w:rPr>
          <w:rFonts w:ascii="Calibri" w:hAnsi="Calibri"/>
          <w:i w:val="0"/>
        </w:rPr>
        <w:t>Le support agit uniquement via permissions dédiées et `ResolveOfflineConflict`, avec tenant, scope, raison, correlation ID et audit. Il ne modifie jamais directement le payload original.</w:t>
      </w:r>
    </w:p>
    <w:p>
      <w:pPr>
        <w:pStyle w:val="Heading2"/>
      </w:pPr>
      <w:r>
        <w:t>25.11 Observabilité et contrôles</w:t>
      </w:r>
    </w:p>
    <w:p>
      <w:r>
        <w:rPr>
          <w:rFonts w:ascii="Calibri" w:hAnsi="Calibri"/>
          <w:i w:val="0"/>
        </w:rPr>
        <w:t>Les métriques couvrent devices actifs, durée offline, commandes en attente/traitées/rejetées, conflits, dead letters, durée/échecs de sync, download lag et intégrité. Les identifiants à forte cardinalité restent dans logs ou traces.</w:t>
      </w:r>
    </w:p>
    <w:p>
      <w:pPr>
        <w:pStyle w:val="ListBullet"/>
        <w:spacing w:after="80"/>
      </w:pPr>
      <w:r>
        <w:rPr>
          <w:rFonts w:ascii="Calibri" w:hAnsi="Calibri"/>
        </w:rPr>
        <w:t>continuité de localSequence et hashes du ledger</w:t>
      </w:r>
    </w:p>
    <w:p>
      <w:pPr>
        <w:pStyle w:val="ListBullet"/>
        <w:spacing w:after="80"/>
      </w:pPr>
      <w:r>
        <w:rPr>
          <w:rFonts w:ascii="Calibri" w:hAnsi="Calibri"/>
        </w:rPr>
        <w:t>cohérence commandes/statuts et dépendances</w:t>
      </w:r>
    </w:p>
    <w:p>
      <w:pPr>
        <w:pStyle w:val="ListBullet"/>
        <w:spacing w:after="80"/>
      </w:pPr>
      <w:r>
        <w:rPr>
          <w:rFonts w:ascii="Calibri" w:hAnsi="Calibri"/>
        </w:rPr>
        <w:t>recalcul de caisse et sorties de stock</w:t>
      </w:r>
    </w:p>
    <w:p>
      <w:pPr>
        <w:pStyle w:val="ListBullet"/>
        <w:spacing w:after="80"/>
      </w:pPr>
      <w:r>
        <w:rPr>
          <w:rFonts w:ascii="Calibri" w:hAnsi="Calibri"/>
        </w:rPr>
        <w:t>validité du cursor et des snapshots</w:t>
      </w:r>
    </w:p>
    <w:p>
      <w:pPr>
        <w:pStyle w:val="ListBullet"/>
        <w:spacing w:after="80"/>
      </w:pPr>
      <w:r>
        <w:rPr>
          <w:rFonts w:ascii="Calibri" w:hAnsi="Calibri"/>
        </w:rPr>
        <w:t>intégrité des attachments et versions de policy</w:t>
      </w:r>
    </w:p>
    <w:p>
      <w:r>
        <w:rPr>
          <w:rFonts w:ascii="Calibri" w:hAnsi="Calibri"/>
          <w:i w:val="0"/>
        </w:rPr>
        <w:t>Une divergence place le terminal en `ACTION_REQUIRED` ou `BLOCKED`; elle n’est jamais corrigée silencieusement.</w:t>
      </w:r>
    </w:p>
    <w:p>
      <w:pPr>
        <w:pStyle w:val="Heading2"/>
      </w:pPr>
      <w:r>
        <w:t>25.12 Critères d’acceptation</w:t>
      </w:r>
    </w:p>
    <w:p>
      <w:pPr>
        <w:pStyle w:val="ListBullet"/>
        <w:spacing w:after="80"/>
      </w:pPr>
      <w:r>
        <w:rPr>
          <w:rFonts w:ascii="Calibri" w:hAnsi="Calibri"/>
        </w:rPr>
        <w:t>Une vente cash reste possible pendant une coupure autorisée.</w:t>
      </w:r>
    </w:p>
    <w:p>
      <w:pPr>
        <w:pStyle w:val="ListBullet"/>
        <w:spacing w:after="80"/>
      </w:pPr>
      <w:r>
        <w:rPr>
          <w:rFonts w:ascii="Calibri" w:hAnsi="Calibri"/>
        </w:rPr>
        <w:t>Un crash ou retry ne perd ni ne duplique une vente.</w:t>
      </w:r>
    </w:p>
    <w:p>
      <w:pPr>
        <w:pStyle w:val="ListBullet"/>
        <w:spacing w:after="80"/>
      </w:pPr>
      <w:r>
        <w:rPr>
          <w:rFonts w:ascii="Calibri" w:hAnsi="Calibri"/>
        </w:rPr>
        <w:t>Deux terminaux ne rendent jamais le stock serveur négatif.</w:t>
      </w:r>
    </w:p>
    <w:p>
      <w:pPr>
        <w:pStyle w:val="ListBullet"/>
        <w:spacing w:after="80"/>
      </w:pPr>
      <w:r>
        <w:rPr>
          <w:rFonts w:ascii="Calibri" w:hAnsi="Calibri"/>
        </w:rPr>
        <w:t>Une survente devient une anomalie visible.</w:t>
      </w:r>
    </w:p>
    <w:p>
      <w:pPr>
        <w:pStyle w:val="ListBullet"/>
        <w:spacing w:after="80"/>
      </w:pPr>
      <w:r>
        <w:rPr>
          <w:rFonts w:ascii="Calibri" w:hAnsi="Calibri"/>
        </w:rPr>
        <w:t>Une donnée commerciale trop ancienne bloque l’opération concernée.</w:t>
      </w:r>
    </w:p>
    <w:p>
      <w:pPr>
        <w:pStyle w:val="ListBullet"/>
        <w:spacing w:after="80"/>
      </w:pPr>
      <w:r>
        <w:rPr>
          <w:rFonts w:ascii="Calibri" w:hAnsi="Calibri"/>
        </w:rPr>
        <w:t>Une révocation reçue bloque immédiatement les écritures.</w:t>
      </w:r>
    </w:p>
    <w:p>
      <w:pPr>
        <w:pStyle w:val="ListBullet"/>
        <w:spacing w:after="80"/>
      </w:pPr>
      <w:r>
        <w:rPr>
          <w:rFonts w:ascii="Calibri" w:hAnsi="Calibri"/>
        </w:rPr>
        <w:t>Une clôture locale reste provisoire.</w:t>
      </w:r>
    </w:p>
    <w:p>
      <w:pPr>
        <w:pStyle w:val="ListBullet"/>
        <w:spacing w:after="80"/>
      </w:pPr>
      <w:r>
        <w:rPr>
          <w:rFonts w:ascii="Calibri" w:hAnsi="Calibri"/>
        </w:rPr>
        <w:t>Une resynchronisation préserve toutes les commandes en attente.</w:t>
      </w:r>
    </w:p>
    <w:p>
      <w:pPr>
        <w:pStyle w:val="ListBullet"/>
        <w:spacing w:after="80"/>
      </w:pPr>
      <w:r>
        <w:rPr>
          <w:rFonts w:ascii="Calibri" w:hAnsi="Calibri"/>
        </w:rPr>
        <w:t>Stockage et backups sont chiffrés; signatures et checksums sont vérifiés.</w:t>
      </w:r>
    </w:p>
    <w:p>
      <w:pPr>
        <w:pStyle w:val="ListBullet"/>
        <w:spacing w:after="80"/>
      </w:pPr>
      <w:r>
        <w:rPr>
          <w:rFonts w:ascii="Calibri" w:hAnsi="Calibri"/>
        </w:rPr>
        <w:t>L’utilisateur distingue données serveur et effets locaux provisoires.</w:t>
      </w:r>
    </w:p>
    <w:p>
      <w:pPr>
        <w:pStyle w:val="Heading1"/>
      </w:pPr>
      <w:r>
        <w:t>26. Préparation de l’implémentation et roadmap</w:t>
      </w:r>
    </w:p>
    <w:p>
      <w:pPr>
        <w:pStyle w:val="Heading2"/>
      </w:pPr>
      <w:r>
        <w:t>26.1 Architecture de code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Chaque bounded context est un module autonome du modular monolith, organisé en `Domain`, `Application`, `Infrastructure` et `Contracts`.</w:t>
            </w:r>
          </w:p>
        </w:tc>
      </w:tr>
    </w:tbl>
    <w:p>
      <w:pPr>
        <w:spacing w:after="0"/>
      </w:pPr>
    </w:p>
    <w:p>
      <w:pPr>
        <w:pStyle w:val="CodeBlock"/>
        <w:keepLines/>
        <w:shd w:fill="F7F9FC"/>
      </w:pPr>
      <w:r>
        <w:rPr>
          <w:rFonts w:ascii="Consolas" w:hAnsi="Consolas"/>
          <w:color w:val="243B53"/>
          <w:sz w:val="18"/>
        </w:rPr>
        <w:t>Module</w:t>
      </w:r>
      <w:r>
        <w:br/>
      </w:r>
      <w:r>
        <w:rPr>
          <w:rFonts w:ascii="Consolas" w:hAnsi="Consolas"/>
          <w:color w:val="243B53"/>
          <w:sz w:val="18"/>
        </w:rPr>
        <w:t>├── Domain</w:t>
      </w:r>
      <w:r>
        <w:br/>
      </w:r>
      <w:r>
        <w:rPr>
          <w:rFonts w:ascii="Consolas" w:hAnsi="Consolas"/>
          <w:color w:val="243B53"/>
          <w:sz w:val="18"/>
        </w:rPr>
        <w:t>│   ├── Aggregates, Entities, ValueObjects</w:t>
      </w:r>
      <w:r>
        <w:br/>
      </w:r>
      <w:r>
        <w:rPr>
          <w:rFonts w:ascii="Consolas" w:hAnsi="Consolas"/>
          <w:color w:val="243B53"/>
          <w:sz w:val="18"/>
        </w:rPr>
        <w:t>│   ├── DomainServices, DomainEvents</w:t>
      </w:r>
      <w:r>
        <w:br/>
      </w:r>
      <w:r>
        <w:rPr>
          <w:rFonts w:ascii="Consolas" w:hAnsi="Consolas"/>
          <w:color w:val="243B53"/>
          <w:sz w:val="18"/>
        </w:rPr>
        <w:t>│   └── RepositoryContracts</w:t>
      </w:r>
      <w:r>
        <w:br/>
      </w:r>
      <w:r>
        <w:rPr>
          <w:rFonts w:ascii="Consolas" w:hAnsi="Consolas"/>
          <w:color w:val="243B53"/>
          <w:sz w:val="18"/>
        </w:rPr>
        <w:t>├── Application</w:t>
      </w:r>
      <w:r>
        <w:br/>
      </w:r>
      <w:r>
        <w:rPr>
          <w:rFonts w:ascii="Consolas" w:hAnsi="Consolas"/>
          <w:color w:val="243B53"/>
          <w:sz w:val="18"/>
        </w:rPr>
        <w:t>│   ├── Commands, Queries, Handlers</w:t>
      </w:r>
      <w:r>
        <w:br/>
      </w:r>
      <w:r>
        <w:rPr>
          <w:rFonts w:ascii="Consolas" w:hAnsi="Consolas"/>
          <w:color w:val="243B53"/>
          <w:sz w:val="18"/>
        </w:rPr>
        <w:t>│   └── ApplicationServices, IntegrationPorts</w:t>
      </w:r>
      <w:r>
        <w:br/>
      </w:r>
      <w:r>
        <w:rPr>
          <w:rFonts w:ascii="Consolas" w:hAnsi="Consolas"/>
          <w:color w:val="243B53"/>
          <w:sz w:val="18"/>
        </w:rPr>
        <w:t>├── Infrastructure</w:t>
      </w:r>
      <w:r>
        <w:br/>
      </w:r>
      <w:r>
        <w:rPr>
          <w:rFonts w:ascii="Consolas" w:hAnsi="Consolas"/>
          <w:color w:val="243B53"/>
          <w:sz w:val="18"/>
        </w:rPr>
        <w:t>│   ├── Persistence, Messaging, ExternalAdapters</w:t>
      </w:r>
      <w:r>
        <w:br/>
      </w:r>
      <w:r>
        <w:rPr>
          <w:rFonts w:ascii="Consolas" w:hAnsi="Consolas"/>
          <w:color w:val="243B53"/>
          <w:sz w:val="18"/>
        </w:rPr>
        <w:t>│   └── Configuration</w:t>
      </w:r>
      <w:r>
        <w:br/>
      </w:r>
      <w:r>
        <w:rPr>
          <w:rFonts w:ascii="Consolas" w:hAnsi="Consolas"/>
          <w:color w:val="243B53"/>
          <w:sz w:val="18"/>
        </w:rPr>
        <w:t>└── Contracts</w:t>
      </w:r>
      <w:r>
        <w:br/>
      </w:r>
      <w:r>
        <w:rPr>
          <w:rFonts w:ascii="Consolas" w:hAnsi="Consolas"/>
          <w:color w:val="243B53"/>
          <w:sz w:val="18"/>
        </w:rPr>
        <w:t xml:space="preserve">    ├── IntegrationEvents</w:t>
      </w:r>
      <w:r>
        <w:br/>
      </w:r>
      <w:r>
        <w:rPr>
          <w:rFonts w:ascii="Consolas" w:hAnsi="Consolas"/>
          <w:color w:val="243B53"/>
          <w:sz w:val="18"/>
        </w:rPr>
        <w:t xml:space="preserve">    └── PublicApplicationAPIs</w:t>
      </w:r>
    </w:p>
    <w:p>
      <w:pPr>
        <w:pStyle w:val="ListBullet"/>
        <w:spacing w:after="80"/>
      </w:pPr>
      <w:r>
        <w:rPr>
          <w:rFonts w:ascii="Calibri" w:hAnsi="Calibri"/>
        </w:rPr>
        <w:t>`Domain` ne dépend ni de l’infrastructure, ni de l’UI, ni d’un autre module.</w:t>
      </w:r>
    </w:p>
    <w:p>
      <w:pPr>
        <w:pStyle w:val="ListBullet"/>
        <w:spacing w:after="80"/>
      </w:pPr>
      <w:r>
        <w:rPr>
          <w:rFonts w:ascii="Calibri" w:hAnsi="Calibri"/>
        </w:rPr>
        <w:t>Les appels synchrones passent par une application API publique.</w:t>
      </w:r>
    </w:p>
    <w:p>
      <w:pPr>
        <w:pStyle w:val="ListBullet"/>
        <w:spacing w:after="80"/>
      </w:pPr>
      <w:r>
        <w:rPr>
          <w:rFonts w:ascii="Calibri" w:hAnsi="Calibri"/>
        </w:rPr>
        <w:t>Les effets asynchrones passent par des integration events.</w:t>
      </w:r>
    </w:p>
    <w:p>
      <w:pPr>
        <w:pStyle w:val="ListBullet"/>
        <w:spacing w:after="80"/>
      </w:pPr>
      <w:r>
        <w:rPr>
          <w:rFonts w:ascii="Calibri" w:hAnsi="Calibri"/>
        </w:rPr>
        <w:t>Chaque module possède son schéma logique de base; aucun module n’écrit dans celui d’un autre.</w:t>
      </w:r>
    </w:p>
    <w:p>
      <w:r>
        <w:rPr>
          <w:rFonts w:ascii="Calibri" w:hAnsi="Calibri"/>
          <w:i w:val="0"/>
        </w:rPr>
        <w:t>Le `SharedKernel` est limité aux primitives transverses : IDs, `Money`, `Currency`, `Quantity`, `Clock`, `ActorContext`, `CorrelationId`, `IdempotencyKey`, `DomainError` et `Result`. Tout ajout exige une ADR.</w:t>
      </w:r>
    </w:p>
    <w:p>
      <w:pPr>
        <w:pStyle w:val="Heading2"/>
      </w:pPr>
      <w:r>
        <w:t>26.2 Conventions Domain et Application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aggregates protègent leurs invariants, n’exposent aucun setter public critique, enregistrent leurs domain events et portent une version de concurrence.</w:t>
            </w:r>
          </w:p>
        </w:tc>
      </w:tr>
    </w:tbl>
    <w:p>
      <w:pPr>
        <w:spacing w:after="0"/>
      </w:pPr>
    </w:p>
    <w:p>
      <w:pPr>
        <w:pStyle w:val="ListBullet"/>
        <w:spacing w:after="80"/>
      </w:pPr>
      <w:r>
        <w:rPr>
          <w:rFonts w:ascii="Calibri" w:hAnsi="Calibri"/>
        </w:rPr>
        <w:t>Les value objects sont immuables et valident leur cohérence à la construction.</w:t>
      </w:r>
    </w:p>
    <w:p>
      <w:pPr>
        <w:pStyle w:val="ListBullet"/>
        <w:spacing w:after="80"/>
      </w:pPr>
      <w:r>
        <w:rPr>
          <w:rFonts w:ascii="Calibri" w:hAnsi="Calibri"/>
        </w:rPr>
        <w:t>Les commandes expriment une intention métier et utilisent un verbe impératif.</w:t>
      </w:r>
    </w:p>
    <w:p>
      <w:pPr>
        <w:pStyle w:val="ListBullet"/>
        <w:spacing w:after="80"/>
      </w:pPr>
      <w:r>
        <w:rPr>
          <w:rFonts w:ascii="Calibri" w:hAnsi="Calibri"/>
        </w:rPr>
        <w:t>Les handlers vérifient contexte et permission, chargent les aggregates, appellent leurs méthodes, persistent, enregistrent l’outbox puis commit.</w:t>
      </w:r>
    </w:p>
    <w:p>
      <w:pPr>
        <w:pStyle w:val="ListBullet"/>
        <w:spacing w:after="80"/>
      </w:pPr>
      <w:r>
        <w:rPr>
          <w:rFonts w:ascii="Calibri" w:hAnsi="Calibri"/>
        </w:rPr>
        <w:t>Les queries sont sans effet, paginées, filtrées par tenant et permissions.</w:t>
      </w:r>
    </w:p>
    <w:p>
      <w:pPr>
        <w:pStyle w:val="ListBullet"/>
        <w:spacing w:after="80"/>
      </w:pPr>
      <w:r>
        <w:rPr>
          <w:rFonts w:ascii="Calibri" w:hAnsi="Calibri"/>
        </w:rPr>
        <w:t>Un repository travaille sur un seul type d’aggregate root.</w:t>
      </w:r>
    </w:p>
    <w:p>
      <w:pPr>
        <w:pStyle w:val="ListBullet"/>
        <w:spacing w:after="80"/>
      </w:pPr>
      <w:r>
        <w:rPr>
          <w:rFonts w:ascii="Calibri" w:hAnsi="Calibri"/>
        </w:rPr>
        <w:t>Les erreurs attendues utilisent un code stable dans `Result&lt;T&gt;`; les exceptions restent exceptionnelles.</w:t>
      </w:r>
    </w:p>
    <w:p>
      <w:pPr>
        <w:pStyle w:val="CodeBlock"/>
        <w:keepLines/>
        <w:shd w:fill="F7F9FC"/>
      </w:pPr>
      <w:r>
        <w:rPr>
          <w:rFonts w:ascii="Consolas" w:hAnsi="Consolas"/>
          <w:color w:val="243B53"/>
          <w:sz w:val="18"/>
        </w:rPr>
        <w:t>Validation layers</w:t>
      </w:r>
      <w:r>
        <w:br/>
      </w:r>
      <w:r>
        <w:rPr>
          <w:rFonts w:ascii="Consolas" w:hAnsi="Consolas"/>
          <w:color w:val="243B53"/>
          <w:sz w:val="18"/>
        </w:rPr>
        <w:t>API         → format, required fields, size</w:t>
      </w:r>
      <w:r>
        <w:br/>
      </w:r>
      <w:r>
        <w:rPr>
          <w:rFonts w:ascii="Consolas" w:hAnsi="Consolas"/>
          <w:color w:val="243B53"/>
          <w:sz w:val="18"/>
        </w:rPr>
        <w:t>Application → context, permission, existence, workflow</w:t>
      </w:r>
      <w:r>
        <w:br/>
      </w:r>
      <w:r>
        <w:rPr>
          <w:rFonts w:ascii="Consolas" w:hAnsi="Consolas"/>
          <w:color w:val="243B53"/>
          <w:sz w:val="18"/>
        </w:rPr>
        <w:t>Domain      → business invariants</w:t>
      </w:r>
    </w:p>
    <w:p>
      <w:r>
        <w:rPr>
          <w:rFonts w:ascii="Calibri" w:hAnsi="Calibri"/>
          <w:i w:val="0"/>
        </w:rPr>
        <w:t>Le domaine utilise `Clock` et `IdGenerator`; aucun aggregate n’appelle directement l’horloge système. `ExpectedVersion`, optimistic locking et updates conditionnels protègent la concurrence.</w:t>
      </w:r>
    </w:p>
    <w:p>
      <w:pPr>
        <w:pStyle w:val="Heading2"/>
      </w:pPr>
      <w:r>
        <w:t>26.3 Contrats et transactions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contrats publics sont versionnés et évoluent de façon additive. Une rupture crée une nouvelle version, une coexistence et des contract tests.</w:t>
            </w:r>
          </w:p>
        </w:tc>
      </w:tr>
    </w:tbl>
    <w:p>
      <w:pPr>
        <w:spacing w:after="0"/>
      </w:pPr>
    </w:p>
    <w:p>
      <w:pPr>
        <w:pStyle w:val="CodeBlock"/>
        <w:keepLines/>
        <w:shd w:fill="F7F9FC"/>
      </w:pPr>
      <w:r>
        <w:rPr>
          <w:rFonts w:ascii="Consolas" w:hAnsi="Consolas"/>
          <w:color w:val="243B53"/>
          <w:sz w:val="18"/>
        </w:rPr>
        <w:t>Transaction models</w:t>
      </w:r>
      <w:r>
        <w:br/>
      </w:r>
      <w:r>
        <w:rPr>
          <w:rFonts w:ascii="Consolas" w:hAnsi="Consolas"/>
          <w:color w:val="243B53"/>
          <w:sz w:val="18"/>
        </w:rPr>
        <w:t>1. Aggregate transaction</w:t>
      </w:r>
      <w:r>
        <w:br/>
      </w:r>
      <w:r>
        <w:rPr>
          <w:rFonts w:ascii="Consolas" w:hAnsi="Consolas"/>
          <w:color w:val="243B53"/>
          <w:sz w:val="18"/>
        </w:rPr>
        <w:t>2. Coordinated local transaction</w:t>
      </w:r>
      <w:r>
        <w:br/>
      </w:r>
      <w:r>
        <w:rPr>
          <w:rFonts w:ascii="Consolas" w:hAnsi="Consolas"/>
          <w:color w:val="243B53"/>
          <w:sz w:val="18"/>
        </w:rPr>
        <w:t>3. Saga / eventual consistency</w:t>
      </w:r>
    </w:p>
    <w:p>
      <w:r>
        <w:rPr>
          <w:rFonts w:ascii="Calibri" w:hAnsi="Calibri"/>
          <w:i w:val="0"/>
        </w:rPr>
        <w:t>`CompleteSale` cash utilise une coordinated local transaction; paiement provider une saga persistante; Reporting l’eventual consistency; offline des commandes idempotentes. Aucune transaction distribuée.</w:t>
      </w:r>
    </w:p>
    <w:p>
      <w:pPr>
        <w:pStyle w:val="Heading2"/>
      </w:pPr>
      <w:r>
        <w:t>26.4 Stratégie de tests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Chaque invariant possède des tests positifs et négatifs. Les transitions, transactions, concurrence, idempotence, contrats, outbox, providers, Reporting, offline, sécurité et migrations possèdent des suites dédiées.</w:t>
            </w:r>
          </w:p>
        </w:tc>
      </w:tr>
    </w:tbl>
    <w:p>
      <w:pPr>
        <w:spacing w:after="0"/>
      </w:pPr>
    </w:p>
    <w:p>
      <w:pPr>
        <w:pStyle w:val="ListBullet"/>
        <w:spacing w:after="80"/>
      </w:pPr>
      <w:r>
        <w:rPr>
          <w:rFonts w:ascii="Calibri" w:hAnsi="Calibri"/>
        </w:rPr>
        <w:t>Les tests du domaine n’utilisent ni base, ni réseau, ni horloge réelle.</w:t>
      </w:r>
    </w:p>
    <w:p>
      <w:pPr>
        <w:pStyle w:val="ListBullet"/>
        <w:spacing w:after="80"/>
      </w:pPr>
      <w:r>
        <w:rPr>
          <w:rFonts w:ascii="Calibri" w:hAnsi="Calibri"/>
        </w:rPr>
        <w:t>Les transactions critiques subissent des injections d’échec à chaque étape.</w:t>
      </w:r>
    </w:p>
    <w:p>
      <w:pPr>
        <w:pStyle w:val="ListBullet"/>
        <w:spacing w:after="80"/>
      </w:pPr>
      <w:r>
        <w:rPr>
          <w:rFonts w:ascii="Calibri" w:hAnsi="Calibri"/>
        </w:rPr>
        <w:t>Les tests de persistence utilisent la technologie réelle de production.</w:t>
      </w:r>
    </w:p>
    <w:p>
      <w:pPr>
        <w:pStyle w:val="ListBullet"/>
        <w:spacing w:after="80"/>
      </w:pPr>
      <w:r>
        <w:rPr>
          <w:rFonts w:ascii="Calibri" w:hAnsi="Calibri"/>
        </w:rPr>
        <w:t>Les tests de concurrence ouvrent de vraies transactions parallèles.</w:t>
      </w:r>
    </w:p>
    <w:p>
      <w:pPr>
        <w:pStyle w:val="ListBullet"/>
        <w:spacing w:after="80"/>
      </w:pPr>
      <w:r>
        <w:rPr>
          <w:rFonts w:ascii="Calibri" w:hAnsi="Calibri"/>
        </w:rPr>
        <w:t>Le résultat d’un rebuild Reporting doit égaler le traitement normal.</w:t>
      </w:r>
    </w:p>
    <w:p>
      <w:pPr>
        <w:pStyle w:val="ListBullet"/>
        <w:spacing w:after="80"/>
      </w:pPr>
      <w:r>
        <w:rPr>
          <w:rFonts w:ascii="Calibri" w:hAnsi="Calibri"/>
        </w:rPr>
        <w:t>La CI exécute des architecture fitness tests sur les dépendances et frontières.</w:t>
      </w:r>
    </w:p>
    <w:p>
      <w:r>
        <w:rPr>
          <w:rFonts w:ascii="Calibri" w:hAnsi="Calibri"/>
          <w:i w:val="0"/>
        </w:rPr>
        <w:t>Une fonctionnalité est terminée seulement si invariants, permissions, idempotence, transaction, contracts, observabilité, migrations et documentation sont couverts.</w:t>
      </w:r>
    </w:p>
    <w:p>
      <w:pPr>
        <w:pStyle w:val="Heading2"/>
      </w:pPr>
      <w:r>
        <w:t>26.5 Exploitation et déploiement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Configuration et secrets sont externalisés et validés au démarrage. Logs structurés, métriques, traces et health checks distinguent disponibilité du processus, readiness et dépendances dégradables.</w:t>
            </w:r>
          </w:p>
        </w:tc>
      </w:tr>
    </w:tbl>
    <w:p>
      <w:pPr>
        <w:spacing w:after="0"/>
      </w:pPr>
    </w:p>
    <w:p>
      <w:pPr>
        <w:pStyle w:val="ListBullet"/>
        <w:spacing w:after="80"/>
      </w:pPr>
      <w:r>
        <w:rPr>
          <w:rFonts w:ascii="Calibri" w:hAnsi="Calibri"/>
        </w:rPr>
        <w:t>Les secrets et données sensibles ne figurent jamais dans logs, events, exports ou images.</w:t>
      </w:r>
    </w:p>
    <w:p>
      <w:pPr>
        <w:pStyle w:val="ListBullet"/>
        <w:spacing w:after="80"/>
      </w:pPr>
      <w:r>
        <w:rPr>
          <w:rFonts w:ascii="Calibri" w:hAnsi="Calibri"/>
        </w:rPr>
        <w:t>`correlationId` et `causationId` suivent les parcours synchrones et asynchrones.</w:t>
      </w:r>
    </w:p>
    <w:p>
      <w:pPr>
        <w:pStyle w:val="ListBullet"/>
        <w:spacing w:after="80"/>
      </w:pPr>
      <w:r>
        <w:rPr>
          <w:rFonts w:ascii="Calibri" w:hAnsi="Calibri"/>
        </w:rPr>
        <w:t>Les migrations suivent expand-and-contract.</w:t>
      </w:r>
    </w:p>
    <w:p>
      <w:pPr>
        <w:pStyle w:val="ListBullet"/>
        <w:spacing w:after="80"/>
      </w:pPr>
      <w:r>
        <w:rPr>
          <w:rFonts w:ascii="Calibri" w:hAnsi="Calibri"/>
        </w:rPr>
        <w:t>Le déploiement supporte rolling update, coexistence temporaire et arrêt gracieux.</w:t>
      </w:r>
    </w:p>
    <w:p>
      <w:pPr>
        <w:pStyle w:val="ListBullet"/>
        <w:spacing w:after="80"/>
      </w:pPr>
      <w:r>
        <w:rPr>
          <w:rFonts w:ascii="Calibri" w:hAnsi="Calibri"/>
        </w:rPr>
        <w:t>Outbox workers et jobs utilisent lots bornés, leases, retries, idempotence et dead letters.</w:t>
      </w:r>
    </w:p>
    <w:p>
      <w:pPr>
        <w:pStyle w:val="ListBullet"/>
        <w:spacing w:after="80"/>
      </w:pPr>
      <w:r>
        <w:rPr>
          <w:rFonts w:ascii="Calibri" w:hAnsi="Calibri"/>
        </w:rPr>
        <w:t>Backups chiffrés ne sont valides qu’après test de restauration.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DECEC"/>
            <w:vAlign w:val="center"/>
          </w:tcPr>
          <w:p>
            <w:pPr>
              <w:jc w:val="center"/>
            </w:pPr>
            <w:r>
              <w:rPr>
                <w:rFonts w:ascii="Calibri" w:hAnsi="Calibri"/>
                <w:b/>
                <w:color w:val="1F4D78"/>
                <w:sz w:val="18"/>
              </w:rPr>
              <w:t>QUESTION OUVERTE</w:t>
            </w:r>
          </w:p>
        </w:tc>
        <w:tc>
          <w:tcPr>
            <w:tcW w:type="dxa" w:w="7460"/>
            <w:tcMar>
              <w:top w:w="80" w:type="dxa"/>
              <w:start w:w="120" w:type="dxa"/>
              <w:bottom w:w="80" w:type="dxa"/>
              <w:end w:w="120" w:type="dxa"/>
            </w:tcMar>
            <w:shd w:fill="FAFAFA"/>
            <w:vAlign w:val="center"/>
          </w:tcPr>
          <w:p>
            <w:r>
              <w:rPr>
                <w:rFonts w:ascii="Calibri" w:hAnsi="Calibri"/>
                <w:sz w:val="20"/>
              </w:rPr>
              <w:t>Les objectifs `RPO` et `RTO` doivent être validés avec le métier avant le pilote.</w:t>
            </w:r>
          </w:p>
        </w:tc>
      </w:tr>
    </w:tbl>
    <w:p>
      <w:pPr>
        <w:spacing w:after="0"/>
      </w:pPr>
    </w:p>
    <w:p>
      <w:pPr>
        <w:pStyle w:val="Heading2"/>
      </w:pPr>
      <w:r>
        <w:t>26.6 Roadmap par phases</w:t>
      </w:r>
    </w:p>
    <w:tbl>
      <w:tblPr>
        <w:tblStyle w:val="TableGrid"/>
        <w:tblW w:type="dxa" w:w="9360"/>
        <w:tblLayout w:type="fixed"/>
        <w:tblLook w:firstColumn="1" w:firstRow="1" w:lastColumn="0" w:lastRow="0" w:noHBand="0" w:noVBand="1" w:val="04A0"/>
        <w:jc w:val="left"/>
        <w:tblInd w:w="120" w:type="dxa"/>
      </w:tblPr>
      <w:tblGrid>
        <w:gridCol w:w="1300"/>
        <w:gridCol w:w="2900"/>
        <w:gridCol w:w="5160"/>
      </w:tblGrid>
      <w:tr>
        <w:trPr>
          <w:tblHeader w:val="true"/>
        </w:trPr>
        <w:tc>
          <w:tcPr>
            <w:tcW w:type="dxa" w:w="1300"/>
            <w:tcMar>
              <w:top w:w="80" w:type="dxa"/>
              <w:start w:w="120" w:type="dxa"/>
              <w:bottom w:w="80" w:type="dxa"/>
              <w:end w:w="120" w:type="dxa"/>
            </w:tcMar>
            <w:shd w:fill="F2F4F7"/>
          </w:tcPr>
          <w:p>
            <w:r>
              <w:rPr>
                <w:rFonts w:ascii="Calibri" w:hAnsi="Calibri"/>
                <w:b/>
                <w:color w:val="1F4D78"/>
                <w:sz w:val="19"/>
              </w:rPr>
              <w:t>Priorité</w:t>
            </w:r>
          </w:p>
        </w:tc>
        <w:tc>
          <w:tcPr>
            <w:tcW w:type="dxa" w:w="2900"/>
            <w:tcMar>
              <w:top w:w="80" w:type="dxa"/>
              <w:start w:w="120" w:type="dxa"/>
              <w:bottom w:w="80" w:type="dxa"/>
              <w:end w:w="120" w:type="dxa"/>
            </w:tcMar>
            <w:shd w:fill="F2F4F7"/>
          </w:tcPr>
          <w:p>
            <w:r>
              <w:rPr>
                <w:rFonts w:ascii="Calibri" w:hAnsi="Calibri"/>
                <w:b/>
                <w:color w:val="1F4D78"/>
                <w:sz w:val="19"/>
              </w:rPr>
              <w:t>Phases</w:t>
            </w:r>
          </w:p>
        </w:tc>
        <w:tc>
          <w:tcPr>
            <w:tcW w:type="dxa" w:w="5160"/>
            <w:tcMar>
              <w:top w:w="80" w:type="dxa"/>
              <w:start w:w="120" w:type="dxa"/>
              <w:bottom w:w="80" w:type="dxa"/>
              <w:end w:w="120" w:type="dxa"/>
            </w:tcMar>
            <w:shd w:fill="F2F4F7"/>
          </w:tcPr>
          <w:p>
            <w:r>
              <w:rPr>
                <w:rFonts w:ascii="Calibri" w:hAnsi="Calibri"/>
                <w:b/>
                <w:color w:val="1F4D78"/>
                <w:sz w:val="19"/>
              </w:rPr>
              <w:t>Résultat</w:t>
            </w:r>
          </w:p>
        </w:tc>
      </w:tr>
      <w:tr>
        <w:tc>
          <w:tcPr>
            <w:tcW w:type="dxa" w:w="1300"/>
            <w:tcMar>
              <w:top w:w="80" w:type="dxa"/>
              <w:start w:w="120" w:type="dxa"/>
              <w:bottom w:w="80" w:type="dxa"/>
              <w:end w:w="120" w:type="dxa"/>
            </w:tcMar>
          </w:tcPr>
          <w:p>
            <w:r>
              <w:rPr>
                <w:rFonts w:ascii="Calibri" w:hAnsi="Calibri"/>
                <w:sz w:val="18"/>
              </w:rPr>
              <w:t>P0</w:t>
            </w:r>
          </w:p>
        </w:tc>
        <w:tc>
          <w:tcPr>
            <w:tcW w:type="dxa" w:w="2900"/>
            <w:tcMar>
              <w:top w:w="80" w:type="dxa"/>
              <w:start w:w="120" w:type="dxa"/>
              <w:bottom w:w="80" w:type="dxa"/>
              <w:end w:w="120" w:type="dxa"/>
            </w:tcMar>
          </w:tcPr>
          <w:p>
            <w:r>
              <w:rPr>
                <w:rFonts w:ascii="Calibri" w:hAnsi="Calibri"/>
                <w:sz w:val="18"/>
              </w:rPr>
              <w:t>0 à 5</w:t>
            </w:r>
          </w:p>
        </w:tc>
        <w:tc>
          <w:tcPr>
            <w:tcW w:type="dxa" w:w="5160"/>
            <w:tcMar>
              <w:top w:w="80" w:type="dxa"/>
              <w:start w:w="120" w:type="dxa"/>
              <w:bottom w:w="80" w:type="dxa"/>
              <w:end w:w="120" w:type="dxa"/>
            </w:tcMar>
          </w:tcPr>
          <w:p>
            <w:r>
              <w:rPr>
                <w:rFonts w:ascii="Calibri" w:hAnsi="Calibri"/>
                <w:sz w:val="18"/>
              </w:rPr>
              <w:t>Fondations, tenant, Catalog, Pricing, Inventory et première vente cash.</w:t>
            </w:r>
          </w:p>
        </w:tc>
      </w:tr>
      <w:tr>
        <w:tc>
          <w:tcPr>
            <w:tcW w:type="dxa" w:w="1300"/>
            <w:tcMar>
              <w:top w:w="80" w:type="dxa"/>
              <w:start w:w="120" w:type="dxa"/>
              <w:bottom w:w="80" w:type="dxa"/>
              <w:end w:w="120" w:type="dxa"/>
            </w:tcMar>
          </w:tcPr>
          <w:p>
            <w:r>
              <w:rPr>
                <w:rFonts w:ascii="Calibri" w:hAnsi="Calibri"/>
                <w:sz w:val="18"/>
              </w:rPr>
              <w:t>P1</w:t>
            </w:r>
          </w:p>
        </w:tc>
        <w:tc>
          <w:tcPr>
            <w:tcW w:type="dxa" w:w="2900"/>
            <w:tcMar>
              <w:top w:w="80" w:type="dxa"/>
              <w:start w:w="120" w:type="dxa"/>
              <w:bottom w:w="80" w:type="dxa"/>
              <w:end w:w="120" w:type="dxa"/>
            </w:tcMar>
          </w:tcPr>
          <w:p>
            <w:r>
              <w:rPr>
                <w:rFonts w:ascii="Calibri" w:hAnsi="Calibri"/>
                <w:sz w:val="18"/>
              </w:rPr>
              <w:t>6 à 9</w:t>
            </w:r>
          </w:p>
        </w:tc>
        <w:tc>
          <w:tcPr>
            <w:tcW w:type="dxa" w:w="5160"/>
            <w:tcMar>
              <w:top w:w="80" w:type="dxa"/>
              <w:start w:w="120" w:type="dxa"/>
              <w:bottom w:w="80" w:type="dxa"/>
              <w:end w:w="120" w:type="dxa"/>
            </w:tcMar>
          </w:tcPr>
          <w:p>
            <w:r>
              <w:rPr>
                <w:rFonts w:ascii="Calibri" w:hAnsi="Calibri"/>
                <w:sz w:val="18"/>
              </w:rPr>
              <w:t>Costing, retours, Purchasing, transferts et comptages.</w:t>
            </w:r>
          </w:p>
        </w:tc>
      </w:tr>
      <w:tr>
        <w:tc>
          <w:tcPr>
            <w:tcW w:type="dxa" w:w="1300"/>
            <w:tcMar>
              <w:top w:w="80" w:type="dxa"/>
              <w:start w:w="120" w:type="dxa"/>
              <w:bottom w:w="80" w:type="dxa"/>
              <w:end w:w="120" w:type="dxa"/>
            </w:tcMar>
          </w:tcPr>
          <w:p>
            <w:r>
              <w:rPr>
                <w:rFonts w:ascii="Calibri" w:hAnsi="Calibri"/>
                <w:sz w:val="18"/>
              </w:rPr>
              <w:t>P2</w:t>
            </w:r>
          </w:p>
        </w:tc>
        <w:tc>
          <w:tcPr>
            <w:tcW w:type="dxa" w:w="2900"/>
            <w:tcMar>
              <w:top w:w="80" w:type="dxa"/>
              <w:start w:w="120" w:type="dxa"/>
              <w:bottom w:w="80" w:type="dxa"/>
              <w:end w:w="120" w:type="dxa"/>
            </w:tcMar>
          </w:tcPr>
          <w:p>
            <w:r>
              <w:rPr>
                <w:rFonts w:ascii="Calibri" w:hAnsi="Calibri"/>
                <w:sz w:val="18"/>
              </w:rPr>
              <w:t>10 à 12</w:t>
            </w:r>
          </w:p>
        </w:tc>
        <w:tc>
          <w:tcPr>
            <w:tcW w:type="dxa" w:w="5160"/>
            <w:tcMar>
              <w:top w:w="80" w:type="dxa"/>
              <w:start w:w="120" w:type="dxa"/>
              <w:bottom w:w="80" w:type="dxa"/>
              <w:end w:w="120" w:type="dxa"/>
            </w:tcMar>
          </w:tcPr>
          <w:p>
            <w:r>
              <w:rPr>
                <w:rFonts w:ascii="Calibri" w:hAnsi="Calibri"/>
                <w:sz w:val="18"/>
              </w:rPr>
              <w:t>Customers, crédit, paiements externes et réservations.</w:t>
            </w:r>
          </w:p>
        </w:tc>
      </w:tr>
      <w:tr>
        <w:tc>
          <w:tcPr>
            <w:tcW w:type="dxa" w:w="1300"/>
            <w:tcMar>
              <w:top w:w="80" w:type="dxa"/>
              <w:start w:w="120" w:type="dxa"/>
              <w:bottom w:w="80" w:type="dxa"/>
              <w:end w:w="120" w:type="dxa"/>
            </w:tcMar>
          </w:tcPr>
          <w:p>
            <w:r>
              <w:rPr>
                <w:rFonts w:ascii="Calibri" w:hAnsi="Calibri"/>
                <w:sz w:val="18"/>
              </w:rPr>
              <w:t>P3</w:t>
            </w:r>
          </w:p>
        </w:tc>
        <w:tc>
          <w:tcPr>
            <w:tcW w:type="dxa" w:w="2900"/>
            <w:tcMar>
              <w:top w:w="80" w:type="dxa"/>
              <w:start w:w="120" w:type="dxa"/>
              <w:bottom w:w="80" w:type="dxa"/>
              <w:end w:w="120" w:type="dxa"/>
            </w:tcMar>
          </w:tcPr>
          <w:p>
            <w:r>
              <w:rPr>
                <w:rFonts w:ascii="Calibri" w:hAnsi="Calibri"/>
                <w:sz w:val="18"/>
              </w:rPr>
              <w:t>13 à 15</w:t>
            </w:r>
          </w:p>
        </w:tc>
        <w:tc>
          <w:tcPr>
            <w:tcW w:type="dxa" w:w="5160"/>
            <w:tcMar>
              <w:top w:w="80" w:type="dxa"/>
              <w:start w:w="120" w:type="dxa"/>
              <w:bottom w:w="80" w:type="dxa"/>
              <w:end w:w="120" w:type="dxa"/>
            </w:tcMar>
          </w:tcPr>
          <w:p>
            <w:r>
              <w:rPr>
                <w:rFonts w:ascii="Calibri" w:hAnsi="Calibri"/>
                <w:sz w:val="18"/>
              </w:rPr>
              <w:t>Reporting, offline pilote et industrialisation.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 roadmap privilégie les tranches verticales. Chaque phase livre domaine, persistence, sécurité, observabilité et tests, avec une démonstration métier intégrée.</w:t>
            </w:r>
          </w:p>
        </w:tc>
      </w:tr>
    </w:tbl>
    <w:p>
      <w:pPr>
        <w:spacing w:after="0"/>
      </w:pPr>
    </w:p>
    <w:p>
      <w:pPr>
        <w:pStyle w:val="CodeBlock"/>
        <w:keepLines/>
        <w:shd w:fill="F7F9FC"/>
      </w:pPr>
      <w:r>
        <w:rPr>
          <w:rFonts w:ascii="Consolas" w:hAnsi="Consolas"/>
          <w:color w:val="243B53"/>
          <w:sz w:val="18"/>
        </w:rPr>
        <w:t>Architecture</w:t>
      </w:r>
      <w:r>
        <w:br/>
      </w:r>
      <w:r>
        <w:rPr>
          <w:rFonts w:ascii="Consolas" w:hAnsi="Consolas"/>
          <w:color w:val="243B53"/>
          <w:sz w:val="18"/>
        </w:rPr>
        <w:t>→ Identity / Organization</w:t>
      </w:r>
      <w:r>
        <w:br/>
      </w:r>
      <w:r>
        <w:rPr>
          <w:rFonts w:ascii="Consolas" w:hAnsi="Consolas"/>
          <w:color w:val="243B53"/>
          <w:sz w:val="18"/>
        </w:rPr>
        <w:t>→ Catalog / Pricing</w:t>
      </w:r>
      <w:r>
        <w:br/>
      </w:r>
      <w:r>
        <w:rPr>
          <w:rFonts w:ascii="Consolas" w:hAnsi="Consolas"/>
          <w:color w:val="243B53"/>
          <w:sz w:val="18"/>
        </w:rPr>
        <w:t>→ Inventory / Cash</w:t>
      </w:r>
      <w:r>
        <w:br/>
      </w:r>
      <w:r>
        <w:rPr>
          <w:rFonts w:ascii="Consolas" w:hAnsi="Consolas"/>
          <w:color w:val="243B53"/>
          <w:sz w:val="18"/>
        </w:rPr>
        <w:t>→ CompleteSale</w:t>
      </w:r>
      <w:r>
        <w:br/>
      </w:r>
      <w:r>
        <w:rPr>
          <w:rFonts w:ascii="Consolas" w:hAnsi="Consolas"/>
          <w:color w:val="243B53"/>
          <w:sz w:val="18"/>
        </w:rPr>
        <w:t>→ Costing / Returns / Purchasing</w:t>
      </w:r>
      <w:r>
        <w:br/>
      </w:r>
      <w:r>
        <w:rPr>
          <w:rFonts w:ascii="Consolas" w:hAnsi="Consolas"/>
          <w:color w:val="243B53"/>
          <w:sz w:val="18"/>
        </w:rPr>
        <w:t>→ Customers / Payments / Reservations</w:t>
      </w:r>
      <w:r>
        <w:br/>
      </w:r>
      <w:r>
        <w:rPr>
          <w:rFonts w:ascii="Consolas" w:hAnsi="Consolas"/>
          <w:color w:val="243B53"/>
          <w:sz w:val="18"/>
        </w:rPr>
        <w:t>→ Reporting</w:t>
      </w:r>
      <w:r>
        <w:br/>
      </w:r>
      <w:r>
        <w:rPr>
          <w:rFonts w:ascii="Consolas" w:hAnsi="Consolas"/>
          <w:color w:val="243B53"/>
          <w:sz w:val="18"/>
        </w:rPr>
        <w:t>→ Offline</w:t>
      </w:r>
      <w:r>
        <w:br/>
      </w:r>
      <w:r>
        <w:rPr>
          <w:rFonts w:ascii="Consolas" w:hAnsi="Consolas"/>
          <w:color w:val="243B53"/>
          <w:sz w:val="18"/>
        </w:rPr>
        <w:t>→ Industrialization</w:t>
      </w:r>
    </w:p>
    <w:p>
      <w:pPr>
        <w:pStyle w:val="Heading2"/>
      </w:pPr>
      <w:r>
        <w:t>26.7 Lots et jalons produit</w:t>
      </w:r>
    </w:p>
    <w:tbl>
      <w:tblPr>
        <w:tblStyle w:val="TableGrid"/>
        <w:tblW w:type="dxa" w:w="9360"/>
        <w:tblLayout w:type="fixed"/>
        <w:tblLook w:firstColumn="1" w:firstRow="1" w:lastColumn="0" w:lastRow="0" w:noHBand="0" w:noVBand="1" w:val="04A0"/>
        <w:jc w:val="left"/>
        <w:tblInd w:w="120" w:type="dxa"/>
      </w:tblPr>
      <w:tblGrid>
        <w:gridCol w:w="1300"/>
        <w:gridCol w:w="1800"/>
        <w:gridCol w:w="6260"/>
      </w:tblGrid>
      <w:tr>
        <w:trPr>
          <w:tblHeader w:val="true"/>
        </w:trPr>
        <w:tc>
          <w:tcPr>
            <w:tcW w:type="dxa" w:w="1300"/>
            <w:tcMar>
              <w:top w:w="80" w:type="dxa"/>
              <w:start w:w="120" w:type="dxa"/>
              <w:bottom w:w="80" w:type="dxa"/>
              <w:end w:w="120" w:type="dxa"/>
            </w:tcMar>
            <w:shd w:fill="F2F4F7"/>
          </w:tcPr>
          <w:p>
            <w:r>
              <w:rPr>
                <w:rFonts w:ascii="Calibri" w:hAnsi="Calibri"/>
                <w:b/>
                <w:color w:val="1F4D78"/>
                <w:sz w:val="19"/>
              </w:rPr>
              <w:t>Jalon</w:t>
            </w:r>
          </w:p>
        </w:tc>
        <w:tc>
          <w:tcPr>
            <w:tcW w:type="dxa" w:w="1800"/>
            <w:tcMar>
              <w:top w:w="80" w:type="dxa"/>
              <w:start w:w="120" w:type="dxa"/>
              <w:bottom w:w="80" w:type="dxa"/>
              <w:end w:w="120" w:type="dxa"/>
            </w:tcMar>
            <w:shd w:fill="F2F4F7"/>
          </w:tcPr>
          <w:p>
            <w:r>
              <w:rPr>
                <w:rFonts w:ascii="Calibri" w:hAnsi="Calibri"/>
                <w:b/>
                <w:color w:val="1F4D78"/>
                <w:sz w:val="19"/>
              </w:rPr>
              <w:t>Lots couverts</w:t>
            </w:r>
          </w:p>
        </w:tc>
        <w:tc>
          <w:tcPr>
            <w:tcW w:type="dxa" w:w="6260"/>
            <w:tcMar>
              <w:top w:w="80" w:type="dxa"/>
              <w:start w:w="120" w:type="dxa"/>
              <w:bottom w:w="80" w:type="dxa"/>
              <w:end w:w="120" w:type="dxa"/>
            </w:tcMar>
            <w:shd w:fill="F2F4F7"/>
          </w:tcPr>
          <w:p>
            <w:r>
              <w:rPr>
                <w:rFonts w:ascii="Calibri" w:hAnsi="Calibri"/>
                <w:b/>
                <w:color w:val="1F4D78"/>
                <w:sz w:val="19"/>
              </w:rPr>
              <w:t>Capacité livrée</w:t>
            </w:r>
          </w:p>
        </w:tc>
      </w:tr>
      <w:tr>
        <w:tc>
          <w:tcPr>
            <w:tcW w:type="dxa" w:w="1300"/>
            <w:tcMar>
              <w:top w:w="80" w:type="dxa"/>
              <w:start w:w="120" w:type="dxa"/>
              <w:bottom w:w="80" w:type="dxa"/>
              <w:end w:w="120" w:type="dxa"/>
            </w:tcMar>
          </w:tcPr>
          <w:p>
            <w:r>
              <w:rPr>
                <w:rFonts w:ascii="Calibri" w:hAnsi="Calibri"/>
                <w:sz w:val="18"/>
              </w:rPr>
              <w:t>M0</w:t>
            </w:r>
          </w:p>
        </w:tc>
        <w:tc>
          <w:tcPr>
            <w:tcW w:type="dxa" w:w="1800"/>
            <w:tcMar>
              <w:top w:w="80" w:type="dxa"/>
              <w:start w:w="120" w:type="dxa"/>
              <w:bottom w:w="80" w:type="dxa"/>
              <w:end w:w="120" w:type="dxa"/>
            </w:tcMar>
          </w:tcPr>
          <w:p>
            <w:r>
              <w:rPr>
                <w:rFonts w:ascii="Calibri" w:hAnsi="Calibri"/>
                <w:sz w:val="18"/>
              </w:rPr>
              <w:t>Lot 0</w:t>
            </w:r>
          </w:p>
        </w:tc>
        <w:tc>
          <w:tcPr>
            <w:tcW w:type="dxa" w:w="6260"/>
            <w:tcMar>
              <w:top w:w="80" w:type="dxa"/>
              <w:start w:w="120" w:type="dxa"/>
              <w:bottom w:w="80" w:type="dxa"/>
              <w:end w:w="120" w:type="dxa"/>
            </w:tcMar>
          </w:tcPr>
          <w:p>
            <w:r>
              <w:rPr>
                <w:rFonts w:ascii="Calibri" w:hAnsi="Calibri"/>
                <w:sz w:val="18"/>
              </w:rPr>
              <w:t>Architecture exécutable.</w:t>
            </w:r>
          </w:p>
        </w:tc>
      </w:tr>
      <w:tr>
        <w:tc>
          <w:tcPr>
            <w:tcW w:type="dxa" w:w="1300"/>
            <w:tcMar>
              <w:top w:w="80" w:type="dxa"/>
              <w:start w:w="120" w:type="dxa"/>
              <w:bottom w:w="80" w:type="dxa"/>
              <w:end w:w="120" w:type="dxa"/>
            </w:tcMar>
          </w:tcPr>
          <w:p>
            <w:r>
              <w:rPr>
                <w:rFonts w:ascii="Calibri" w:hAnsi="Calibri"/>
                <w:sz w:val="18"/>
              </w:rPr>
              <w:t>M1</w:t>
            </w:r>
          </w:p>
        </w:tc>
        <w:tc>
          <w:tcPr>
            <w:tcW w:type="dxa" w:w="1800"/>
            <w:tcMar>
              <w:top w:w="80" w:type="dxa"/>
              <w:start w:w="120" w:type="dxa"/>
              <w:bottom w:w="80" w:type="dxa"/>
              <w:end w:w="120" w:type="dxa"/>
            </w:tcMar>
          </w:tcPr>
          <w:p>
            <w:r>
              <w:rPr>
                <w:rFonts w:ascii="Calibri" w:hAnsi="Calibri"/>
                <w:sz w:val="18"/>
              </w:rPr>
              <w:t>Lot 1</w:t>
            </w:r>
          </w:p>
        </w:tc>
        <w:tc>
          <w:tcPr>
            <w:tcW w:type="dxa" w:w="6260"/>
            <w:tcMar>
              <w:top w:w="80" w:type="dxa"/>
              <w:start w:w="120" w:type="dxa"/>
              <w:bottom w:w="80" w:type="dxa"/>
              <w:end w:w="120" w:type="dxa"/>
            </w:tcMar>
          </w:tcPr>
          <w:p>
            <w:r>
              <w:rPr>
                <w:rFonts w:ascii="Calibri" w:hAnsi="Calibri"/>
                <w:sz w:val="18"/>
              </w:rPr>
              <w:t>Administration opérationnelle.</w:t>
            </w:r>
          </w:p>
        </w:tc>
      </w:tr>
      <w:tr>
        <w:tc>
          <w:tcPr>
            <w:tcW w:type="dxa" w:w="1300"/>
            <w:tcMar>
              <w:top w:w="80" w:type="dxa"/>
              <w:start w:w="120" w:type="dxa"/>
              <w:bottom w:w="80" w:type="dxa"/>
              <w:end w:w="120" w:type="dxa"/>
            </w:tcMar>
          </w:tcPr>
          <w:p>
            <w:r>
              <w:rPr>
                <w:rFonts w:ascii="Calibri" w:hAnsi="Calibri"/>
                <w:sz w:val="18"/>
              </w:rPr>
              <w:t>M2</w:t>
            </w:r>
          </w:p>
        </w:tc>
        <w:tc>
          <w:tcPr>
            <w:tcW w:type="dxa" w:w="1800"/>
            <w:tcMar>
              <w:top w:w="80" w:type="dxa"/>
              <w:start w:w="120" w:type="dxa"/>
              <w:bottom w:w="80" w:type="dxa"/>
              <w:end w:w="120" w:type="dxa"/>
            </w:tcMar>
          </w:tcPr>
          <w:p>
            <w:r>
              <w:rPr>
                <w:rFonts w:ascii="Calibri" w:hAnsi="Calibri"/>
                <w:sz w:val="18"/>
              </w:rPr>
              <w:t>Lots 2 à 4</w:t>
            </w:r>
          </w:p>
        </w:tc>
        <w:tc>
          <w:tcPr>
            <w:tcW w:type="dxa" w:w="6260"/>
            <w:tcMar>
              <w:top w:w="80" w:type="dxa"/>
              <w:start w:w="120" w:type="dxa"/>
              <w:bottom w:w="80" w:type="dxa"/>
              <w:end w:w="120" w:type="dxa"/>
            </w:tcMar>
          </w:tcPr>
          <w:p>
            <w:r>
              <w:rPr>
                <w:rFonts w:ascii="Calibri" w:hAnsi="Calibri"/>
                <w:sz w:val="18"/>
              </w:rPr>
              <w:t>Première vente cash.</w:t>
            </w:r>
          </w:p>
        </w:tc>
      </w:tr>
      <w:tr>
        <w:tc>
          <w:tcPr>
            <w:tcW w:type="dxa" w:w="1300"/>
            <w:tcMar>
              <w:top w:w="80" w:type="dxa"/>
              <w:start w:w="120" w:type="dxa"/>
              <w:bottom w:w="80" w:type="dxa"/>
              <w:end w:w="120" w:type="dxa"/>
            </w:tcMar>
          </w:tcPr>
          <w:p>
            <w:r>
              <w:rPr>
                <w:rFonts w:ascii="Calibri" w:hAnsi="Calibri"/>
                <w:sz w:val="18"/>
              </w:rPr>
              <w:t>M3</w:t>
            </w:r>
          </w:p>
        </w:tc>
        <w:tc>
          <w:tcPr>
            <w:tcW w:type="dxa" w:w="1800"/>
            <w:tcMar>
              <w:top w:w="80" w:type="dxa"/>
              <w:start w:w="120" w:type="dxa"/>
              <w:bottom w:w="80" w:type="dxa"/>
              <w:end w:w="120" w:type="dxa"/>
            </w:tcMar>
          </w:tcPr>
          <w:p>
            <w:r>
              <w:rPr>
                <w:rFonts w:ascii="Calibri" w:hAnsi="Calibri"/>
                <w:sz w:val="18"/>
              </w:rPr>
              <w:t>Lots 5 à 7</w:t>
            </w:r>
          </w:p>
        </w:tc>
        <w:tc>
          <w:tcPr>
            <w:tcW w:type="dxa" w:w="6260"/>
            <w:tcMar>
              <w:top w:w="80" w:type="dxa"/>
              <w:start w:w="120" w:type="dxa"/>
              <w:bottom w:w="80" w:type="dxa"/>
              <w:end w:w="120" w:type="dxa"/>
            </w:tcMar>
          </w:tcPr>
          <w:p>
            <w:r>
              <w:rPr>
                <w:rFonts w:ascii="Calibri" w:hAnsi="Calibri"/>
                <w:sz w:val="18"/>
              </w:rPr>
              <w:t>Gestion complète du stock.</w:t>
            </w:r>
          </w:p>
        </w:tc>
      </w:tr>
      <w:tr>
        <w:tc>
          <w:tcPr>
            <w:tcW w:type="dxa" w:w="1300"/>
            <w:tcMar>
              <w:top w:w="80" w:type="dxa"/>
              <w:start w:w="120" w:type="dxa"/>
              <w:bottom w:w="80" w:type="dxa"/>
              <w:end w:w="120" w:type="dxa"/>
            </w:tcMar>
          </w:tcPr>
          <w:p>
            <w:r>
              <w:rPr>
                <w:rFonts w:ascii="Calibri" w:hAnsi="Calibri"/>
                <w:sz w:val="18"/>
              </w:rPr>
              <w:t>M4</w:t>
            </w:r>
          </w:p>
        </w:tc>
        <w:tc>
          <w:tcPr>
            <w:tcW w:type="dxa" w:w="1800"/>
            <w:tcMar>
              <w:top w:w="80" w:type="dxa"/>
              <w:start w:w="120" w:type="dxa"/>
              <w:bottom w:w="80" w:type="dxa"/>
              <w:end w:w="120" w:type="dxa"/>
            </w:tcMar>
          </w:tcPr>
          <w:p>
            <w:r>
              <w:rPr>
                <w:rFonts w:ascii="Calibri" w:hAnsi="Calibri"/>
                <w:sz w:val="18"/>
              </w:rPr>
              <w:t>Lot 8</w:t>
            </w:r>
          </w:p>
        </w:tc>
        <w:tc>
          <w:tcPr>
            <w:tcW w:type="dxa" w:w="6260"/>
            <w:tcMar>
              <w:top w:w="80" w:type="dxa"/>
              <w:start w:w="120" w:type="dxa"/>
              <w:bottom w:w="80" w:type="dxa"/>
              <w:end w:w="120" w:type="dxa"/>
            </w:tcMar>
          </w:tcPr>
          <w:p>
            <w:r>
              <w:rPr>
                <w:rFonts w:ascii="Calibri" w:hAnsi="Calibri"/>
                <w:sz w:val="18"/>
              </w:rPr>
              <w:t>Cycle commercial étendu.</w:t>
            </w:r>
          </w:p>
        </w:tc>
      </w:tr>
      <w:tr>
        <w:tc>
          <w:tcPr>
            <w:tcW w:type="dxa" w:w="1300"/>
            <w:tcMar>
              <w:top w:w="80" w:type="dxa"/>
              <w:start w:w="120" w:type="dxa"/>
              <w:bottom w:w="80" w:type="dxa"/>
              <w:end w:w="120" w:type="dxa"/>
            </w:tcMar>
          </w:tcPr>
          <w:p>
            <w:r>
              <w:rPr>
                <w:rFonts w:ascii="Calibri" w:hAnsi="Calibri"/>
                <w:sz w:val="18"/>
              </w:rPr>
              <w:t>M5</w:t>
            </w:r>
          </w:p>
        </w:tc>
        <w:tc>
          <w:tcPr>
            <w:tcW w:type="dxa" w:w="1800"/>
            <w:tcMar>
              <w:top w:w="80" w:type="dxa"/>
              <w:start w:w="120" w:type="dxa"/>
              <w:bottom w:w="80" w:type="dxa"/>
              <w:end w:w="120" w:type="dxa"/>
            </w:tcMar>
          </w:tcPr>
          <w:p>
            <w:r>
              <w:rPr>
                <w:rFonts w:ascii="Calibri" w:hAnsi="Calibri"/>
                <w:sz w:val="18"/>
              </w:rPr>
              <w:t>Lots 9 à 10</w:t>
            </w:r>
          </w:p>
        </w:tc>
        <w:tc>
          <w:tcPr>
            <w:tcW w:type="dxa" w:w="6260"/>
            <w:tcMar>
              <w:top w:w="80" w:type="dxa"/>
              <w:start w:w="120" w:type="dxa"/>
              <w:bottom w:w="80" w:type="dxa"/>
              <w:end w:w="120" w:type="dxa"/>
            </w:tcMar>
          </w:tcPr>
          <w:p>
            <w:r>
              <w:rPr>
                <w:rFonts w:ascii="Calibri" w:hAnsi="Calibri"/>
                <w:sz w:val="18"/>
              </w:rPr>
              <w:t>Paiements avancés et réservations.</w:t>
            </w:r>
          </w:p>
        </w:tc>
      </w:tr>
      <w:tr>
        <w:tc>
          <w:tcPr>
            <w:tcW w:type="dxa" w:w="1300"/>
            <w:tcMar>
              <w:top w:w="80" w:type="dxa"/>
              <w:start w:w="120" w:type="dxa"/>
              <w:bottom w:w="80" w:type="dxa"/>
              <w:end w:w="120" w:type="dxa"/>
            </w:tcMar>
          </w:tcPr>
          <w:p>
            <w:r>
              <w:rPr>
                <w:rFonts w:ascii="Calibri" w:hAnsi="Calibri"/>
                <w:sz w:val="18"/>
              </w:rPr>
              <w:t>M6</w:t>
            </w:r>
          </w:p>
        </w:tc>
        <w:tc>
          <w:tcPr>
            <w:tcW w:type="dxa" w:w="1800"/>
            <w:tcMar>
              <w:top w:w="80" w:type="dxa"/>
              <w:start w:w="120" w:type="dxa"/>
              <w:bottom w:w="80" w:type="dxa"/>
              <w:end w:w="120" w:type="dxa"/>
            </w:tcMar>
          </w:tcPr>
          <w:p>
            <w:r>
              <w:rPr>
                <w:rFonts w:ascii="Calibri" w:hAnsi="Calibri"/>
                <w:sz w:val="18"/>
              </w:rPr>
              <w:t>Lot 11</w:t>
            </w:r>
          </w:p>
        </w:tc>
        <w:tc>
          <w:tcPr>
            <w:tcW w:type="dxa" w:w="6260"/>
            <w:tcMar>
              <w:top w:w="80" w:type="dxa"/>
              <w:start w:w="120" w:type="dxa"/>
              <w:bottom w:w="80" w:type="dxa"/>
              <w:end w:w="120" w:type="dxa"/>
            </w:tcMar>
          </w:tcPr>
          <w:p>
            <w:r>
              <w:rPr>
                <w:rFonts w:ascii="Calibri" w:hAnsi="Calibri"/>
                <w:sz w:val="18"/>
              </w:rPr>
              <w:t>Pilotage Reporting.</w:t>
            </w:r>
          </w:p>
        </w:tc>
      </w:tr>
      <w:tr>
        <w:tc>
          <w:tcPr>
            <w:tcW w:type="dxa" w:w="1300"/>
            <w:tcMar>
              <w:top w:w="80" w:type="dxa"/>
              <w:start w:w="120" w:type="dxa"/>
              <w:bottom w:w="80" w:type="dxa"/>
              <w:end w:w="120" w:type="dxa"/>
            </w:tcMar>
          </w:tcPr>
          <w:p>
            <w:r>
              <w:rPr>
                <w:rFonts w:ascii="Calibri" w:hAnsi="Calibri"/>
                <w:sz w:val="18"/>
              </w:rPr>
              <w:t>M7</w:t>
            </w:r>
          </w:p>
        </w:tc>
        <w:tc>
          <w:tcPr>
            <w:tcW w:type="dxa" w:w="1800"/>
            <w:tcMar>
              <w:top w:w="80" w:type="dxa"/>
              <w:start w:w="120" w:type="dxa"/>
              <w:bottom w:w="80" w:type="dxa"/>
              <w:end w:w="120" w:type="dxa"/>
            </w:tcMar>
          </w:tcPr>
          <w:p>
            <w:r>
              <w:rPr>
                <w:rFonts w:ascii="Calibri" w:hAnsi="Calibri"/>
                <w:sz w:val="18"/>
              </w:rPr>
              <w:t>Lot 12</w:t>
            </w:r>
          </w:p>
        </w:tc>
        <w:tc>
          <w:tcPr>
            <w:tcW w:type="dxa" w:w="6260"/>
            <w:tcMar>
              <w:top w:w="80" w:type="dxa"/>
              <w:start w:w="120" w:type="dxa"/>
              <w:bottom w:w="80" w:type="dxa"/>
              <w:end w:w="120" w:type="dxa"/>
            </w:tcMar>
          </w:tcPr>
          <w:p>
            <w:r>
              <w:rPr>
                <w:rFonts w:ascii="Calibri" w:hAnsi="Calibri"/>
                <w:sz w:val="18"/>
              </w:rPr>
              <w:t>Offline pilote.</w:t>
            </w:r>
          </w:p>
        </w:tc>
      </w:tr>
      <w:tr>
        <w:tc>
          <w:tcPr>
            <w:tcW w:type="dxa" w:w="1300"/>
            <w:tcMar>
              <w:top w:w="80" w:type="dxa"/>
              <w:start w:w="120" w:type="dxa"/>
              <w:bottom w:w="80" w:type="dxa"/>
              <w:end w:w="120" w:type="dxa"/>
            </w:tcMar>
          </w:tcPr>
          <w:p>
            <w:r>
              <w:rPr>
                <w:rFonts w:ascii="Calibri" w:hAnsi="Calibri"/>
                <w:sz w:val="18"/>
              </w:rPr>
              <w:t>M8</w:t>
            </w:r>
          </w:p>
        </w:tc>
        <w:tc>
          <w:tcPr>
            <w:tcW w:type="dxa" w:w="1800"/>
            <w:tcMar>
              <w:top w:w="80" w:type="dxa"/>
              <w:start w:w="120" w:type="dxa"/>
              <w:bottom w:w="80" w:type="dxa"/>
              <w:end w:w="120" w:type="dxa"/>
            </w:tcMar>
          </w:tcPr>
          <w:p>
            <w:r>
              <w:rPr>
                <w:rFonts w:ascii="Calibri" w:hAnsi="Calibri"/>
                <w:sz w:val="18"/>
              </w:rPr>
              <w:t>Lot 13</w:t>
            </w:r>
          </w:p>
        </w:tc>
        <w:tc>
          <w:tcPr>
            <w:tcW w:type="dxa" w:w="6260"/>
            <w:tcMar>
              <w:top w:w="80" w:type="dxa"/>
              <w:start w:w="120" w:type="dxa"/>
              <w:bottom w:w="80" w:type="dxa"/>
              <w:end w:w="120" w:type="dxa"/>
            </w:tcMar>
          </w:tcPr>
          <w:p>
            <w:r>
              <w:rPr>
                <w:rFonts w:ascii="Calibri" w:hAnsi="Calibri"/>
                <w:sz w:val="18"/>
              </w:rPr>
              <w:t>Production élargie.</w:t>
            </w:r>
          </w:p>
        </w:tc>
      </w:tr>
    </w:tbl>
    <w:p>
      <w:pPr>
        <w:spacing w:after="0"/>
      </w:pPr>
    </w:p>
    <w:p>
      <w:r>
        <w:rPr>
          <w:rFonts w:ascii="Calibri" w:hAnsi="Calibri"/>
          <w:i w:val="0"/>
        </w:rPr>
        <w:t>Le MVP commercial recommandé couvre les Lots 0 à 7. Customers, crédit, providers, Reporting avancé et offline sont des extensions structurées, sans fragiliser la première exploitation.</w:t>
      </w:r>
    </w:p>
    <w:p>
      <w:pPr>
        <w:pStyle w:val="Heading2"/>
      </w:pPr>
      <w:r>
        <w:t>26.8 Organisation et parallélisation</w:t>
      </w:r>
    </w:p>
    <w:tbl>
      <w:tblPr>
        <w:tblStyle w:val="TableGrid"/>
        <w:tblW w:type="dxa" w:w="9360"/>
        <w:tblLayout w:type="fixed"/>
        <w:tblLook w:firstColumn="1" w:firstRow="1" w:lastColumn="0" w:lastRow="0" w:noHBand="0" w:noVBand="1" w:val="04A0"/>
        <w:jc w:val="left"/>
        <w:tblInd w:w="120" w:type="dxa"/>
      </w:tblPr>
      <w:tblGrid>
        <w:gridCol w:w="2800"/>
        <w:gridCol w:w="6560"/>
      </w:tblGrid>
      <w:tr>
        <w:trPr>
          <w:tblHeader w:val="true"/>
        </w:trPr>
        <w:tc>
          <w:tcPr>
            <w:tcW w:type="dxa" w:w="2800"/>
            <w:tcMar>
              <w:top w:w="80" w:type="dxa"/>
              <w:start w:w="120" w:type="dxa"/>
              <w:bottom w:w="80" w:type="dxa"/>
              <w:end w:w="120" w:type="dxa"/>
            </w:tcMar>
            <w:shd w:fill="F2F4F7"/>
          </w:tcPr>
          <w:p>
            <w:r>
              <w:rPr>
                <w:rFonts w:ascii="Calibri" w:hAnsi="Calibri"/>
                <w:b/>
                <w:color w:val="1F4D78"/>
                <w:sz w:val="19"/>
              </w:rPr>
              <w:t>Axe</w:t>
            </w:r>
          </w:p>
        </w:tc>
        <w:tc>
          <w:tcPr>
            <w:tcW w:type="dxa" w:w="6560"/>
            <w:tcMar>
              <w:top w:w="80" w:type="dxa"/>
              <w:start w:w="120" w:type="dxa"/>
              <w:bottom w:w="80" w:type="dxa"/>
              <w:end w:w="120" w:type="dxa"/>
            </w:tcMar>
            <w:shd w:fill="F2F4F7"/>
          </w:tcPr>
          <w:p>
            <w:r>
              <w:rPr>
                <w:rFonts w:ascii="Calibri" w:hAnsi="Calibri"/>
                <w:b/>
                <w:color w:val="1F4D78"/>
                <w:sz w:val="19"/>
              </w:rPr>
              <w:t>Responsabilités principales</w:t>
            </w:r>
          </w:p>
        </w:tc>
      </w:tr>
      <w:tr>
        <w:tc>
          <w:tcPr>
            <w:tcW w:type="dxa" w:w="2800"/>
            <w:tcMar>
              <w:top w:w="80" w:type="dxa"/>
              <w:start w:w="120" w:type="dxa"/>
              <w:bottom w:w="80" w:type="dxa"/>
              <w:end w:w="120" w:type="dxa"/>
            </w:tcMar>
          </w:tcPr>
          <w:p>
            <w:r>
              <w:rPr>
                <w:rFonts w:ascii="Calibri" w:hAnsi="Calibri"/>
                <w:sz w:val="18"/>
              </w:rPr>
              <w:t>Commerce</w:t>
            </w:r>
          </w:p>
        </w:tc>
        <w:tc>
          <w:tcPr>
            <w:tcW w:type="dxa" w:w="6560"/>
            <w:tcMar>
              <w:top w:w="80" w:type="dxa"/>
              <w:start w:w="120" w:type="dxa"/>
              <w:bottom w:w="80" w:type="dxa"/>
              <w:end w:w="120" w:type="dxa"/>
            </w:tcMar>
          </w:tcPr>
          <w:p>
            <w:r>
              <w:rPr>
                <w:rFonts w:ascii="Calibri" w:hAnsi="Calibri"/>
                <w:sz w:val="18"/>
              </w:rPr>
              <w:t>Catalog, Pricing, Sales, Customers.</w:t>
            </w:r>
          </w:p>
        </w:tc>
      </w:tr>
      <w:tr>
        <w:tc>
          <w:tcPr>
            <w:tcW w:type="dxa" w:w="2800"/>
            <w:tcMar>
              <w:top w:w="80" w:type="dxa"/>
              <w:start w:w="120" w:type="dxa"/>
              <w:bottom w:w="80" w:type="dxa"/>
              <w:end w:w="120" w:type="dxa"/>
            </w:tcMar>
          </w:tcPr>
          <w:p>
            <w:r>
              <w:rPr>
                <w:rFonts w:ascii="Calibri" w:hAnsi="Calibri"/>
                <w:sz w:val="18"/>
              </w:rPr>
              <w:t>Operations</w:t>
            </w:r>
          </w:p>
        </w:tc>
        <w:tc>
          <w:tcPr>
            <w:tcW w:type="dxa" w:w="6560"/>
            <w:tcMar>
              <w:top w:w="80" w:type="dxa"/>
              <w:start w:w="120" w:type="dxa"/>
              <w:bottom w:w="80" w:type="dxa"/>
              <w:end w:w="120" w:type="dxa"/>
            </w:tcMar>
          </w:tcPr>
          <w:p>
            <w:r>
              <w:rPr>
                <w:rFonts w:ascii="Calibri" w:hAnsi="Calibri"/>
                <w:sz w:val="18"/>
              </w:rPr>
              <w:t>Inventory, Costing, Purchasing, Cash.</w:t>
            </w:r>
          </w:p>
        </w:tc>
      </w:tr>
      <w:tr>
        <w:tc>
          <w:tcPr>
            <w:tcW w:type="dxa" w:w="2800"/>
            <w:tcMar>
              <w:top w:w="80" w:type="dxa"/>
              <w:start w:w="120" w:type="dxa"/>
              <w:bottom w:w="80" w:type="dxa"/>
              <w:end w:w="120" w:type="dxa"/>
            </w:tcMar>
          </w:tcPr>
          <w:p>
            <w:r>
              <w:rPr>
                <w:rFonts w:ascii="Calibri" w:hAnsi="Calibri"/>
                <w:sz w:val="18"/>
              </w:rPr>
              <w:t>Money &amp; Integration</w:t>
            </w:r>
          </w:p>
        </w:tc>
        <w:tc>
          <w:tcPr>
            <w:tcW w:type="dxa" w:w="6560"/>
            <w:tcMar>
              <w:top w:w="80" w:type="dxa"/>
              <w:start w:w="120" w:type="dxa"/>
              <w:bottom w:w="80" w:type="dxa"/>
              <w:end w:w="120" w:type="dxa"/>
            </w:tcMar>
          </w:tcPr>
          <w:p>
            <w:r>
              <w:rPr>
                <w:rFonts w:ascii="Calibri" w:hAnsi="Calibri"/>
                <w:sz w:val="18"/>
              </w:rPr>
              <w:t>Payments, providers, reconciliation.</w:t>
            </w:r>
          </w:p>
        </w:tc>
      </w:tr>
      <w:tr>
        <w:tc>
          <w:tcPr>
            <w:tcW w:type="dxa" w:w="2800"/>
            <w:tcMar>
              <w:top w:w="80" w:type="dxa"/>
              <w:start w:w="120" w:type="dxa"/>
              <w:bottom w:w="80" w:type="dxa"/>
              <w:end w:w="120" w:type="dxa"/>
            </w:tcMar>
          </w:tcPr>
          <w:p>
            <w:r>
              <w:rPr>
                <w:rFonts w:ascii="Calibri" w:hAnsi="Calibri"/>
                <w:sz w:val="18"/>
              </w:rPr>
              <w:t>Platform</w:t>
            </w:r>
          </w:p>
        </w:tc>
        <w:tc>
          <w:tcPr>
            <w:tcW w:type="dxa" w:w="6560"/>
            <w:tcMar>
              <w:top w:w="80" w:type="dxa"/>
              <w:start w:w="120" w:type="dxa"/>
              <w:bottom w:w="80" w:type="dxa"/>
              <w:end w:w="120" w:type="dxa"/>
            </w:tcMar>
          </w:tcPr>
          <w:p>
            <w:r>
              <w:rPr>
                <w:rFonts w:ascii="Calibri" w:hAnsi="Calibri"/>
                <w:sz w:val="18"/>
              </w:rPr>
              <w:t>Identity, Organization, outbox, observability, Reporting engine, offline foundations.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Chaque bounded context possède un owner principal. Pour une petite équipe, ces groupes sont des axes de travail plutôt que quatre équipes distinctes.</w:t>
            </w:r>
          </w:p>
        </w:tc>
      </w:tr>
    </w:tbl>
    <w:p>
      <w:pPr>
        <w:spacing w:after="0"/>
      </w:pPr>
    </w:p>
    <w:p>
      <w:r>
        <w:rPr>
          <w:rFonts w:ascii="Calibri" w:hAnsi="Calibri"/>
          <w:i w:val="0"/>
        </w:rPr>
        <w:t>Le développement parallèle s’appuie sur des contracts versionnés, jamais sur des classes internes instables. Reporting peut avancer après stabilisation des events; device security, persistence locale et protocole de sync peuvent ensuite progresser en parallèle.</w:t>
      </w:r>
    </w:p>
    <w:p>
      <w:pPr>
        <w:pStyle w:val="Heading2"/>
      </w:pPr>
      <w:r>
        <w:t>26.9 Décisions bloquantes avant Lot 0</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DECEC"/>
            <w:vAlign w:val="center"/>
          </w:tcPr>
          <w:p>
            <w:pPr>
              <w:jc w:val="center"/>
            </w:pPr>
            <w:r>
              <w:rPr>
                <w:rFonts w:ascii="Calibri" w:hAnsi="Calibri"/>
                <w:b/>
                <w:color w:val="1F4D78"/>
                <w:sz w:val="18"/>
              </w:rPr>
              <w:t>QUESTION OUVERTE</w:t>
            </w:r>
          </w:p>
        </w:tc>
        <w:tc>
          <w:tcPr>
            <w:tcW w:type="dxa" w:w="7460"/>
            <w:tcMar>
              <w:top w:w="80" w:type="dxa"/>
              <w:start w:w="120" w:type="dxa"/>
              <w:bottom w:w="80" w:type="dxa"/>
              <w:end w:w="120" w:type="dxa"/>
            </w:tcMar>
            <w:shd w:fill="FAFAFA"/>
            <w:vAlign w:val="center"/>
          </w:tcPr>
          <w:p>
            <w:r>
              <w:rPr>
                <w:rFonts w:ascii="Calibri" w:hAnsi="Calibri"/>
                <w:sz w:val="20"/>
              </w:rPr>
              <w:t>La stack technique doit être décidée après cette baseline v1.0 et avant tout démarrage du Lot 0.</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6500"/>
        <w:gridCol w:w="2860"/>
      </w:tblGrid>
      <w:tr>
        <w:trPr>
          <w:tblHeader w:val="true"/>
        </w:trPr>
        <w:tc>
          <w:tcPr>
            <w:tcW w:type="dxa" w:w="6500"/>
            <w:tcMar>
              <w:top w:w="80" w:type="dxa"/>
              <w:start w:w="120" w:type="dxa"/>
              <w:bottom w:w="80" w:type="dxa"/>
              <w:end w:w="120" w:type="dxa"/>
            </w:tcMar>
            <w:shd w:fill="F2F4F7"/>
          </w:tcPr>
          <w:p>
            <w:r>
              <w:rPr>
                <w:rFonts w:ascii="Calibri" w:hAnsi="Calibri"/>
                <w:b/>
                <w:color w:val="1F4D78"/>
                <w:sz w:val="19"/>
              </w:rPr>
              <w:t>Décision</w:t>
            </w:r>
          </w:p>
        </w:tc>
        <w:tc>
          <w:tcPr>
            <w:tcW w:type="dxa" w:w="2860"/>
            <w:tcMar>
              <w:top w:w="80" w:type="dxa"/>
              <w:start w:w="120" w:type="dxa"/>
              <w:bottom w:w="80" w:type="dxa"/>
              <w:end w:w="120" w:type="dxa"/>
            </w:tcMar>
            <w:shd w:fill="F2F4F7"/>
          </w:tcPr>
          <w:p>
            <w:r>
              <w:rPr>
                <w:rFonts w:ascii="Calibri" w:hAnsi="Calibri"/>
                <w:b/>
                <w:color w:val="1F4D78"/>
                <w:sz w:val="19"/>
              </w:rPr>
              <w:t>Échéance</w:t>
            </w:r>
          </w:p>
        </w:tc>
      </w:tr>
      <w:tr>
        <w:tc>
          <w:tcPr>
            <w:tcW w:type="dxa" w:w="6500"/>
            <w:tcMar>
              <w:top w:w="80" w:type="dxa"/>
              <w:start w:w="120" w:type="dxa"/>
              <w:bottom w:w="80" w:type="dxa"/>
              <w:end w:w="120" w:type="dxa"/>
            </w:tcMar>
          </w:tcPr>
          <w:p>
            <w:r>
              <w:rPr>
                <w:rFonts w:ascii="Calibri" w:hAnsi="Calibri"/>
                <w:sz w:val="18"/>
              </w:rPr>
              <w:t>Backend language and framework</w:t>
            </w:r>
          </w:p>
        </w:tc>
        <w:tc>
          <w:tcPr>
            <w:tcW w:type="dxa" w:w="2860"/>
            <w:tcMar>
              <w:top w:w="80" w:type="dxa"/>
              <w:start w:w="120" w:type="dxa"/>
              <w:bottom w:w="80" w:type="dxa"/>
              <w:end w:w="120" w:type="dxa"/>
            </w:tcMar>
          </w:tcPr>
          <w:p>
            <w:r>
              <w:rPr>
                <w:rFonts w:ascii="Calibri" w:hAnsi="Calibri"/>
                <w:sz w:val="18"/>
              </w:rPr>
              <w:t>Avant Lot 0</w:t>
            </w:r>
          </w:p>
        </w:tc>
      </w:tr>
      <w:tr>
        <w:tc>
          <w:tcPr>
            <w:tcW w:type="dxa" w:w="6500"/>
            <w:tcMar>
              <w:top w:w="80" w:type="dxa"/>
              <w:start w:w="120" w:type="dxa"/>
              <w:bottom w:w="80" w:type="dxa"/>
              <w:end w:w="120" w:type="dxa"/>
            </w:tcMar>
          </w:tcPr>
          <w:p>
            <w:r>
              <w:rPr>
                <w:rFonts w:ascii="Calibri" w:hAnsi="Calibri"/>
                <w:sz w:val="18"/>
              </w:rPr>
              <w:t>Database engine</w:t>
            </w:r>
          </w:p>
        </w:tc>
        <w:tc>
          <w:tcPr>
            <w:tcW w:type="dxa" w:w="2860"/>
            <w:tcMar>
              <w:top w:w="80" w:type="dxa"/>
              <w:start w:w="120" w:type="dxa"/>
              <w:bottom w:w="80" w:type="dxa"/>
              <w:end w:w="120" w:type="dxa"/>
            </w:tcMar>
          </w:tcPr>
          <w:p>
            <w:r>
              <w:rPr>
                <w:rFonts w:ascii="Calibri" w:hAnsi="Calibri"/>
                <w:sz w:val="18"/>
              </w:rPr>
              <w:t>Avant Lot 0</w:t>
            </w:r>
          </w:p>
        </w:tc>
      </w:tr>
      <w:tr>
        <w:tc>
          <w:tcPr>
            <w:tcW w:type="dxa" w:w="6500"/>
            <w:tcMar>
              <w:top w:w="80" w:type="dxa"/>
              <w:start w:w="120" w:type="dxa"/>
              <w:bottom w:w="80" w:type="dxa"/>
              <w:end w:w="120" w:type="dxa"/>
            </w:tcMar>
          </w:tcPr>
          <w:p>
            <w:r>
              <w:rPr>
                <w:rFonts w:ascii="Calibri" w:hAnsi="Calibri"/>
                <w:sz w:val="18"/>
              </w:rPr>
              <w:t>Persistence / ORM et migrations</w:t>
            </w:r>
          </w:p>
        </w:tc>
        <w:tc>
          <w:tcPr>
            <w:tcW w:type="dxa" w:w="2860"/>
            <w:tcMar>
              <w:top w:w="80" w:type="dxa"/>
              <w:start w:w="120" w:type="dxa"/>
              <w:bottom w:w="80" w:type="dxa"/>
              <w:end w:w="120" w:type="dxa"/>
            </w:tcMar>
          </w:tcPr>
          <w:p>
            <w:r>
              <w:rPr>
                <w:rFonts w:ascii="Calibri" w:hAnsi="Calibri"/>
                <w:sz w:val="18"/>
              </w:rPr>
              <w:t>Avant Lot 0</w:t>
            </w:r>
          </w:p>
        </w:tc>
      </w:tr>
      <w:tr>
        <w:tc>
          <w:tcPr>
            <w:tcW w:type="dxa" w:w="6500"/>
            <w:tcMar>
              <w:top w:w="80" w:type="dxa"/>
              <w:start w:w="120" w:type="dxa"/>
              <w:bottom w:w="80" w:type="dxa"/>
              <w:end w:w="120" w:type="dxa"/>
            </w:tcMar>
          </w:tcPr>
          <w:p>
            <w:r>
              <w:rPr>
                <w:rFonts w:ascii="Calibri" w:hAnsi="Calibri"/>
                <w:sz w:val="18"/>
              </w:rPr>
              <w:t>API style et identity provider</w:t>
            </w:r>
          </w:p>
        </w:tc>
        <w:tc>
          <w:tcPr>
            <w:tcW w:type="dxa" w:w="2860"/>
            <w:tcMar>
              <w:top w:w="80" w:type="dxa"/>
              <w:start w:w="120" w:type="dxa"/>
              <w:bottom w:w="80" w:type="dxa"/>
              <w:end w:w="120" w:type="dxa"/>
            </w:tcMar>
          </w:tcPr>
          <w:p>
            <w:r>
              <w:rPr>
                <w:rFonts w:ascii="Calibri" w:hAnsi="Calibri"/>
                <w:sz w:val="18"/>
              </w:rPr>
              <w:t>Avant Lot 0</w:t>
            </w:r>
          </w:p>
        </w:tc>
      </w:tr>
      <w:tr>
        <w:tc>
          <w:tcPr>
            <w:tcW w:type="dxa" w:w="6500"/>
            <w:tcMar>
              <w:top w:w="80" w:type="dxa"/>
              <w:start w:w="120" w:type="dxa"/>
              <w:bottom w:w="80" w:type="dxa"/>
              <w:end w:w="120" w:type="dxa"/>
            </w:tcMar>
          </w:tcPr>
          <w:p>
            <w:r>
              <w:rPr>
                <w:rFonts w:ascii="Calibri" w:hAnsi="Calibri"/>
                <w:sz w:val="18"/>
              </w:rPr>
              <w:t>Deployment platform et observability</w:t>
            </w:r>
          </w:p>
        </w:tc>
        <w:tc>
          <w:tcPr>
            <w:tcW w:type="dxa" w:w="2860"/>
            <w:tcMar>
              <w:top w:w="80" w:type="dxa"/>
              <w:start w:w="120" w:type="dxa"/>
              <w:bottom w:w="80" w:type="dxa"/>
              <w:end w:w="120" w:type="dxa"/>
            </w:tcMar>
          </w:tcPr>
          <w:p>
            <w:r>
              <w:rPr>
                <w:rFonts w:ascii="Calibri" w:hAnsi="Calibri"/>
                <w:sz w:val="18"/>
              </w:rPr>
              <w:t>Avant Lot 0</w:t>
            </w:r>
          </w:p>
        </w:tc>
      </w:tr>
      <w:tr>
        <w:tc>
          <w:tcPr>
            <w:tcW w:type="dxa" w:w="6500"/>
            <w:tcMar>
              <w:top w:w="80" w:type="dxa"/>
              <w:start w:w="120" w:type="dxa"/>
              <w:bottom w:w="80" w:type="dxa"/>
              <w:end w:w="120" w:type="dxa"/>
            </w:tcMar>
          </w:tcPr>
          <w:p>
            <w:r>
              <w:rPr>
                <w:rFonts w:ascii="Calibri" w:hAnsi="Calibri"/>
                <w:sz w:val="18"/>
              </w:rPr>
              <w:t>Frontend POS et format des IDs</w:t>
            </w:r>
          </w:p>
        </w:tc>
        <w:tc>
          <w:tcPr>
            <w:tcW w:type="dxa" w:w="2860"/>
            <w:tcMar>
              <w:top w:w="80" w:type="dxa"/>
              <w:start w:w="120" w:type="dxa"/>
              <w:bottom w:w="80" w:type="dxa"/>
              <w:end w:w="120" w:type="dxa"/>
            </w:tcMar>
          </w:tcPr>
          <w:p>
            <w:r>
              <w:rPr>
                <w:rFonts w:ascii="Calibri" w:hAnsi="Calibri"/>
                <w:sz w:val="18"/>
              </w:rPr>
              <w:t>Avant Lot 0</w:t>
            </w:r>
          </w:p>
        </w:tc>
      </w:tr>
      <w:tr>
        <w:tc>
          <w:tcPr>
            <w:tcW w:type="dxa" w:w="6500"/>
            <w:tcMar>
              <w:top w:w="80" w:type="dxa"/>
              <w:start w:w="120" w:type="dxa"/>
              <w:bottom w:w="80" w:type="dxa"/>
              <w:end w:w="120" w:type="dxa"/>
            </w:tcMar>
          </w:tcPr>
          <w:p>
            <w:r>
              <w:rPr>
                <w:rFonts w:ascii="Calibri" w:hAnsi="Calibri"/>
                <w:sz w:val="18"/>
              </w:rPr>
              <w:t>Précision Money et Quantity</w:t>
            </w:r>
          </w:p>
        </w:tc>
        <w:tc>
          <w:tcPr>
            <w:tcW w:type="dxa" w:w="2860"/>
            <w:tcMar>
              <w:top w:w="80" w:type="dxa"/>
              <w:start w:w="120" w:type="dxa"/>
              <w:bottom w:w="80" w:type="dxa"/>
              <w:end w:w="120" w:type="dxa"/>
            </w:tcMar>
          </w:tcPr>
          <w:p>
            <w:r>
              <w:rPr>
                <w:rFonts w:ascii="Calibri" w:hAnsi="Calibri"/>
                <w:sz w:val="18"/>
              </w:rPr>
              <w:t>Avant Lot 0</w:t>
            </w:r>
          </w:p>
        </w:tc>
      </w:tr>
      <w:tr>
        <w:tc>
          <w:tcPr>
            <w:tcW w:type="dxa" w:w="6500"/>
            <w:tcMar>
              <w:top w:w="80" w:type="dxa"/>
              <w:start w:w="120" w:type="dxa"/>
              <w:bottom w:w="80" w:type="dxa"/>
              <w:end w:w="120" w:type="dxa"/>
            </w:tcMar>
          </w:tcPr>
          <w:p>
            <w:r>
              <w:rPr>
                <w:rFonts w:ascii="Calibri" w:hAnsi="Calibri"/>
                <w:sz w:val="18"/>
              </w:rPr>
              <w:t>Fiscalité locale</w:t>
            </w:r>
          </w:p>
        </w:tc>
        <w:tc>
          <w:tcPr>
            <w:tcW w:type="dxa" w:w="2860"/>
            <w:tcMar>
              <w:top w:w="80" w:type="dxa"/>
              <w:start w:w="120" w:type="dxa"/>
              <w:bottom w:w="80" w:type="dxa"/>
              <w:end w:w="120" w:type="dxa"/>
            </w:tcMar>
          </w:tcPr>
          <w:p>
            <w:r>
              <w:rPr>
                <w:rFonts w:ascii="Calibri" w:hAnsi="Calibri"/>
                <w:sz w:val="18"/>
              </w:rPr>
              <w:t>Avant Pricing final et pilote</w:t>
            </w:r>
          </w:p>
        </w:tc>
      </w:tr>
      <w:tr>
        <w:tc>
          <w:tcPr>
            <w:tcW w:type="dxa" w:w="6500"/>
            <w:tcMar>
              <w:top w:w="80" w:type="dxa"/>
              <w:start w:w="120" w:type="dxa"/>
              <w:bottom w:w="80" w:type="dxa"/>
              <w:end w:w="120" w:type="dxa"/>
            </w:tcMar>
          </w:tcPr>
          <w:p>
            <w:r>
              <w:rPr>
                <w:rFonts w:ascii="Calibri" w:hAnsi="Calibri"/>
                <w:sz w:val="18"/>
              </w:rPr>
              <w:t>Premier payment provider</w:t>
            </w:r>
          </w:p>
        </w:tc>
        <w:tc>
          <w:tcPr>
            <w:tcW w:type="dxa" w:w="2860"/>
            <w:tcMar>
              <w:top w:w="80" w:type="dxa"/>
              <w:start w:w="120" w:type="dxa"/>
              <w:bottom w:w="80" w:type="dxa"/>
              <w:end w:w="120" w:type="dxa"/>
            </w:tcMar>
          </w:tcPr>
          <w:p>
            <w:r>
              <w:rPr>
                <w:rFonts w:ascii="Calibri" w:hAnsi="Calibri"/>
                <w:sz w:val="18"/>
              </w:rPr>
              <w:t>Avant Lot 9</w:t>
            </w:r>
          </w:p>
        </w:tc>
      </w:tr>
      <w:tr>
        <w:tc>
          <w:tcPr>
            <w:tcW w:type="dxa" w:w="6500"/>
            <w:tcMar>
              <w:top w:w="80" w:type="dxa"/>
              <w:start w:w="120" w:type="dxa"/>
              <w:bottom w:w="80" w:type="dxa"/>
              <w:end w:w="120" w:type="dxa"/>
            </w:tcMar>
          </w:tcPr>
          <w:p>
            <w:r>
              <w:rPr>
                <w:rFonts w:ascii="Calibri" w:hAnsi="Calibri"/>
                <w:sz w:val="18"/>
              </w:rPr>
              <w:t>Read store Reporting</w:t>
            </w:r>
          </w:p>
        </w:tc>
        <w:tc>
          <w:tcPr>
            <w:tcW w:type="dxa" w:w="2860"/>
            <w:tcMar>
              <w:top w:w="80" w:type="dxa"/>
              <w:start w:w="120" w:type="dxa"/>
              <w:bottom w:w="80" w:type="dxa"/>
              <w:end w:w="120" w:type="dxa"/>
            </w:tcMar>
          </w:tcPr>
          <w:p>
            <w:r>
              <w:rPr>
                <w:rFonts w:ascii="Calibri" w:hAnsi="Calibri"/>
                <w:sz w:val="18"/>
              </w:rPr>
              <w:t>Avant Lot 11</w:t>
            </w:r>
          </w:p>
        </w:tc>
      </w:tr>
      <w:tr>
        <w:tc>
          <w:tcPr>
            <w:tcW w:type="dxa" w:w="6500"/>
            <w:tcMar>
              <w:top w:w="80" w:type="dxa"/>
              <w:start w:w="120" w:type="dxa"/>
              <w:bottom w:w="80" w:type="dxa"/>
              <w:end w:w="120" w:type="dxa"/>
            </w:tcMar>
          </w:tcPr>
          <w:p>
            <w:r>
              <w:rPr>
                <w:rFonts w:ascii="Calibri" w:hAnsi="Calibri"/>
                <w:sz w:val="18"/>
              </w:rPr>
              <w:t>Offline local storage</w:t>
            </w:r>
          </w:p>
        </w:tc>
        <w:tc>
          <w:tcPr>
            <w:tcW w:type="dxa" w:w="2860"/>
            <w:tcMar>
              <w:top w:w="80" w:type="dxa"/>
              <w:start w:w="120" w:type="dxa"/>
              <w:bottom w:w="80" w:type="dxa"/>
              <w:end w:w="120" w:type="dxa"/>
            </w:tcMar>
          </w:tcPr>
          <w:p>
            <w:r>
              <w:rPr>
                <w:rFonts w:ascii="Calibri" w:hAnsi="Calibri"/>
                <w:sz w:val="18"/>
              </w:rPr>
              <w:t>Avant Lot 12</w:t>
            </w:r>
          </w:p>
        </w:tc>
      </w:tr>
    </w:tbl>
    <w:p>
      <w:pPr>
        <w:spacing w:after="0"/>
      </w:pPr>
    </w:p>
    <w:p>
      <w:r>
        <w:rPr>
          <w:rFonts w:ascii="Calibri" w:hAnsi="Calibri"/>
          <w:i w:val="0"/>
        </w:rPr>
        <w:t>Recommandation : UUID v7 si la stack et la base le supportent correctement, sinon UUID v4. `Money` utilise toujours un décimal exact; `Quantity` doit être validée sur les produits réels. Le stock négatif reste interdit dans le MVP.</w:t>
      </w:r>
    </w:p>
    <w:p>
      <w:pPr>
        <w:pStyle w:val="Heading2"/>
      </w:pPr>
      <w:r>
        <w:t>26.10 Spikes techniques</w:t>
      </w:r>
    </w:p>
    <w:p>
      <w:pPr>
        <w:pStyle w:val="ListBullet"/>
        <w:spacing w:after="80"/>
      </w:pPr>
      <w:r>
        <w:rPr>
          <w:rFonts w:ascii="Calibri" w:hAnsi="Calibri"/>
        </w:rPr>
        <w:t>Spike A — transaction `CompleteSale` complète et rollback injecté.</w:t>
      </w:r>
    </w:p>
    <w:p>
      <w:pPr>
        <w:pStyle w:val="ListBullet"/>
        <w:spacing w:after="80"/>
      </w:pPr>
      <w:r>
        <w:rPr>
          <w:rFonts w:ascii="Calibri" w:hAnsi="Calibri"/>
        </w:rPr>
        <w:t>Spike B — outbox multi-instance, retry, crash et idempotence.</w:t>
      </w:r>
    </w:p>
    <w:p>
      <w:pPr>
        <w:pStyle w:val="ListBullet"/>
        <w:spacing w:after="80"/>
      </w:pPr>
      <w:r>
        <w:rPr>
          <w:rFonts w:ascii="Calibri" w:hAnsi="Calibri"/>
        </w:rPr>
        <w:t>Spike C — decimals, conversions, taxes, remises et résidus.</w:t>
      </w:r>
    </w:p>
    <w:p>
      <w:pPr>
        <w:pStyle w:val="ListBullet"/>
        <w:spacing w:after="80"/>
      </w:pPr>
      <w:r>
        <w:rPr>
          <w:rFonts w:ascii="Calibri" w:hAnsi="Calibri"/>
        </w:rPr>
        <w:t>Spike D — provider, callbacks signés, refund et reversal.</w:t>
      </w:r>
    </w:p>
    <w:p>
      <w:pPr>
        <w:pStyle w:val="ListBullet"/>
        <w:spacing w:after="80"/>
      </w:pPr>
      <w:r>
        <w:rPr>
          <w:rFonts w:ascii="Calibri" w:hAnsi="Calibri"/>
        </w:rPr>
        <w:t>Spike E — stock concurrent, update conditionnel et contention.</w:t>
      </w:r>
    </w:p>
    <w:p>
      <w:pPr>
        <w:pStyle w:val="ListBullet"/>
        <w:spacing w:after="80"/>
      </w:pPr>
      <w:r>
        <w:rPr>
          <w:rFonts w:ascii="Calibri" w:hAnsi="Calibri"/>
        </w:rPr>
        <w:t>Spike F — stockage offline chiffré, crash recovery et migration.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Les résultats des spikes créent les ADR techniques et conditionnent le démarrage des lots concernés.</w:t>
            </w:r>
          </w:p>
        </w:tc>
      </w:tr>
    </w:tbl>
    <w:p>
      <w:pPr>
        <w:spacing w:after="0"/>
      </w:pPr>
    </w:p>
    <w:p>
      <w:pPr>
        <w:pStyle w:val="Heading2"/>
      </w:pPr>
      <w:r>
        <w:t>26.11 Gates de livraison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Lot 0 exige stack backend, base, déploiement, identité, IDs, tenant, précisions monétaire et quantité, migrations et propriétaires de modules.</w:t>
            </w:r>
          </w:p>
        </w:tc>
      </w:tr>
    </w:tbl>
    <w:p>
      <w:pPr>
        <w:spacing w:after="0"/>
      </w:pPr>
    </w:p>
    <w:p>
      <w:r>
        <w:rPr>
          <w:rFonts w:ascii="Calibri" w:hAnsi="Calibri"/>
          <w:i w:val="0"/>
        </w:rPr>
        <w:t>Le store pilote exige vente cash atomique, taxes validées, stock et caisse opérationnels, retours essentiels, permissions, audit, sauvegarde/restauration, monitoring, support, rollback et absence de défaut critique.</w:t>
      </w:r>
    </w:p>
    <w:p>
      <w:pPr>
        <w:pStyle w:val="ListBullet"/>
        <w:spacing w:after="80"/>
      </w:pPr>
      <w:r>
        <w:rPr>
          <w:rFonts w:ascii="Calibri" w:hAnsi="Calibri"/>
        </w:rPr>
        <w:t>invariants et permissions testés</w:t>
      </w:r>
    </w:p>
    <w:p>
      <w:pPr>
        <w:pStyle w:val="ListBullet"/>
        <w:spacing w:after="80"/>
      </w:pPr>
      <w:r>
        <w:rPr>
          <w:rFonts w:ascii="Calibri" w:hAnsi="Calibri"/>
        </w:rPr>
        <w:t>migrations et rollback validés</w:t>
      </w:r>
    </w:p>
    <w:p>
      <w:pPr>
        <w:pStyle w:val="ListBullet"/>
        <w:spacing w:after="80"/>
      </w:pPr>
      <w:r>
        <w:rPr>
          <w:rFonts w:ascii="Calibri" w:hAnsi="Calibri"/>
        </w:rPr>
        <w:t>idempotence et observabilité prouvées</w:t>
      </w:r>
    </w:p>
    <w:p>
      <w:pPr>
        <w:pStyle w:val="ListBullet"/>
        <w:spacing w:after="80"/>
      </w:pPr>
      <w:r>
        <w:rPr>
          <w:rFonts w:ascii="Calibri" w:hAnsi="Calibri"/>
        </w:rPr>
        <w:t>documentation mise à jour</w:t>
      </w:r>
    </w:p>
    <w:p>
      <w:pPr>
        <w:pStyle w:val="ListBullet"/>
        <w:spacing w:after="80"/>
      </w:pPr>
      <w:r>
        <w:rPr>
          <w:rFonts w:ascii="Calibri" w:hAnsi="Calibri"/>
        </w:rPr>
        <w:t>démonstration métier réalisée</w:t>
      </w:r>
    </w:p>
    <w:p>
      <w:pPr>
        <w:pStyle w:val="ListBullet"/>
        <w:spacing w:after="80"/>
      </w:pPr>
      <w:r>
        <w:rPr>
          <w:rFonts w:ascii="Calibri" w:hAnsi="Calibri"/>
        </w:rPr>
        <w:t>critères de sortie formellement acceptés</w:t>
      </w:r>
    </w:p>
    <w:p>
      <w:pPr>
        <w:pStyle w:val="Heading2"/>
      </w:pPr>
      <w:r>
        <w:t>26.12 Gouvernance et registre des risques</w:t>
      </w:r>
    </w:p>
    <w:p>
      <w:pPr>
        <w:pStyle w:val="CodeBlock"/>
        <w:keepLines/>
        <w:shd w:fill="F7F9FC"/>
      </w:pPr>
      <w:r>
        <w:rPr>
          <w:rFonts w:ascii="Consolas" w:hAnsi="Consolas"/>
          <w:color w:val="243B53"/>
          <w:sz w:val="18"/>
        </w:rPr>
        <w:t>DecisionItem.status</w:t>
      </w:r>
      <w:r>
        <w:br/>
      </w:r>
      <w:r>
        <w:rPr>
          <w:rFonts w:ascii="Consolas" w:hAnsi="Consolas"/>
          <w:color w:val="243B53"/>
          <w:sz w:val="18"/>
        </w:rPr>
        <w:t>= OPEN | ANALYSIS_IN_PROGRESS | READY_FOR_DECISION</w:t>
      </w:r>
      <w:r>
        <w:br/>
      </w:r>
      <w:r>
        <w:rPr>
          <w:rFonts w:ascii="Consolas" w:hAnsi="Consolas"/>
          <w:color w:val="243B53"/>
          <w:sz w:val="18"/>
        </w:rPr>
        <w:t xml:space="preserve">  | DECIDED | DEFERRED</w:t>
      </w:r>
    </w:p>
    <w:p>
      <w:r>
        <w:rPr>
          <w:rFonts w:ascii="Calibri" w:hAnsi="Calibri"/>
          <w:i w:val="0"/>
        </w:rPr>
        <w:t>Chaque décision possède owner, deadline, options, recommandation, impact et ADR liée. Les risques initiaux prioritaires concernent fiscalité, précision des quantités, performance de `CompleteSale`, isolation tenant, concurrence stock, providers, migrations, largeur du MVP et introduction prématurée de Reporting ou offline.</w:t>
      </w:r>
    </w:p>
    <w:p>
      <w:pPr>
        <w:pStyle w:val="Heading1"/>
      </w:pPr>
      <w:r>
        <w:t>27. Invariants consolidés</w:t>
      </w:r>
    </w:p>
    <w:tbl>
      <w:tblPr>
        <w:tblStyle w:val="TableGrid"/>
        <w:tblW w:type="dxa" w:w="9360"/>
        <w:tblLayout w:type="fixed"/>
        <w:tblLook w:firstColumn="1" w:firstRow="1" w:lastColumn="0" w:lastRow="0" w:noHBand="0" w:noVBand="1" w:val="04A0"/>
        <w:jc w:val="left"/>
        <w:tblInd w:w="120" w:type="dxa"/>
      </w:tblPr>
      <w:tblGrid>
        <w:gridCol w:w="1100"/>
        <w:gridCol w:w="6460"/>
        <w:gridCol w:w="1800"/>
      </w:tblGrid>
      <w:tr>
        <w:trPr>
          <w:tblHeader w:val="true"/>
        </w:trPr>
        <w:tc>
          <w:tcPr>
            <w:tcW w:type="dxa" w:w="1100"/>
            <w:tcMar>
              <w:top w:w="80" w:type="dxa"/>
              <w:start w:w="120" w:type="dxa"/>
              <w:bottom w:w="80" w:type="dxa"/>
              <w:end w:w="120" w:type="dxa"/>
            </w:tcMar>
            <w:shd w:fill="F2F4F7"/>
          </w:tcPr>
          <w:p>
            <w:r>
              <w:rPr>
                <w:rFonts w:ascii="Calibri" w:hAnsi="Calibri"/>
                <w:b/>
                <w:color w:val="1F4D78"/>
                <w:sz w:val="19"/>
              </w:rPr>
              <w:t>ID</w:t>
            </w:r>
          </w:p>
        </w:tc>
        <w:tc>
          <w:tcPr>
            <w:tcW w:type="dxa" w:w="6460"/>
            <w:tcMar>
              <w:top w:w="80" w:type="dxa"/>
              <w:start w:w="120" w:type="dxa"/>
              <w:bottom w:w="80" w:type="dxa"/>
              <w:end w:w="120" w:type="dxa"/>
            </w:tcMar>
            <w:shd w:fill="F2F4F7"/>
          </w:tcPr>
          <w:p>
            <w:r>
              <w:rPr>
                <w:rFonts w:ascii="Calibri" w:hAnsi="Calibri"/>
                <w:b/>
                <w:color w:val="1F4D78"/>
                <w:sz w:val="19"/>
              </w:rPr>
              <w:t>Invariant</w:t>
            </w:r>
          </w:p>
        </w:tc>
        <w:tc>
          <w:tcPr>
            <w:tcW w:type="dxa" w:w="1800"/>
            <w:tcMar>
              <w:top w:w="80" w:type="dxa"/>
              <w:start w:w="120" w:type="dxa"/>
              <w:bottom w:w="80" w:type="dxa"/>
              <w:end w:w="120" w:type="dxa"/>
            </w:tcMar>
            <w:shd w:fill="F2F4F7"/>
          </w:tcPr>
          <w:p>
            <w:r>
              <w:rPr>
                <w:rFonts w:ascii="Calibri" w:hAnsi="Calibri"/>
                <w:b/>
                <w:color w:val="1F4D78"/>
                <w:sz w:val="19"/>
              </w:rPr>
              <w:t>Statut</w:t>
            </w:r>
          </w:p>
        </w:tc>
      </w:tr>
      <w:tr>
        <w:tc>
          <w:tcPr>
            <w:tcW w:type="dxa" w:w="1100"/>
            <w:tcMar>
              <w:top w:w="80" w:type="dxa"/>
              <w:start w:w="120" w:type="dxa"/>
              <w:bottom w:w="80" w:type="dxa"/>
              <w:end w:w="120" w:type="dxa"/>
            </w:tcMar>
          </w:tcPr>
          <w:p>
            <w:r>
              <w:rPr>
                <w:rFonts w:ascii="Calibri" w:hAnsi="Calibri"/>
                <w:sz w:val="18"/>
              </w:rPr>
              <w:t>INV-01</w:t>
            </w:r>
          </w:p>
        </w:tc>
        <w:tc>
          <w:tcPr>
            <w:tcW w:type="dxa" w:w="6460"/>
            <w:tcMar>
              <w:top w:w="80" w:type="dxa"/>
              <w:start w:w="120" w:type="dxa"/>
              <w:bottom w:w="80" w:type="dxa"/>
              <w:end w:w="120" w:type="dxa"/>
            </w:tcMar>
          </w:tcPr>
          <w:p>
            <w:r>
              <w:rPr>
                <w:rFonts w:ascii="Calibri" w:hAnsi="Calibri"/>
                <w:sz w:val="18"/>
              </w:rPr>
              <w:t>Un `Stock` appartient à exactement un `Organization + Store + Product`.</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INV-02</w:t>
            </w:r>
          </w:p>
        </w:tc>
        <w:tc>
          <w:tcPr>
            <w:tcW w:type="dxa" w:w="6460"/>
            <w:tcMar>
              <w:top w:w="80" w:type="dxa"/>
              <w:start w:w="120" w:type="dxa"/>
              <w:bottom w:w="80" w:type="dxa"/>
              <w:end w:w="120" w:type="dxa"/>
            </w:tcMar>
          </w:tcPr>
          <w:p>
            <w:r>
              <w:rPr>
                <w:rFonts w:ascii="Calibri" w:hAnsi="Calibri"/>
                <w:sz w:val="18"/>
              </w:rPr>
              <w:t>Un triplet organization/store/product possède au maximum un `Stock`.</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INV-03</w:t>
            </w:r>
          </w:p>
        </w:tc>
        <w:tc>
          <w:tcPr>
            <w:tcW w:type="dxa" w:w="6460"/>
            <w:tcMar>
              <w:top w:w="80" w:type="dxa"/>
              <w:start w:w="120" w:type="dxa"/>
              <w:bottom w:w="80" w:type="dxa"/>
              <w:end w:w="120" w:type="dxa"/>
            </w:tcMar>
          </w:tcPr>
          <w:p>
            <w:r>
              <w:rPr>
                <w:rFonts w:ascii="Calibri" w:hAnsi="Calibri"/>
                <w:sz w:val="18"/>
              </w:rPr>
              <w:t>`quantityOnHand` ne devient jamais négatif pour le MVP.</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INV-04</w:t>
            </w:r>
          </w:p>
        </w:tc>
        <w:tc>
          <w:tcPr>
            <w:tcW w:type="dxa" w:w="6460"/>
            <w:tcMar>
              <w:top w:w="80" w:type="dxa"/>
              <w:start w:w="120" w:type="dxa"/>
              <w:bottom w:w="80" w:type="dxa"/>
              <w:end w:w="120" w:type="dxa"/>
            </w:tcMar>
          </w:tcPr>
          <w:p>
            <w:r>
              <w:rPr>
                <w:rFonts w:ascii="Calibri" w:hAnsi="Calibri"/>
                <w:sz w:val="18"/>
              </w:rPr>
              <w:t>Tout changement de quantité possède une cause métier et un `StockMovement`.</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INV-05</w:t>
            </w:r>
          </w:p>
        </w:tc>
        <w:tc>
          <w:tcPr>
            <w:tcW w:type="dxa" w:w="6460"/>
            <w:tcMar>
              <w:top w:w="80" w:type="dxa"/>
              <w:start w:w="120" w:type="dxa"/>
              <w:bottom w:w="80" w:type="dxa"/>
              <w:end w:w="120" w:type="dxa"/>
            </w:tcMar>
          </w:tcPr>
          <w:p>
            <w:r>
              <w:rPr>
                <w:rFonts w:ascii="Calibri" w:hAnsi="Calibri"/>
                <w:sz w:val="18"/>
              </w:rPr>
              <w:t>Tout `StockMovement` validé est immuable.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INV-06</w:t>
            </w:r>
          </w:p>
        </w:tc>
        <w:tc>
          <w:tcPr>
            <w:tcW w:type="dxa" w:w="6460"/>
            <w:tcMar>
              <w:top w:w="80" w:type="dxa"/>
              <w:start w:w="120" w:type="dxa"/>
              <w:bottom w:w="80" w:type="dxa"/>
              <w:end w:w="120" w:type="dxa"/>
            </w:tcMar>
          </w:tcPr>
          <w:p>
            <w:r>
              <w:rPr>
                <w:rFonts w:ascii="Calibri" w:hAnsi="Calibri"/>
                <w:sz w:val="18"/>
              </w:rPr>
              <w:t>Une opération externe n’est appliquée qu’une seule fois.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INV-07</w:t>
            </w:r>
          </w:p>
        </w:tc>
        <w:tc>
          <w:tcPr>
            <w:tcW w:type="dxa" w:w="6460"/>
            <w:tcMar>
              <w:top w:w="80" w:type="dxa"/>
              <w:start w:w="120" w:type="dxa"/>
              <w:bottom w:w="80" w:type="dxa"/>
              <w:end w:w="120" w:type="dxa"/>
            </w:tcMar>
          </w:tcPr>
          <w:p>
            <w:r>
              <w:rPr>
                <w:rFonts w:ascii="Calibri" w:hAnsi="Calibri"/>
                <w:sz w:val="18"/>
              </w:rPr>
              <w:t>Une opération ne touche jamais les données d’un autre tenant.</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INV-08</w:t>
            </w:r>
          </w:p>
        </w:tc>
        <w:tc>
          <w:tcPr>
            <w:tcW w:type="dxa" w:w="6460"/>
            <w:tcMar>
              <w:top w:w="80" w:type="dxa"/>
              <w:start w:w="120" w:type="dxa"/>
              <w:bottom w:w="80" w:type="dxa"/>
              <w:end w:w="120" w:type="dxa"/>
            </w:tcMar>
          </w:tcPr>
          <w:p>
            <w:r>
              <w:rPr>
                <w:rFonts w:ascii="Calibri" w:hAnsi="Calibri"/>
                <w:sz w:val="18"/>
              </w:rPr>
              <w:t>Une réception de transfert n’est possible qu’après expédition.</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INV-09</w:t>
            </w:r>
          </w:p>
        </w:tc>
        <w:tc>
          <w:tcPr>
            <w:tcW w:type="dxa" w:w="6460"/>
            <w:tcMar>
              <w:top w:w="80" w:type="dxa"/>
              <w:start w:w="120" w:type="dxa"/>
              <w:bottom w:w="80" w:type="dxa"/>
              <w:end w:w="120" w:type="dxa"/>
            </w:tcMar>
          </w:tcPr>
          <w:p>
            <w:r>
              <w:rPr>
                <w:rFonts w:ascii="Calibri" w:hAnsi="Calibri"/>
                <w:sz w:val="18"/>
              </w:rPr>
              <w:t>La source et la destination d’un transfert sont différentes.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INV-10</w:t>
            </w:r>
          </w:p>
        </w:tc>
        <w:tc>
          <w:tcPr>
            <w:tcW w:type="dxa" w:w="6460"/>
            <w:tcMar>
              <w:top w:w="80" w:type="dxa"/>
              <w:start w:w="120" w:type="dxa"/>
              <w:bottom w:w="80" w:type="dxa"/>
              <w:end w:w="120" w:type="dxa"/>
            </w:tcMar>
          </w:tcPr>
          <w:p>
            <w:r>
              <w:rPr>
                <w:rFonts w:ascii="Calibri" w:hAnsi="Calibri"/>
                <w:sz w:val="18"/>
              </w:rPr>
              <w:t>Une `MovementQuantity` est strictement positive.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INV-11</w:t>
            </w:r>
          </w:p>
        </w:tc>
        <w:tc>
          <w:tcPr>
            <w:tcW w:type="dxa" w:w="6460"/>
            <w:tcMar>
              <w:top w:w="80" w:type="dxa"/>
              <w:start w:w="120" w:type="dxa"/>
              <w:bottom w:w="80" w:type="dxa"/>
              <w:end w:w="120" w:type="dxa"/>
            </w:tcMar>
          </w:tcPr>
          <w:p>
            <w:r>
              <w:rPr>
                <w:rFonts w:ascii="Calibri" w:hAnsi="Calibri"/>
                <w:sz w:val="18"/>
              </w:rPr>
              <w:t>Un `StockCount` terminé est immuable.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INV-12</w:t>
            </w:r>
          </w:p>
        </w:tc>
        <w:tc>
          <w:tcPr>
            <w:tcW w:type="dxa" w:w="6460"/>
            <w:tcMar>
              <w:top w:w="80" w:type="dxa"/>
              <w:start w:w="120" w:type="dxa"/>
              <w:bottom w:w="80" w:type="dxa"/>
              <w:end w:w="120" w:type="dxa"/>
            </w:tcMar>
          </w:tcPr>
          <w:p>
            <w:r>
              <w:rPr>
                <w:rFonts w:ascii="Calibri" w:hAnsi="Calibri"/>
                <w:sz w:val="18"/>
              </w:rPr>
              <w:t>Une vente retournée crée une compensation; elle ne modifie pas le mouvement initial.</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INV-13</w:t>
            </w:r>
          </w:p>
        </w:tc>
        <w:tc>
          <w:tcPr>
            <w:tcW w:type="dxa" w:w="6460"/>
            <w:tcMar>
              <w:top w:w="80" w:type="dxa"/>
              <w:start w:w="120" w:type="dxa"/>
              <w:bottom w:w="80" w:type="dxa"/>
              <w:end w:w="120" w:type="dxa"/>
            </w:tcMar>
          </w:tcPr>
          <w:p>
            <w:r>
              <w:rPr>
                <w:rFonts w:ascii="Calibri" w:hAnsi="Calibri"/>
                <w:sz w:val="18"/>
              </w:rPr>
              <w:t>Un `CashRegister` a au maximum une `CashSession OPEN` pour le MVP.</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INV-14</w:t>
            </w:r>
          </w:p>
        </w:tc>
        <w:tc>
          <w:tcPr>
            <w:tcW w:type="dxa" w:w="6460"/>
            <w:tcMar>
              <w:top w:w="80" w:type="dxa"/>
              <w:start w:w="120" w:type="dxa"/>
              <w:bottom w:w="80" w:type="dxa"/>
              <w:end w:w="120" w:type="dxa"/>
            </w:tcMar>
          </w:tcPr>
          <w:p>
            <w:r>
              <w:rPr>
                <w:rFonts w:ascii="Calibri" w:hAnsi="Calibri"/>
                <w:sz w:val="18"/>
              </w:rPr>
              <w:t>Une `CashSession` clôturée est immuable.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INV-15</w:t>
            </w:r>
          </w:p>
        </w:tc>
        <w:tc>
          <w:tcPr>
            <w:tcW w:type="dxa" w:w="6460"/>
            <w:tcMar>
              <w:top w:w="80" w:type="dxa"/>
              <w:start w:w="120" w:type="dxa"/>
              <w:bottom w:w="80" w:type="dxa"/>
              <w:end w:w="120" w:type="dxa"/>
            </w:tcMar>
          </w:tcPr>
          <w:p>
            <w:r>
              <w:rPr>
                <w:rFonts w:ascii="Calibri" w:hAnsi="Calibri"/>
                <w:sz w:val="18"/>
              </w:rPr>
              <w:t>Un produit ne peut appartenir qu’à un seul `StockCount OPEN/FINALIZING` dans un store.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INV-16</w:t>
            </w:r>
          </w:p>
        </w:tc>
        <w:tc>
          <w:tcPr>
            <w:tcW w:type="dxa" w:w="6460"/>
            <w:tcMar>
              <w:top w:w="80" w:type="dxa"/>
              <w:start w:w="120" w:type="dxa"/>
              <w:bottom w:w="80" w:type="dxa"/>
              <w:end w:w="120" w:type="dxa"/>
            </w:tcMar>
          </w:tcPr>
          <w:p>
            <w:r>
              <w:rPr>
                <w:rFonts w:ascii="Calibri" w:hAnsi="Calibri"/>
                <w:sz w:val="18"/>
              </w:rPr>
              <w:t>`0 &lt;= receivedQuantity &lt;= shippedQuantity &lt;= requestedQuantity`.</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INV-17</w:t>
            </w:r>
          </w:p>
        </w:tc>
        <w:tc>
          <w:tcPr>
            <w:tcW w:type="dxa" w:w="6460"/>
            <w:tcMar>
              <w:top w:w="80" w:type="dxa"/>
              <w:start w:w="120" w:type="dxa"/>
              <w:bottom w:w="80" w:type="dxa"/>
              <w:end w:w="120" w:type="dxa"/>
            </w:tcMar>
          </w:tcPr>
          <w:p>
            <w:r>
              <w:rPr>
                <w:rFonts w:ascii="Calibri" w:hAnsi="Calibri"/>
                <w:sz w:val="18"/>
              </w:rPr>
              <w:t>Une ligne de comptage `null` n’est jamais interprétée comme zéro.</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INV-18</w:t>
            </w:r>
          </w:p>
        </w:tc>
        <w:tc>
          <w:tcPr>
            <w:tcW w:type="dxa" w:w="6460"/>
            <w:tcMar>
              <w:top w:w="80" w:type="dxa"/>
              <w:start w:w="120" w:type="dxa"/>
              <w:bottom w:w="80" w:type="dxa"/>
              <w:end w:w="120" w:type="dxa"/>
            </w:tcMar>
          </w:tcPr>
          <w:p>
            <w:r>
              <w:rPr>
                <w:rFonts w:ascii="Calibri" w:hAnsi="Calibri"/>
                <w:sz w:val="18"/>
              </w:rPr>
              <w:t>Une `GoodsReceipt POSTED` et ses mouvements sont immuables.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INV-19</w:t>
            </w:r>
          </w:p>
        </w:tc>
        <w:tc>
          <w:tcPr>
            <w:tcW w:type="dxa" w:w="6460"/>
            <w:tcMar>
              <w:top w:w="80" w:type="dxa"/>
              <w:start w:w="120" w:type="dxa"/>
              <w:bottom w:w="80" w:type="dxa"/>
              <w:end w:w="120" w:type="dxa"/>
            </w:tcMar>
          </w:tcPr>
          <w:p>
            <w:r>
              <w:rPr>
                <w:rFonts w:ascii="Calibri" w:hAnsi="Calibri"/>
                <w:sz w:val="18"/>
              </w:rPr>
              <w:t>La publication d’une réception est atomique pour toutes ses lignes.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INV-20</w:t>
            </w:r>
          </w:p>
        </w:tc>
        <w:tc>
          <w:tcPr>
            <w:tcW w:type="dxa" w:w="6460"/>
            <w:tcMar>
              <w:top w:w="80" w:type="dxa"/>
              <w:start w:w="120" w:type="dxa"/>
              <w:bottom w:w="80" w:type="dxa"/>
              <w:end w:w="120" w:type="dxa"/>
            </w:tcMar>
          </w:tcPr>
          <w:p>
            <w:r>
              <w:rPr>
                <w:rFonts w:ascii="Calibri" w:hAnsi="Calibri"/>
                <w:sz w:val="18"/>
              </w:rPr>
              <w:t>Un retour fournisseur physique ne modifie pas le cumul reçu de la commande.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INV-21</w:t>
            </w:r>
          </w:p>
        </w:tc>
        <w:tc>
          <w:tcPr>
            <w:tcW w:type="dxa" w:w="6460"/>
            <w:tcMar>
              <w:top w:w="80" w:type="dxa"/>
              <w:start w:w="120" w:type="dxa"/>
              <w:bottom w:w="80" w:type="dxa"/>
              <w:end w:w="120" w:type="dxa"/>
            </w:tcMar>
          </w:tcPr>
          <w:p>
            <w:r>
              <w:rPr>
                <w:rFonts w:ascii="Calibri" w:hAnsi="Calibri"/>
                <w:sz w:val="18"/>
              </w:rPr>
              <w:t>Une correction négative de réception ne rend jamais le stock négatif.</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INV-22</w:t>
            </w:r>
          </w:p>
        </w:tc>
        <w:tc>
          <w:tcPr>
            <w:tcW w:type="dxa" w:w="6460"/>
            <w:tcMar>
              <w:top w:w="80" w:type="dxa"/>
              <w:start w:w="120" w:type="dxa"/>
              <w:bottom w:w="80" w:type="dxa"/>
              <w:end w:w="120" w:type="dxa"/>
            </w:tcMar>
          </w:tcPr>
          <w:p>
            <w:r>
              <w:rPr>
                <w:rFonts w:ascii="Calibri" w:hAnsi="Calibri"/>
                <w:sz w:val="18"/>
              </w:rPr>
              <w:t>Seul un `OrganizationMembership ACTIVE` accorde des permissions.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INV-23</w:t>
            </w:r>
          </w:p>
        </w:tc>
        <w:tc>
          <w:tcPr>
            <w:tcW w:type="dxa" w:w="6460"/>
            <w:tcMar>
              <w:top w:w="80" w:type="dxa"/>
              <w:start w:w="120" w:type="dxa"/>
              <w:bottom w:w="80" w:type="dxa"/>
              <w:end w:w="120" w:type="dxa"/>
            </w:tcMar>
          </w:tcPr>
          <w:p>
            <w:r>
              <w:rPr>
                <w:rFonts w:ascii="Calibri" w:hAnsi="Calibri"/>
                <w:sz w:val="18"/>
              </w:rPr>
              <w:t>L’organization conserve au moins un `ORGANIZATION_OWNER` actif.</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INV-24</w:t>
            </w:r>
          </w:p>
        </w:tc>
        <w:tc>
          <w:tcPr>
            <w:tcW w:type="dxa" w:w="6460"/>
            <w:tcMar>
              <w:top w:w="80" w:type="dxa"/>
              <w:start w:w="120" w:type="dxa"/>
              <w:bottom w:w="80" w:type="dxa"/>
              <w:end w:w="120" w:type="dxa"/>
            </w:tcMar>
          </w:tcPr>
          <w:p>
            <w:r>
              <w:rPr>
                <w:rFonts w:ascii="Calibri" w:hAnsi="Calibri"/>
                <w:sz w:val="18"/>
              </w:rPr>
              <w:t>Un rôle ou scope ne référence jamais les ressources d’un autre tenant.</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INV-25</w:t>
            </w:r>
          </w:p>
        </w:tc>
        <w:tc>
          <w:tcPr>
            <w:tcW w:type="dxa" w:w="6460"/>
            <w:tcMar>
              <w:top w:w="80" w:type="dxa"/>
              <w:start w:w="120" w:type="dxa"/>
              <w:bottom w:w="80" w:type="dxa"/>
              <w:end w:w="120" w:type="dxa"/>
            </w:tcMar>
          </w:tcPr>
          <w:p>
            <w:r>
              <w:rPr>
                <w:rFonts w:ascii="Calibri" w:hAnsi="Calibri"/>
                <w:sz w:val="18"/>
              </w:rPr>
              <w:t>Un store ne ferme pas avec du stock ou un workflow critique ouvert.</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INV-26</w:t>
            </w:r>
          </w:p>
        </w:tc>
        <w:tc>
          <w:tcPr>
            <w:tcW w:type="dxa" w:w="6460"/>
            <w:tcMar>
              <w:top w:w="80" w:type="dxa"/>
              <w:start w:w="120" w:type="dxa"/>
              <w:bottom w:w="80" w:type="dxa"/>
              <w:end w:w="120" w:type="dxa"/>
            </w:tcMar>
          </w:tcPr>
          <w:p>
            <w:r>
              <w:rPr>
                <w:rFonts w:ascii="Calibri" w:hAnsi="Calibri"/>
                <w:sz w:val="18"/>
              </w:rPr>
              <w:t>Une organization ou un store `CLOSED` ne redevient pas actif normalement.</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INV-27</w:t>
            </w:r>
          </w:p>
        </w:tc>
        <w:tc>
          <w:tcPr>
            <w:tcW w:type="dxa" w:w="6460"/>
            <w:tcMar>
              <w:top w:w="80" w:type="dxa"/>
              <w:start w:w="120" w:type="dxa"/>
              <w:bottom w:w="80" w:type="dxa"/>
              <w:end w:w="120" w:type="dxa"/>
            </w:tcMar>
          </w:tcPr>
          <w:p>
            <w:r>
              <w:rPr>
                <w:rFonts w:ascii="Calibri" w:hAnsi="Calibri"/>
                <w:sz w:val="18"/>
              </w:rPr>
              <w:t>Toute action de sécurité sensible est auditée sans secret.</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INV-28</w:t>
            </w:r>
          </w:p>
        </w:tc>
        <w:tc>
          <w:tcPr>
            <w:tcW w:type="dxa" w:w="6460"/>
            <w:tcMar>
              <w:top w:w="80" w:type="dxa"/>
              <w:start w:w="120" w:type="dxa"/>
              <w:bottom w:w="80" w:type="dxa"/>
              <w:end w:w="120" w:type="dxa"/>
            </w:tcMar>
          </w:tcPr>
          <w:p>
            <w:r>
              <w:rPr>
                <w:rFonts w:ascii="Calibri" w:hAnsi="Calibri"/>
                <w:sz w:val="18"/>
              </w:rPr>
              <w:t>Business ledgers et security audit sont append-only.</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INV-29</w:t>
            </w:r>
          </w:p>
        </w:tc>
        <w:tc>
          <w:tcPr>
            <w:tcW w:type="dxa" w:w="6460"/>
            <w:tcMar>
              <w:top w:w="80" w:type="dxa"/>
              <w:start w:w="120" w:type="dxa"/>
              <w:bottom w:w="80" w:type="dxa"/>
              <w:end w:w="120" w:type="dxa"/>
            </w:tcMar>
          </w:tcPr>
          <w:p>
            <w:r>
              <w:rPr>
                <w:rFonts w:ascii="Calibri" w:hAnsi="Calibri"/>
                <w:sz w:val="18"/>
              </w:rPr>
              <w:t>Chaque quantité Inventory est exprimée dans la base unit du produit.</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INV-30</w:t>
            </w:r>
          </w:p>
        </w:tc>
        <w:tc>
          <w:tcPr>
            <w:tcW w:type="dxa" w:w="6460"/>
            <w:tcMar>
              <w:top w:w="80" w:type="dxa"/>
              <w:start w:w="120" w:type="dxa"/>
              <w:bottom w:w="80" w:type="dxa"/>
              <w:end w:w="120" w:type="dxa"/>
            </w:tcMar>
          </w:tcPr>
          <w:p>
            <w:r>
              <w:rPr>
                <w:rFonts w:ascii="Calibri" w:hAnsi="Calibri"/>
                <w:sz w:val="18"/>
              </w:rPr>
              <w:t>Un facteur de packaging utilisé est immuable.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INV-31</w:t>
            </w:r>
          </w:p>
        </w:tc>
        <w:tc>
          <w:tcPr>
            <w:tcW w:type="dxa" w:w="6460"/>
            <w:tcMar>
              <w:top w:w="80" w:type="dxa"/>
              <w:start w:w="120" w:type="dxa"/>
              <w:bottom w:w="80" w:type="dxa"/>
              <w:end w:w="120" w:type="dxa"/>
            </w:tcMar>
          </w:tcPr>
          <w:p>
            <w:r>
              <w:rPr>
                <w:rFonts w:ascii="Calibri" w:hAnsi="Calibri"/>
                <w:sz w:val="18"/>
              </w:rPr>
              <w:t>Une vente conserve tous ses snapshots de prix, taxe, remise et coût.</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INV-32</w:t>
            </w:r>
          </w:p>
        </w:tc>
        <w:tc>
          <w:tcPr>
            <w:tcW w:type="dxa" w:w="6460"/>
            <w:tcMar>
              <w:top w:w="80" w:type="dxa"/>
              <w:start w:w="120" w:type="dxa"/>
              <w:bottom w:w="80" w:type="dxa"/>
              <w:end w:w="120" w:type="dxa"/>
            </w:tcMar>
          </w:tcPr>
          <w:p>
            <w:r>
              <w:rPr>
                <w:rFonts w:ascii="Calibri" w:hAnsi="Calibri"/>
                <w:sz w:val="18"/>
              </w:rPr>
              <w:t>Un remboursement cumulé ne dépasse jamais le montant payé.</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INV-33</w:t>
            </w:r>
          </w:p>
        </w:tc>
        <w:tc>
          <w:tcPr>
            <w:tcW w:type="dxa" w:w="6460"/>
            <w:tcMar>
              <w:top w:w="80" w:type="dxa"/>
              <w:start w:w="120" w:type="dxa"/>
              <w:bottom w:w="80" w:type="dxa"/>
              <w:end w:w="120" w:type="dxa"/>
            </w:tcMar>
          </w:tcPr>
          <w:p>
            <w:r>
              <w:rPr>
                <w:rFonts w:ascii="Calibri" w:hAnsi="Calibri"/>
                <w:sz w:val="18"/>
              </w:rPr>
              <w:t>Quantité, mouvement et valorisation sont transactionnels.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INV-34</w:t>
            </w:r>
          </w:p>
        </w:tc>
        <w:tc>
          <w:tcPr>
            <w:tcW w:type="dxa" w:w="6460"/>
            <w:tcMar>
              <w:top w:w="80" w:type="dxa"/>
              <w:start w:w="120" w:type="dxa"/>
              <w:bottom w:w="80" w:type="dxa"/>
              <w:end w:w="120" w:type="dxa"/>
            </w:tcMar>
          </w:tcPr>
          <w:p>
            <w:r>
              <w:rPr>
                <w:rFonts w:ascii="Calibri" w:hAnsi="Calibri"/>
                <w:sz w:val="18"/>
              </w:rPr>
              <w:t>Quand le stock vaut zéro, sa valeur totale vaut exactement zéro.</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INV-35</w:t>
            </w:r>
          </w:p>
        </w:tc>
        <w:tc>
          <w:tcPr>
            <w:tcW w:type="dxa" w:w="6460"/>
            <w:tcMar>
              <w:top w:w="80" w:type="dxa"/>
              <w:start w:w="120" w:type="dxa"/>
              <w:bottom w:w="80" w:type="dxa"/>
              <w:end w:w="120" w:type="dxa"/>
            </w:tcMar>
          </w:tcPr>
          <w:p>
            <w:r>
              <w:rPr>
                <w:rFonts w:ascii="Calibri" w:hAnsi="Calibri"/>
                <w:sz w:val="18"/>
              </w:rPr>
              <w:t>Toute vente à crédit référence un `Customer`.</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INV-36</w:t>
            </w:r>
          </w:p>
        </w:tc>
        <w:tc>
          <w:tcPr>
            <w:tcW w:type="dxa" w:w="6460"/>
            <w:tcMar>
              <w:top w:w="80" w:type="dxa"/>
              <w:start w:w="120" w:type="dxa"/>
              <w:bottom w:w="80" w:type="dxa"/>
              <w:end w:w="120" w:type="dxa"/>
            </w:tcMar>
          </w:tcPr>
          <w:p>
            <w:r>
              <w:rPr>
                <w:rFonts w:ascii="Calibri" w:hAnsi="Calibri"/>
                <w:sz w:val="18"/>
              </w:rPr>
              <w:t>Un `CustomerAccount` est unique par organization, customer et currency.</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INV-37</w:t>
            </w:r>
          </w:p>
        </w:tc>
        <w:tc>
          <w:tcPr>
            <w:tcW w:type="dxa" w:w="6460"/>
            <w:tcMar>
              <w:top w:w="80" w:type="dxa"/>
              <w:start w:w="120" w:type="dxa"/>
              <w:bottom w:w="80" w:type="dxa"/>
              <w:end w:w="120" w:type="dxa"/>
            </w:tcMar>
          </w:tcPr>
          <w:p>
            <w:r>
              <w:rPr>
                <w:rFonts w:ascii="Calibri" w:hAnsi="Calibri"/>
                <w:sz w:val="18"/>
              </w:rPr>
              <w:t>Une créance est unique par vente et son solde ne devient jamais négatif.</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INV-38</w:t>
            </w:r>
          </w:p>
        </w:tc>
        <w:tc>
          <w:tcPr>
            <w:tcW w:type="dxa" w:w="6460"/>
            <w:tcMar>
              <w:top w:w="80" w:type="dxa"/>
              <w:start w:w="120" w:type="dxa"/>
              <w:bottom w:w="80" w:type="dxa"/>
              <w:end w:w="120" w:type="dxa"/>
            </w:tcMar>
          </w:tcPr>
          <w:p>
            <w:r>
              <w:rPr>
                <w:rFonts w:ascii="Calibri" w:hAnsi="Calibri"/>
                <w:sz w:val="18"/>
              </w:rPr>
              <w:t>Un paiement externe confirmé n’est jamais rétrogradé en échec.</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INV-39</w:t>
            </w:r>
          </w:p>
        </w:tc>
        <w:tc>
          <w:tcPr>
            <w:tcW w:type="dxa" w:w="6460"/>
            <w:tcMar>
              <w:top w:w="80" w:type="dxa"/>
              <w:start w:w="120" w:type="dxa"/>
              <w:bottom w:w="80" w:type="dxa"/>
              <w:end w:w="120" w:type="dxa"/>
            </w:tcMar>
          </w:tcPr>
          <w:p>
            <w:r>
              <w:rPr>
                <w:rFonts w:ascii="Calibri" w:hAnsi="Calibri"/>
                <w:sz w:val="18"/>
              </w:rPr>
              <w:t>Le cumul remboursé ne dépasse jamais le paiement confirmé.</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INV-40</w:t>
            </w:r>
          </w:p>
        </w:tc>
        <w:tc>
          <w:tcPr>
            <w:tcW w:type="dxa" w:w="6460"/>
            <w:tcMar>
              <w:top w:w="80" w:type="dxa"/>
              <w:start w:w="120" w:type="dxa"/>
              <w:bottom w:w="80" w:type="dxa"/>
              <w:end w:w="120" w:type="dxa"/>
            </w:tcMar>
          </w:tcPr>
          <w:p>
            <w:r>
              <w:rPr>
                <w:rFonts w:ascii="Calibri" w:hAnsi="Calibri"/>
                <w:sz w:val="18"/>
              </w:rPr>
              <w:t>Un `PaymentSettlement` est unique par paiement et cible.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INV-41</w:t>
            </w:r>
          </w:p>
        </w:tc>
        <w:tc>
          <w:tcPr>
            <w:tcW w:type="dxa" w:w="6460"/>
            <w:tcMar>
              <w:top w:w="80" w:type="dxa"/>
              <w:start w:w="120" w:type="dxa"/>
              <w:bottom w:w="80" w:type="dxa"/>
              <w:end w:w="120" w:type="dxa"/>
            </w:tcMar>
          </w:tcPr>
          <w:p>
            <w:r>
              <w:rPr>
                <w:rFonts w:ascii="Calibri" w:hAnsi="Calibri"/>
                <w:sz w:val="18"/>
              </w:rPr>
              <w:t>`availableQuantity = quantityOnHand - reservedQuantity`.</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INV-42</w:t>
            </w:r>
          </w:p>
        </w:tc>
        <w:tc>
          <w:tcPr>
            <w:tcW w:type="dxa" w:w="6460"/>
            <w:tcMar>
              <w:top w:w="80" w:type="dxa"/>
              <w:start w:w="120" w:type="dxa"/>
              <w:bottom w:w="80" w:type="dxa"/>
              <w:end w:w="120" w:type="dxa"/>
            </w:tcMar>
          </w:tcPr>
          <w:p>
            <w:r>
              <w:rPr>
                <w:rFonts w:ascii="Calibri" w:hAnsi="Calibri"/>
                <w:sz w:val="18"/>
              </w:rPr>
              <w:t>`0 &lt;= reservedQuantity &lt;= quantityOnHand`.</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INV-43</w:t>
            </w:r>
          </w:p>
        </w:tc>
        <w:tc>
          <w:tcPr>
            <w:tcW w:type="dxa" w:w="6460"/>
            <w:tcMar>
              <w:top w:w="80" w:type="dxa"/>
              <w:start w:w="120" w:type="dxa"/>
              <w:bottom w:w="80" w:type="dxa"/>
              <w:end w:w="120" w:type="dxa"/>
            </w:tcMar>
          </w:tcPr>
          <w:p>
            <w:r>
              <w:rPr>
                <w:rFonts w:ascii="Calibri" w:hAnsi="Calibri"/>
                <w:sz w:val="18"/>
              </w:rPr>
              <w:t>Réserver ou libérer du stock ne crée aucun `StockMovement`.</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INV-44</w:t>
            </w:r>
          </w:p>
        </w:tc>
        <w:tc>
          <w:tcPr>
            <w:tcW w:type="dxa" w:w="6460"/>
            <w:tcMar>
              <w:top w:w="80" w:type="dxa"/>
              <w:start w:w="120" w:type="dxa"/>
              <w:bottom w:w="80" w:type="dxa"/>
              <w:end w:w="120" w:type="dxa"/>
            </w:tcMar>
          </w:tcPr>
          <w:p>
            <w:r>
              <w:rPr>
                <w:rFonts w:ascii="Calibri" w:hAnsi="Calibri"/>
                <w:sz w:val="18"/>
              </w:rPr>
              <w:t>Consommer une réservation est atomique avec la sortie physique et la finalisation métier.</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INV-45</w:t>
            </w:r>
          </w:p>
        </w:tc>
        <w:tc>
          <w:tcPr>
            <w:tcW w:type="dxa" w:w="6460"/>
            <w:tcMar>
              <w:top w:w="80" w:type="dxa"/>
              <w:start w:w="120" w:type="dxa"/>
              <w:bottom w:w="80" w:type="dxa"/>
              <w:end w:w="120" w:type="dxa"/>
            </w:tcMar>
          </w:tcPr>
          <w:p>
            <w:r>
              <w:rPr>
                <w:rFonts w:ascii="Calibri" w:hAnsi="Calibri"/>
                <w:sz w:val="18"/>
              </w:rPr>
              <w:t>Une projection ne porte aucun invariant métier critique.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INV-46</w:t>
            </w:r>
          </w:p>
        </w:tc>
        <w:tc>
          <w:tcPr>
            <w:tcW w:type="dxa" w:w="6460"/>
            <w:tcMar>
              <w:top w:w="80" w:type="dxa"/>
              <w:start w:w="120" w:type="dxa"/>
              <w:bottom w:w="80" w:type="dxa"/>
              <w:end w:w="120" w:type="dxa"/>
            </w:tcMar>
          </w:tcPr>
          <w:p>
            <w:r>
              <w:rPr>
                <w:rFonts w:ascii="Calibri" w:hAnsi="Calibri"/>
                <w:sz w:val="18"/>
              </w:rPr>
              <w:t>Projection et checkpoint sont mis à jour atomiquement.</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INV-47</w:t>
            </w:r>
          </w:p>
        </w:tc>
        <w:tc>
          <w:tcPr>
            <w:tcW w:type="dxa" w:w="6460"/>
            <w:tcMar>
              <w:top w:w="80" w:type="dxa"/>
              <w:start w:w="120" w:type="dxa"/>
              <w:bottom w:w="80" w:type="dxa"/>
              <w:end w:w="120" w:type="dxa"/>
            </w:tcMar>
          </w:tcPr>
          <w:p>
            <w:r>
              <w:rPr>
                <w:rFonts w:ascii="Calibri" w:hAnsi="Calibri"/>
                <w:sz w:val="18"/>
              </w:rPr>
              <w:t>Un event n’a qu’un seul effet par projection et partition.</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INV-48</w:t>
            </w:r>
          </w:p>
        </w:tc>
        <w:tc>
          <w:tcPr>
            <w:tcW w:type="dxa" w:w="6460"/>
            <w:tcMar>
              <w:top w:w="80" w:type="dxa"/>
              <w:start w:w="120" w:type="dxa"/>
              <w:bottom w:w="80" w:type="dxa"/>
              <w:end w:w="120" w:type="dxa"/>
            </w:tcMar>
          </w:tcPr>
          <w:p>
            <w:r>
              <w:rPr>
                <w:rFonts w:ascii="Calibri" w:hAnsi="Calibri"/>
                <w:sz w:val="18"/>
              </w:rPr>
              <w:t>Une reconstruction déterministe reproduit la projection active.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INV-49</w:t>
            </w:r>
          </w:p>
        </w:tc>
        <w:tc>
          <w:tcPr>
            <w:tcW w:type="dxa" w:w="6460"/>
            <w:tcMar>
              <w:top w:w="80" w:type="dxa"/>
              <w:start w:w="120" w:type="dxa"/>
              <w:bottom w:w="80" w:type="dxa"/>
              <w:end w:w="120" w:type="dxa"/>
            </w:tcMar>
          </w:tcPr>
          <w:p>
            <w:r>
              <w:rPr>
                <w:rFonts w:ascii="Calibri" w:hAnsi="Calibri"/>
                <w:sz w:val="18"/>
              </w:rPr>
              <w:t>Les devises ne sont jamais agrégées sans conversion explicite.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INV-50</w:t>
            </w:r>
          </w:p>
        </w:tc>
        <w:tc>
          <w:tcPr>
            <w:tcW w:type="dxa" w:w="6460"/>
            <w:tcMar>
              <w:top w:w="80" w:type="dxa"/>
              <w:start w:w="120" w:type="dxa"/>
              <w:bottom w:w="80" w:type="dxa"/>
              <w:end w:w="120" w:type="dxa"/>
            </w:tcMar>
          </w:tcPr>
          <w:p>
            <w:r>
              <w:rPr>
                <w:rFonts w:ascii="Calibri" w:hAnsi="Calibri"/>
                <w:sz w:val="18"/>
              </w:rPr>
              <w:t>`BusinessDate` reste distincte des timestamps techniques.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INV-51</w:t>
            </w:r>
          </w:p>
        </w:tc>
        <w:tc>
          <w:tcPr>
            <w:tcW w:type="dxa" w:w="6460"/>
            <w:tcMar>
              <w:top w:w="80" w:type="dxa"/>
              <w:start w:w="120" w:type="dxa"/>
              <w:bottom w:w="80" w:type="dxa"/>
              <w:end w:w="120" w:type="dxa"/>
            </w:tcMar>
          </w:tcPr>
          <w:p>
            <w:r>
              <w:rPr>
                <w:rFonts w:ascii="Calibri" w:hAnsi="Calibri"/>
                <w:sz w:val="18"/>
              </w:rPr>
              <w:t>Une erreur de projection ne modifie jamais le domaine source.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INV-52</w:t>
            </w:r>
          </w:p>
        </w:tc>
        <w:tc>
          <w:tcPr>
            <w:tcW w:type="dxa" w:w="6460"/>
            <w:tcMar>
              <w:top w:w="80" w:type="dxa"/>
              <w:start w:w="120" w:type="dxa"/>
              <w:bottom w:w="80" w:type="dxa"/>
              <w:end w:w="120" w:type="dxa"/>
            </w:tcMar>
          </w:tcPr>
          <w:p>
            <w:r>
              <w:rPr>
                <w:rFonts w:ascii="Calibri" w:hAnsi="Calibri"/>
                <w:sz w:val="18"/>
              </w:rPr>
              <w:t>Les résultats exposent `dataAsOf`, `calculatedAt` et `freshnessStatus`.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INV-53</w:t>
            </w:r>
          </w:p>
        </w:tc>
        <w:tc>
          <w:tcPr>
            <w:tcW w:type="dxa" w:w="6460"/>
            <w:tcMar>
              <w:top w:w="80" w:type="dxa"/>
              <w:start w:w="120" w:type="dxa"/>
              <w:bottom w:w="80" w:type="dxa"/>
              <w:end w:w="120" w:type="dxa"/>
            </w:tcMar>
          </w:tcPr>
          <w:p>
            <w:r>
              <w:rPr>
                <w:rFonts w:ascii="Calibri" w:hAnsi="Calibri"/>
                <w:sz w:val="18"/>
              </w:rPr>
              <w:t>Le serveur reste l’autorité finale de toute opération offline.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INV-54</w:t>
            </w:r>
          </w:p>
        </w:tc>
        <w:tc>
          <w:tcPr>
            <w:tcW w:type="dxa" w:w="6460"/>
            <w:tcMar>
              <w:top w:w="80" w:type="dxa"/>
              <w:start w:w="120" w:type="dxa"/>
              <w:bottom w:w="80" w:type="dxa"/>
              <w:end w:w="120" w:type="dxa"/>
            </w:tcMar>
          </w:tcPr>
          <w:p>
            <w:r>
              <w:rPr>
                <w:rFonts w:ascii="Calibri" w:hAnsi="Calibri"/>
                <w:sz w:val="18"/>
              </w:rPr>
              <w:t>Une commande offline est immuable, ordonnée et idempotente.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INV-55</w:t>
            </w:r>
          </w:p>
        </w:tc>
        <w:tc>
          <w:tcPr>
            <w:tcW w:type="dxa" w:w="6460"/>
            <w:tcMar>
              <w:top w:w="80" w:type="dxa"/>
              <w:start w:w="120" w:type="dxa"/>
              <w:bottom w:w="80" w:type="dxa"/>
              <w:end w:w="120" w:type="dxa"/>
            </w:tcMar>
          </w:tcPr>
          <w:p>
            <w:r>
              <w:rPr>
                <w:rFonts w:ascii="Calibri" w:hAnsi="Calibri"/>
                <w:sz w:val="18"/>
              </w:rPr>
              <w:t>Un retry retourne le résultat serveur déjà enregistré.</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INV-56</w:t>
            </w:r>
          </w:p>
        </w:tc>
        <w:tc>
          <w:tcPr>
            <w:tcW w:type="dxa" w:w="6460"/>
            <w:tcMar>
              <w:top w:w="80" w:type="dxa"/>
              <w:start w:w="120" w:type="dxa"/>
              <w:bottom w:w="80" w:type="dxa"/>
              <w:end w:w="120" w:type="dxa"/>
            </w:tcMar>
          </w:tcPr>
          <w:p>
            <w:r>
              <w:rPr>
                <w:rFonts w:ascii="Calibri" w:hAnsi="Calibri"/>
                <w:sz w:val="18"/>
              </w:rPr>
              <w:t>Le checkpoint n’avance qu’avec des résultats persistés.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INV-57</w:t>
            </w:r>
          </w:p>
        </w:tc>
        <w:tc>
          <w:tcPr>
            <w:tcW w:type="dxa" w:w="6460"/>
            <w:tcMar>
              <w:top w:w="80" w:type="dxa"/>
              <w:start w:w="120" w:type="dxa"/>
              <w:bottom w:w="80" w:type="dxa"/>
              <w:end w:w="120" w:type="dxa"/>
            </w:tcMar>
          </w:tcPr>
          <w:p>
            <w:r>
              <w:rPr>
                <w:rFonts w:ascii="Calibri" w:hAnsi="Calibri"/>
                <w:sz w:val="18"/>
              </w:rPr>
              <w:t>L’estimation locale de stock ne devient jamais négative.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INV-58</w:t>
            </w:r>
          </w:p>
        </w:tc>
        <w:tc>
          <w:tcPr>
            <w:tcW w:type="dxa" w:w="6460"/>
            <w:tcMar>
              <w:top w:w="80" w:type="dxa"/>
              <w:start w:w="120" w:type="dxa"/>
              <w:bottom w:w="80" w:type="dxa"/>
              <w:end w:w="120" w:type="dxa"/>
            </w:tcMar>
          </w:tcPr>
          <w:p>
            <w:r>
              <w:rPr>
                <w:rFonts w:ascii="Calibri" w:hAnsi="Calibri"/>
                <w:sz w:val="18"/>
              </w:rPr>
              <w:t>Une survente offline reste explicite sans stock serveur négatif.</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INV-59</w:t>
            </w:r>
          </w:p>
        </w:tc>
        <w:tc>
          <w:tcPr>
            <w:tcW w:type="dxa" w:w="6460"/>
            <w:tcMar>
              <w:top w:w="80" w:type="dxa"/>
              <w:start w:w="120" w:type="dxa"/>
              <w:bottom w:w="80" w:type="dxa"/>
              <w:end w:w="120" w:type="dxa"/>
            </w:tcMar>
          </w:tcPr>
          <w:p>
            <w:r>
              <w:rPr>
                <w:rFonts w:ascii="Calibri" w:hAnsi="Calibri"/>
                <w:sz w:val="18"/>
              </w:rPr>
              <w:t>Une clôture de caisse offline reste provisoire.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INV-60</w:t>
            </w:r>
          </w:p>
        </w:tc>
        <w:tc>
          <w:tcPr>
            <w:tcW w:type="dxa" w:w="6460"/>
            <w:tcMar>
              <w:top w:w="80" w:type="dxa"/>
              <w:start w:w="120" w:type="dxa"/>
              <w:bottom w:w="80" w:type="dxa"/>
              <w:end w:w="120" w:type="dxa"/>
            </w:tcMar>
          </w:tcPr>
          <w:p>
            <w:r>
              <w:rPr>
                <w:rFonts w:ascii="Calibri" w:hAnsi="Calibri"/>
                <w:sz w:val="18"/>
              </w:rPr>
              <w:t>Un tombstone empêche la résurrection d’une donnée supprimée.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INV-61</w:t>
            </w:r>
          </w:p>
        </w:tc>
        <w:tc>
          <w:tcPr>
            <w:tcW w:type="dxa" w:w="6460"/>
            <w:tcMar>
              <w:top w:w="80" w:type="dxa"/>
              <w:start w:w="120" w:type="dxa"/>
              <w:bottom w:w="80" w:type="dxa"/>
              <w:end w:w="120" w:type="dxa"/>
            </w:tcMar>
          </w:tcPr>
          <w:p>
            <w:r>
              <w:rPr>
                <w:rFonts w:ascii="Calibri" w:hAnsi="Calibri"/>
                <w:sz w:val="18"/>
              </w:rPr>
              <w:t>Migration et resync préservent les commandes non acquittées.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INV-62</w:t>
            </w:r>
          </w:p>
        </w:tc>
        <w:tc>
          <w:tcPr>
            <w:tcW w:type="dxa" w:w="6460"/>
            <w:tcMar>
              <w:top w:w="80" w:type="dxa"/>
              <w:start w:w="120" w:type="dxa"/>
              <w:bottom w:w="80" w:type="dxa"/>
              <w:end w:w="120" w:type="dxa"/>
            </w:tcMar>
          </w:tcPr>
          <w:p>
            <w:r>
              <w:rPr>
                <w:rFonts w:ascii="Calibri" w:hAnsi="Calibri"/>
                <w:sz w:val="18"/>
              </w:rPr>
              <w:t>Une horloge non fiable bloque les écritures offline.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INV-63</w:t>
            </w:r>
          </w:p>
        </w:tc>
        <w:tc>
          <w:tcPr>
            <w:tcW w:type="dxa" w:w="6460"/>
            <w:tcMar>
              <w:top w:w="80" w:type="dxa"/>
              <w:start w:w="120" w:type="dxa"/>
              <w:bottom w:w="80" w:type="dxa"/>
              <w:end w:w="120" w:type="dxa"/>
            </w:tcMar>
          </w:tcPr>
          <w:p>
            <w:r>
              <w:rPr>
                <w:rFonts w:ascii="Calibri" w:hAnsi="Calibri"/>
                <w:sz w:val="18"/>
              </w:rPr>
              <w:t>Les données locales et backups sont chiffrés.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INV-64</w:t>
            </w:r>
          </w:p>
        </w:tc>
        <w:tc>
          <w:tcPr>
            <w:tcW w:type="dxa" w:w="6460"/>
            <w:tcMar>
              <w:top w:w="80" w:type="dxa"/>
              <w:start w:w="120" w:type="dxa"/>
              <w:bottom w:w="80" w:type="dxa"/>
              <w:end w:w="120" w:type="dxa"/>
            </w:tcMar>
          </w:tcPr>
          <w:p>
            <w:r>
              <w:rPr>
                <w:rFonts w:ascii="Calibri" w:hAnsi="Calibri"/>
                <w:sz w:val="18"/>
              </w:rPr>
              <w:t>Le mode recovery ne crée aucune nouvelle transaction métier.</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INV-65</w:t>
            </w:r>
          </w:p>
        </w:tc>
        <w:tc>
          <w:tcPr>
            <w:tcW w:type="dxa" w:w="6460"/>
            <w:tcMar>
              <w:top w:w="80" w:type="dxa"/>
              <w:start w:w="120" w:type="dxa"/>
              <w:bottom w:w="80" w:type="dxa"/>
              <w:end w:w="120" w:type="dxa"/>
            </w:tcMar>
          </w:tcPr>
          <w:p>
            <w:r>
              <w:rPr>
                <w:rFonts w:ascii="Calibri" w:hAnsi="Calibri"/>
                <w:sz w:val="18"/>
              </w:rPr>
              <w:t>`Domain` ne dépend jamais d’`Infrastructure`.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INV-66</w:t>
            </w:r>
          </w:p>
        </w:tc>
        <w:tc>
          <w:tcPr>
            <w:tcW w:type="dxa" w:w="6460"/>
            <w:tcMar>
              <w:top w:w="80" w:type="dxa"/>
              <w:start w:w="120" w:type="dxa"/>
              <w:bottom w:w="80" w:type="dxa"/>
              <w:end w:w="120" w:type="dxa"/>
            </w:tcMar>
          </w:tcPr>
          <w:p>
            <w:r>
              <w:rPr>
                <w:rFonts w:ascii="Calibri" w:hAnsi="Calibri"/>
                <w:sz w:val="18"/>
              </w:rPr>
              <w:t>Un module n’écrit jamais dans le schéma d’un autre.</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INV-67</w:t>
            </w:r>
          </w:p>
        </w:tc>
        <w:tc>
          <w:tcPr>
            <w:tcW w:type="dxa" w:w="6460"/>
            <w:tcMar>
              <w:top w:w="80" w:type="dxa"/>
              <w:start w:w="120" w:type="dxa"/>
              <w:bottom w:w="80" w:type="dxa"/>
              <w:end w:w="120" w:type="dxa"/>
            </w:tcMar>
          </w:tcPr>
          <w:p>
            <w:r>
              <w:rPr>
                <w:rFonts w:ascii="Calibri" w:hAnsi="Calibri"/>
                <w:sz w:val="18"/>
              </w:rPr>
              <w:t>Tout contrat public est versionné.</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INV-68</w:t>
            </w:r>
          </w:p>
        </w:tc>
        <w:tc>
          <w:tcPr>
            <w:tcW w:type="dxa" w:w="6460"/>
            <w:tcMar>
              <w:top w:w="80" w:type="dxa"/>
              <w:start w:w="120" w:type="dxa"/>
              <w:bottom w:w="80" w:type="dxa"/>
              <w:end w:w="120" w:type="dxa"/>
            </w:tcMar>
          </w:tcPr>
          <w:p>
            <w:r>
              <w:rPr>
                <w:rFonts w:ascii="Calibri" w:hAnsi="Calibri"/>
                <w:sz w:val="18"/>
              </w:rPr>
              <w:t>Toute transaction critique possède un test de rollback.</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INV-69</w:t>
            </w:r>
          </w:p>
        </w:tc>
        <w:tc>
          <w:tcPr>
            <w:tcW w:type="dxa" w:w="6460"/>
            <w:tcMar>
              <w:top w:w="80" w:type="dxa"/>
              <w:start w:w="120" w:type="dxa"/>
              <w:bottom w:w="80" w:type="dxa"/>
              <w:end w:w="120" w:type="dxa"/>
            </w:tcMar>
          </w:tcPr>
          <w:p>
            <w:r>
              <w:rPr>
                <w:rFonts w:ascii="Calibri" w:hAnsi="Calibri"/>
                <w:sz w:val="18"/>
              </w:rPr>
              <w:t>Tout secret est externalisé et absent des traces fonctionnelles.</w:t>
            </w:r>
          </w:p>
        </w:tc>
        <w:tc>
          <w:tcPr>
            <w:tcW w:type="dxa" w:w="1800"/>
            <w:tcMar>
              <w:top w:w="80" w:type="dxa"/>
              <w:start w:w="120" w:type="dxa"/>
              <w:bottom w:w="80" w:type="dxa"/>
              <w:end w:w="120" w:type="dxa"/>
            </w:tcMar>
          </w:tcPr>
          <w:p>
            <w:r>
              <w:rPr>
                <w:rFonts w:ascii="Calibri" w:hAnsi="Calibri"/>
                <w:sz w:val="18"/>
              </w:rPr>
              <w:t>DÉCIDÉ</w:t>
            </w:r>
          </w:p>
        </w:tc>
      </w:tr>
      <w:tr>
        <w:tc>
          <w:tcPr>
            <w:tcW w:type="dxa" w:w="1100"/>
            <w:tcMar>
              <w:top w:w="80" w:type="dxa"/>
              <w:start w:w="120" w:type="dxa"/>
              <w:bottom w:w="80" w:type="dxa"/>
              <w:end w:w="120" w:type="dxa"/>
            </w:tcMar>
          </w:tcPr>
          <w:p>
            <w:r>
              <w:rPr>
                <w:rFonts w:ascii="Calibri" w:hAnsi="Calibri"/>
                <w:sz w:val="18"/>
              </w:rPr>
              <w:t>INV-70</w:t>
            </w:r>
          </w:p>
        </w:tc>
        <w:tc>
          <w:tcPr>
            <w:tcW w:type="dxa" w:w="6460"/>
            <w:tcMar>
              <w:top w:w="80" w:type="dxa"/>
              <w:start w:w="120" w:type="dxa"/>
              <w:bottom w:w="80" w:type="dxa"/>
              <w:end w:w="120" w:type="dxa"/>
            </w:tcMar>
          </w:tcPr>
          <w:p>
            <w:r>
              <w:rPr>
                <w:rFonts w:ascii="Calibri" w:hAnsi="Calibri"/>
                <w:sz w:val="18"/>
              </w:rPr>
              <w:t>Toute phase de roadmap possède des critères de sortie vérifiables.</w:t>
            </w:r>
          </w:p>
        </w:tc>
        <w:tc>
          <w:tcPr>
            <w:tcW w:type="dxa" w:w="1800"/>
            <w:tcMar>
              <w:top w:w="80" w:type="dxa"/>
              <w:start w:w="120" w:type="dxa"/>
              <w:bottom w:w="80" w:type="dxa"/>
              <w:end w:w="120" w:type="dxa"/>
            </w:tcMar>
          </w:tcPr>
          <w:p>
            <w:r>
              <w:rPr>
                <w:rFonts w:ascii="Calibri" w:hAnsi="Calibri"/>
                <w:sz w:val="18"/>
              </w:rPr>
              <w:t>DÉCIDÉ</w:t>
            </w:r>
          </w:p>
        </w:tc>
      </w:tr>
    </w:tbl>
    <w:p>
      <w:pPr>
        <w:spacing w:after="0"/>
      </w:pPr>
    </w:p>
    <w:p>
      <w:pPr>
        <w:pStyle w:val="Heading1"/>
      </w:pPr>
      <w:r>
        <w:t>28. Concurrence</w:t>
      </w:r>
    </w:p>
    <w:p>
      <w:pPr>
        <w:pStyle w:val="Heading2"/>
      </w:pPr>
      <w:r>
        <w:t>28.1 Risque</w:t>
      </w:r>
    </w:p>
    <w:p>
      <w:r>
        <w:rPr>
          <w:rFonts w:ascii="Calibri" w:hAnsi="Calibri"/>
          <w:i w:val="0"/>
        </w:rPr>
        <w:t>Deux ventes simultanées peuvent lire la même quantité, réussir chacune leur validation puis provoquer un lost update ou vendre plus que le stock disponible. La protection doit être imposée au niveau transactionnel, pas seulement dans le contrôleur.</w:t>
      </w:r>
    </w:p>
    <w:p>
      <w:pPr>
        <w:pStyle w:val="Heading2"/>
      </w:pPr>
      <w:r>
        <w:t>28.2 Optimistic locking</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`Stock.version` permet un optimistic locking : une mise à jour dont la version attendue ne correspond plus échoue, recharge l’état, puis réévalue l’invariant.</w:t>
            </w:r>
          </w:p>
        </w:tc>
      </w:tr>
    </w:tbl>
    <w:p>
      <w:pPr>
        <w:spacing w:after="0"/>
      </w:pPr>
    </w:p>
    <w:p>
      <w:pPr>
        <w:pStyle w:val="CodeBlock"/>
        <w:keepLines/>
        <w:shd w:fill="F7F9FC"/>
      </w:pPr>
      <w:r>
        <w:rPr>
          <w:rFonts w:ascii="Consolas" w:hAnsi="Consolas"/>
          <w:color w:val="243B53"/>
          <w:sz w:val="18"/>
        </w:rPr>
        <w:t>UPDATE stock</w:t>
      </w:r>
      <w:r>
        <w:br/>
      </w:r>
      <w:r>
        <w:rPr>
          <w:rFonts w:ascii="Consolas" w:hAnsi="Consolas"/>
          <w:color w:val="243B53"/>
          <w:sz w:val="18"/>
        </w:rPr>
        <w:t>SET quantity = :newQuantity, version = :nextVersion</w:t>
      </w:r>
      <w:r>
        <w:br/>
      </w:r>
      <w:r>
        <w:rPr>
          <w:rFonts w:ascii="Consolas" w:hAnsi="Consolas"/>
          <w:color w:val="243B53"/>
          <w:sz w:val="18"/>
        </w:rPr>
        <w:t>WHERE id = :stockId AND version = :expectedVersion;</w:t>
      </w:r>
    </w:p>
    <w:p>
      <w:pPr>
        <w:pStyle w:val="Heading2"/>
      </w:pPr>
      <w:r>
        <w:t>28.3 Mise à jour atomique conditionnelle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Pour les produits à forte contention, la persistence peut décrémenter atomiquement sous condition, sans séparer `SELECT` et `UPDATE`.</w:t>
            </w:r>
          </w:p>
        </w:tc>
      </w:tr>
    </w:tbl>
    <w:p>
      <w:pPr>
        <w:spacing w:after="0"/>
      </w:pPr>
    </w:p>
    <w:p>
      <w:pPr>
        <w:pStyle w:val="CodeBlock"/>
        <w:keepLines/>
        <w:shd w:fill="F7F9FC"/>
      </w:pPr>
      <w:r>
        <w:rPr>
          <w:rFonts w:ascii="Consolas" w:hAnsi="Consolas"/>
          <w:color w:val="243B53"/>
          <w:sz w:val="18"/>
        </w:rPr>
        <w:t>UPDATE stock</w:t>
      </w:r>
      <w:r>
        <w:br/>
      </w:r>
      <w:r>
        <w:rPr>
          <w:rFonts w:ascii="Consolas" w:hAnsi="Consolas"/>
          <w:color w:val="243B53"/>
          <w:sz w:val="18"/>
        </w:rPr>
        <w:t>SET quantity_on_hand = quantity_on_hand - :qty</w:t>
      </w:r>
      <w:r>
        <w:br/>
      </w:r>
      <w:r>
        <w:rPr>
          <w:rFonts w:ascii="Consolas" w:hAnsi="Consolas"/>
          <w:color w:val="243B53"/>
          <w:sz w:val="18"/>
        </w:rPr>
        <w:t>WHERE id = :stockId</w:t>
      </w:r>
      <w:r>
        <w:br/>
      </w:r>
      <w:r>
        <w:rPr>
          <w:rFonts w:ascii="Consolas" w:hAnsi="Consolas"/>
          <w:color w:val="243B53"/>
          <w:sz w:val="18"/>
        </w:rPr>
        <w:t xml:space="preserve">  AND quantity_on_hand &gt;= :qty;</w:t>
      </w:r>
    </w:p>
    <w:p>
      <w:r>
        <w:rPr>
          <w:rFonts w:ascii="Calibri" w:hAnsi="Calibri"/>
          <w:i w:val="0"/>
        </w:rPr>
        <w:t>`affectedRows == 1` signifie succès; `affectedRows == 0` signifie stock insuffisant ou conflit à résoudre. Le choix final entre ces stratégies sera validé par les contraintes de l’ORM, les mesures de contention et les besoins de traçabilité.</w:t>
      </w:r>
    </w:p>
    <w:p>
      <w:pPr>
        <w:pStyle w:val="Heading1"/>
      </w:pPr>
      <w:r>
        <w:t>29. Idempotence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Toute commande externe ou consommation d’event susceptible d’être rejouée doit être idempotente. Un retry réseau ne doit jamais doubler une vente, une réception, un retour ou un transfert.</w:t>
            </w:r>
          </w:p>
        </w:tc>
      </w:tr>
    </w:tbl>
    <w:p>
      <w:pPr>
        <w:spacing w:after="0"/>
      </w:pPr>
    </w:p>
    <w:p>
      <w:pPr>
        <w:pStyle w:val="CodeBlock"/>
        <w:keepLines/>
        <w:shd w:fill="F7F9FC"/>
      </w:pPr>
      <w:r>
        <w:rPr>
          <w:rFonts w:ascii="Consolas" w:hAnsi="Consolas"/>
          <w:color w:val="243B53"/>
          <w:sz w:val="18"/>
        </w:rPr>
        <w:t>(movementType, sourceReference, productId)</w:t>
      </w:r>
      <w:r>
        <w:br/>
      </w:r>
      <w:r>
        <w:rPr>
          <w:rFonts w:ascii="Consolas" w:hAnsi="Consolas"/>
          <w:color w:val="243B53"/>
          <w:sz w:val="18"/>
        </w:rPr>
        <w:t>→ clé d’unicité logique de l’application du mouvement</w:t>
      </w:r>
    </w:p>
    <w:tbl>
      <w:tblPr>
        <w:tblStyle w:val="TableGrid"/>
        <w:tblW w:type="dxa" w:w="9360"/>
        <w:tblLayout w:type="fixed"/>
        <w:tblLook w:firstColumn="1" w:firstRow="1" w:lastColumn="0" w:lastRow="0" w:noHBand="0" w:noVBand="1" w:val="04A0"/>
        <w:jc w:val="left"/>
        <w:tblInd w:w="120" w:type="dxa"/>
      </w:tblPr>
      <w:tblGrid>
        <w:gridCol w:w="2400"/>
        <w:gridCol w:w="3000"/>
        <w:gridCol w:w="3960"/>
      </w:tblGrid>
      <w:tr>
        <w:trPr>
          <w:tblHeader w:val="true"/>
        </w:trPr>
        <w:tc>
          <w:tcPr>
            <w:tcW w:type="dxa" w:w="2400"/>
            <w:tcMar>
              <w:top w:w="80" w:type="dxa"/>
              <w:start w:w="120" w:type="dxa"/>
              <w:bottom w:w="80" w:type="dxa"/>
              <w:end w:w="120" w:type="dxa"/>
            </w:tcMar>
            <w:shd w:fill="F2F4F7"/>
          </w:tcPr>
          <w:p>
            <w:r>
              <w:rPr>
                <w:rFonts w:ascii="Calibri" w:hAnsi="Calibri"/>
                <w:b/>
                <w:color w:val="1F4D78"/>
                <w:sz w:val="19"/>
              </w:rPr>
              <w:t>Opération</w:t>
            </w:r>
          </w:p>
        </w:tc>
        <w:tc>
          <w:tcPr>
            <w:tcW w:type="dxa" w:w="3000"/>
            <w:tcMar>
              <w:top w:w="80" w:type="dxa"/>
              <w:start w:w="120" w:type="dxa"/>
              <w:bottom w:w="80" w:type="dxa"/>
              <w:end w:w="120" w:type="dxa"/>
            </w:tcMar>
            <w:shd w:fill="F2F4F7"/>
          </w:tcPr>
          <w:p>
            <w:r>
              <w:rPr>
                <w:rFonts w:ascii="Calibri" w:hAnsi="Calibri"/>
                <w:b/>
                <w:color w:val="1F4D78"/>
                <w:sz w:val="19"/>
              </w:rPr>
              <w:t>Clé de référence</w:t>
            </w:r>
          </w:p>
        </w:tc>
        <w:tc>
          <w:tcPr>
            <w:tcW w:type="dxa" w:w="3960"/>
            <w:tcMar>
              <w:top w:w="80" w:type="dxa"/>
              <w:start w:w="120" w:type="dxa"/>
              <w:bottom w:w="80" w:type="dxa"/>
              <w:end w:w="120" w:type="dxa"/>
            </w:tcMar>
            <w:shd w:fill="F2F4F7"/>
          </w:tcPr>
          <w:p>
            <w:r>
              <w:rPr>
                <w:rFonts w:ascii="Calibri" w:hAnsi="Calibri"/>
                <w:b/>
                <w:color w:val="1F4D78"/>
                <w:sz w:val="19"/>
              </w:rPr>
              <w:t>Comportement en doublon</w:t>
            </w:r>
          </w:p>
        </w:tc>
      </w:tr>
      <w:tr>
        <w:tc>
          <w:tcPr>
            <w:tcW w:type="dxa" w:w="2400"/>
            <w:tcMar>
              <w:top w:w="80" w:type="dxa"/>
              <w:start w:w="120" w:type="dxa"/>
              <w:bottom w:w="80" w:type="dxa"/>
              <w:end w:w="120" w:type="dxa"/>
            </w:tcMar>
          </w:tcPr>
          <w:p>
            <w:r>
              <w:rPr>
                <w:rFonts w:ascii="Calibri" w:hAnsi="Calibri"/>
                <w:sz w:val="18"/>
              </w:rPr>
              <w:t>SALE</w:t>
            </w:r>
          </w:p>
        </w:tc>
        <w:tc>
          <w:tcPr>
            <w:tcW w:type="dxa" w:w="3000"/>
            <w:tcMar>
              <w:top w:w="80" w:type="dxa"/>
              <w:start w:w="120" w:type="dxa"/>
              <w:bottom w:w="80" w:type="dxa"/>
              <w:end w:w="120" w:type="dxa"/>
            </w:tcMar>
          </w:tcPr>
          <w:p>
            <w:r>
              <w:rPr>
                <w:rFonts w:ascii="Calibri" w:hAnsi="Calibri"/>
                <w:sz w:val="18"/>
              </w:rPr>
              <w:t>`saleId + productId`</w:t>
            </w:r>
          </w:p>
        </w:tc>
        <w:tc>
          <w:tcPr>
            <w:tcW w:type="dxa" w:w="3960"/>
            <w:tcMar>
              <w:top w:w="80" w:type="dxa"/>
              <w:start w:w="120" w:type="dxa"/>
              <w:bottom w:w="80" w:type="dxa"/>
              <w:end w:w="120" w:type="dxa"/>
            </w:tcMar>
          </w:tcPr>
          <w:p>
            <w:r>
              <w:rPr>
                <w:rFonts w:ascii="Calibri" w:hAnsi="Calibri"/>
                <w:sz w:val="18"/>
              </w:rPr>
              <w:t>Retourner le résultat existant ou rejeter sans effet.</w:t>
            </w:r>
          </w:p>
        </w:tc>
      </w:tr>
      <w:tr>
        <w:tc>
          <w:tcPr>
            <w:tcW w:type="dxa" w:w="2400"/>
            <w:tcMar>
              <w:top w:w="80" w:type="dxa"/>
              <w:start w:w="120" w:type="dxa"/>
              <w:bottom w:w="80" w:type="dxa"/>
              <w:end w:w="120" w:type="dxa"/>
            </w:tcMar>
          </w:tcPr>
          <w:p>
            <w:r>
              <w:rPr>
                <w:rFonts w:ascii="Calibri" w:hAnsi="Calibri"/>
                <w:sz w:val="18"/>
              </w:rPr>
              <w:t>PURCHASE_RECEIPT</w:t>
            </w:r>
          </w:p>
        </w:tc>
        <w:tc>
          <w:tcPr>
            <w:tcW w:type="dxa" w:w="3000"/>
            <w:tcMar>
              <w:top w:w="80" w:type="dxa"/>
              <w:start w:w="120" w:type="dxa"/>
              <w:bottom w:w="80" w:type="dxa"/>
              <w:end w:w="120" w:type="dxa"/>
            </w:tcMar>
          </w:tcPr>
          <w:p>
            <w:r>
              <w:rPr>
                <w:rFonts w:ascii="Calibri" w:hAnsi="Calibri"/>
                <w:sz w:val="18"/>
              </w:rPr>
              <w:t>`receiptId + productId`</w:t>
            </w:r>
          </w:p>
        </w:tc>
        <w:tc>
          <w:tcPr>
            <w:tcW w:type="dxa" w:w="3960"/>
            <w:tcMar>
              <w:top w:w="80" w:type="dxa"/>
              <w:start w:w="120" w:type="dxa"/>
              <w:bottom w:w="80" w:type="dxa"/>
              <w:end w:w="120" w:type="dxa"/>
            </w:tcMar>
          </w:tcPr>
          <w:p>
            <w:r>
              <w:rPr>
                <w:rFonts w:ascii="Calibri" w:hAnsi="Calibri"/>
                <w:sz w:val="18"/>
              </w:rPr>
              <w:t>Ne pas ajouter une seconde fois.</w:t>
            </w:r>
          </w:p>
        </w:tc>
      </w:tr>
      <w:tr>
        <w:tc>
          <w:tcPr>
            <w:tcW w:type="dxa" w:w="2400"/>
            <w:tcMar>
              <w:top w:w="80" w:type="dxa"/>
              <w:start w:w="120" w:type="dxa"/>
              <w:bottom w:w="80" w:type="dxa"/>
              <w:end w:w="120" w:type="dxa"/>
            </w:tcMar>
          </w:tcPr>
          <w:p>
            <w:r>
              <w:rPr>
                <w:rFonts w:ascii="Calibri" w:hAnsi="Calibri"/>
                <w:sz w:val="18"/>
              </w:rPr>
              <w:t>SALE_RETURN</w:t>
            </w:r>
          </w:p>
        </w:tc>
        <w:tc>
          <w:tcPr>
            <w:tcW w:type="dxa" w:w="3000"/>
            <w:tcMar>
              <w:top w:w="80" w:type="dxa"/>
              <w:start w:w="120" w:type="dxa"/>
              <w:bottom w:w="80" w:type="dxa"/>
              <w:end w:w="120" w:type="dxa"/>
            </w:tcMar>
          </w:tcPr>
          <w:p>
            <w:r>
              <w:rPr>
                <w:rFonts w:ascii="Calibri" w:hAnsi="Calibri"/>
                <w:sz w:val="18"/>
              </w:rPr>
              <w:t>`returnId + productId`</w:t>
            </w:r>
          </w:p>
        </w:tc>
        <w:tc>
          <w:tcPr>
            <w:tcW w:type="dxa" w:w="3960"/>
            <w:tcMar>
              <w:top w:w="80" w:type="dxa"/>
              <w:start w:w="120" w:type="dxa"/>
              <w:bottom w:w="80" w:type="dxa"/>
              <w:end w:w="120" w:type="dxa"/>
            </w:tcMar>
          </w:tcPr>
          <w:p>
            <w:r>
              <w:rPr>
                <w:rFonts w:ascii="Calibri" w:hAnsi="Calibri"/>
                <w:sz w:val="18"/>
              </w:rPr>
              <w:t>Ne pas compenser deux fois.</w:t>
            </w:r>
          </w:p>
        </w:tc>
      </w:tr>
      <w:tr>
        <w:tc>
          <w:tcPr>
            <w:tcW w:type="dxa" w:w="2400"/>
            <w:tcMar>
              <w:top w:w="80" w:type="dxa"/>
              <w:start w:w="120" w:type="dxa"/>
              <w:bottom w:w="80" w:type="dxa"/>
              <w:end w:w="120" w:type="dxa"/>
            </w:tcMar>
          </w:tcPr>
          <w:p>
            <w:r>
              <w:rPr>
                <w:rFonts w:ascii="Calibri" w:hAnsi="Calibri"/>
                <w:sz w:val="18"/>
              </w:rPr>
              <w:t>TRANSFER_OUT / IN</w:t>
            </w:r>
          </w:p>
        </w:tc>
        <w:tc>
          <w:tcPr>
            <w:tcW w:type="dxa" w:w="3000"/>
            <w:tcMar>
              <w:top w:w="80" w:type="dxa"/>
              <w:start w:w="120" w:type="dxa"/>
              <w:bottom w:w="80" w:type="dxa"/>
              <w:end w:w="120" w:type="dxa"/>
            </w:tcMar>
          </w:tcPr>
          <w:p>
            <w:r>
              <w:rPr>
                <w:rFonts w:ascii="Calibri" w:hAnsi="Calibri"/>
                <w:sz w:val="18"/>
              </w:rPr>
              <w:t>`transferId + productId + phase`</w:t>
            </w:r>
          </w:p>
        </w:tc>
        <w:tc>
          <w:tcPr>
            <w:tcW w:type="dxa" w:w="3960"/>
            <w:tcMar>
              <w:top w:w="80" w:type="dxa"/>
              <w:start w:w="120" w:type="dxa"/>
              <w:bottom w:w="80" w:type="dxa"/>
              <w:end w:w="120" w:type="dxa"/>
            </w:tcMar>
          </w:tcPr>
          <w:p>
            <w:r>
              <w:rPr>
                <w:rFonts w:ascii="Calibri" w:hAnsi="Calibri"/>
                <w:sz w:val="18"/>
              </w:rPr>
              <w:t>Une seule application par phase.</w:t>
            </w:r>
          </w:p>
        </w:tc>
      </w:tr>
    </w:tbl>
    <w:p>
      <w:pPr>
        <w:spacing w:after="0"/>
      </w:pPr>
    </w:p>
    <w:p>
      <w:r>
        <w:rPr>
          <w:rFonts w:ascii="Calibri" w:hAnsi="Calibri"/>
          <w:i w:val="0"/>
        </w:rPr>
        <w:t>La règle est renforcée par des contraintes d’unicité en base, une table de messages traités ou un identifiant d’idempotence, selon le point d’entrée.</w:t>
      </w:r>
    </w:p>
    <w:p>
      <w:pPr>
        <w:pStyle w:val="Heading1"/>
      </w:pPr>
      <w:r>
        <w:t>30. Transactions et outbox</w:t>
      </w:r>
    </w:p>
    <w:p>
      <w:pPr>
        <w:pStyle w:val="Heading2"/>
      </w:pPr>
      <w:r>
        <w:t>30.1 Transaction locale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La modification de `Stock.quantityOnHand`, l’insertion du `StockMovement` et l’enregistrement des messages outbox correspondants sont atomiques dans la même transaction de base de données.</w:t>
            </w:r>
          </w:p>
        </w:tc>
      </w:tr>
    </w:tbl>
    <w:p>
      <w:pPr>
        <w:spacing w:after="0"/>
      </w:pPr>
    </w:p>
    <w:p>
      <w:pPr>
        <w:pStyle w:val="CodeBlock"/>
        <w:keepLines/>
        <w:shd w:fill="F7F9FC"/>
      </w:pPr>
      <w:r>
        <w:rPr>
          <w:rFonts w:ascii="Consolas" w:hAnsi="Consolas"/>
          <w:color w:val="243B53"/>
          <w:sz w:val="18"/>
        </w:rPr>
        <w:t>BEGIN</w:t>
      </w:r>
      <w:r>
        <w:br/>
      </w:r>
      <w:r>
        <w:rPr>
          <w:rFonts w:ascii="Consolas" w:hAnsi="Consolas"/>
          <w:color w:val="243B53"/>
          <w:sz w:val="18"/>
        </w:rPr>
        <w:t xml:space="preserve">  UPDATE Stock</w:t>
      </w:r>
      <w:r>
        <w:br/>
      </w:r>
      <w:r>
        <w:rPr>
          <w:rFonts w:ascii="Consolas" w:hAnsi="Consolas"/>
          <w:color w:val="243B53"/>
          <w:sz w:val="18"/>
        </w:rPr>
        <w:t xml:space="preserve">  INSERT StockMovement</w:t>
      </w:r>
      <w:r>
        <w:br/>
      </w:r>
      <w:r>
        <w:rPr>
          <w:rFonts w:ascii="Consolas" w:hAnsi="Consolas"/>
          <w:color w:val="243B53"/>
          <w:sz w:val="18"/>
        </w:rPr>
        <w:t xml:space="preserve">  INSERT OutboxMessage</w:t>
      </w:r>
      <w:r>
        <w:br/>
      </w:r>
      <w:r>
        <w:rPr>
          <w:rFonts w:ascii="Consolas" w:hAnsi="Consolas"/>
          <w:color w:val="243B53"/>
          <w:sz w:val="18"/>
        </w:rPr>
        <w:t>COMMIT</w:t>
      </w:r>
    </w:p>
    <w:p>
      <w:r>
        <w:rPr>
          <w:rFonts w:ascii="Calibri" w:hAnsi="Calibri"/>
          <w:i w:val="0"/>
        </w:rPr>
        <w:t>Aucun état ne doit exister où le stock est modifié sans trace de mouvement, ou inversement. Un échec avant `COMMIT` annule l’ensemble.</w:t>
      </w:r>
    </w:p>
    <w:p>
      <w:pPr>
        <w:pStyle w:val="Heading2"/>
      </w:pPr>
      <w:r>
        <w:t>30.2 Coordination entre bounded contexts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FFF4D6"/>
            <w:vAlign w:val="center"/>
          </w:tcPr>
          <w:p>
            <w:pPr>
              <w:jc w:val="center"/>
            </w:pPr>
            <w:r>
              <w:rPr>
                <w:rFonts w:ascii="Calibri" w:hAnsi="Calibri"/>
                <w:b/>
                <w:color w:val="1F4D78"/>
                <w:sz w:val="18"/>
              </w:rPr>
              <w:t>PROPOSÉ</w:t>
            </w:r>
          </w:p>
        </w:tc>
        <w:tc>
          <w:tcPr>
            <w:tcW w:type="dxa" w:w="7460"/>
            <w:tcMar>
              <w:top w:w="80" w:type="dxa"/>
              <w:start w:w="120" w:type="dxa"/>
              <w:bottom w:w="80" w:type="dxa"/>
              <w:end w:w="120" w:type="dxa"/>
            </w:tcMar>
            <w:shd w:fill="FAFAFA"/>
            <w:vAlign w:val="center"/>
          </w:tcPr>
          <w:p>
            <w:r>
              <w:rPr>
                <w:rFonts w:ascii="Calibri" w:hAnsi="Calibri"/>
                <w:sz w:val="20"/>
              </w:rPr>
              <w:t>Dans le modular monolith, les invariants critiques peuvent être coordonnés de façon synchrone via application APIs. Les effets secondaires, projections, notifications et intégrations utilisent des events publiés depuis l’outbox.</w:t>
            </w:r>
          </w:p>
        </w:tc>
      </w:tr>
    </w:tbl>
    <w:p>
      <w:pPr>
        <w:spacing w:after="0"/>
      </w:pPr>
    </w:p>
    <w:p>
      <w:pPr>
        <w:pStyle w:val="ListBullet"/>
        <w:spacing w:after="80"/>
      </w:pPr>
      <w:r>
        <w:rPr>
          <w:rFonts w:ascii="Calibri" w:hAnsi="Calibri"/>
        </w:rPr>
        <w:t>Pas d’accès direct aux repositories d’un autre bounded context.</w:t>
      </w:r>
    </w:p>
    <w:p>
      <w:pPr>
        <w:pStyle w:val="ListBullet"/>
        <w:spacing w:after="80"/>
      </w:pPr>
      <w:r>
        <w:rPr>
          <w:rFonts w:ascii="Calibri" w:hAnsi="Calibri"/>
        </w:rPr>
        <w:t>Events versionnés et consommateurs idempotents.</w:t>
      </w:r>
    </w:p>
    <w:p>
      <w:pPr>
        <w:pStyle w:val="ListBullet"/>
        <w:spacing w:after="80"/>
      </w:pPr>
      <w:r>
        <w:rPr>
          <w:rFonts w:ascii="Calibri" w:hAnsi="Calibri"/>
        </w:rPr>
        <w:t>Publication de l’outbox après commit, avec retry contrôlé.</w:t>
      </w:r>
    </w:p>
    <w:p>
      <w:pPr>
        <w:pStyle w:val="ListBullet"/>
        <w:spacing w:after="80"/>
      </w:pPr>
      <w:r>
        <w:rPr>
          <w:rFonts w:ascii="Calibri" w:hAnsi="Calibri"/>
        </w:rPr>
        <w:t>La transaction distribuée entre services n’est pas une hypothèse de la v1.0.</w:t>
      </w:r>
    </w:p>
    <w:p>
      <w:pPr>
        <w:pStyle w:val="Heading2"/>
      </w:pPr>
      <w:r>
        <w:t>30.3 Eventual consistency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L’eventual consistency est acceptable pour les traitements secondaires, mais pas pour un invariant critique tel que l’interdiction du stock négatif lors de `CompleteSale`.</w:t>
            </w:r>
          </w:p>
        </w:tc>
      </w:tr>
    </w:tbl>
    <w:p>
      <w:pPr>
        <w:spacing w:after="0"/>
      </w:pPr>
    </w:p>
    <w:p>
      <w:pPr>
        <w:pStyle w:val="Heading1"/>
      </w:pPr>
      <w:r>
        <w:t>31. Registre des décisions architecturales</w:t>
      </w:r>
    </w:p>
    <w:tbl>
      <w:tblPr>
        <w:tblStyle w:val="TableGrid"/>
        <w:tblW w:type="dxa" w:w="9360"/>
        <w:tblLayout w:type="fixed"/>
        <w:tblLook w:firstColumn="1" w:firstRow="1" w:lastColumn="0" w:lastRow="0" w:noHBand="0" w:noVBand="1" w:val="04A0"/>
        <w:jc w:val="left"/>
        <w:tblInd w:w="120" w:type="dxa"/>
      </w:tblPr>
      <w:tblGrid>
        <w:gridCol w:w="1050"/>
        <w:gridCol w:w="3300"/>
        <w:gridCol w:w="1500"/>
        <w:gridCol w:w="3510"/>
      </w:tblGrid>
      <w:tr>
        <w:trPr>
          <w:tblHeader w:val="true"/>
        </w:trPr>
        <w:tc>
          <w:tcPr>
            <w:tcW w:type="dxa" w:w="1050"/>
            <w:tcMar>
              <w:top w:w="80" w:type="dxa"/>
              <w:start w:w="120" w:type="dxa"/>
              <w:bottom w:w="80" w:type="dxa"/>
              <w:end w:w="120" w:type="dxa"/>
            </w:tcMar>
            <w:shd w:fill="F2F4F7"/>
          </w:tcPr>
          <w:p>
            <w:r>
              <w:rPr>
                <w:rFonts w:ascii="Calibri" w:hAnsi="Calibri"/>
                <w:b/>
                <w:color w:val="1F4D78"/>
                <w:sz w:val="19"/>
              </w:rPr>
              <w:t>ID</w:t>
            </w:r>
          </w:p>
        </w:tc>
        <w:tc>
          <w:tcPr>
            <w:tcW w:type="dxa" w:w="3300"/>
            <w:tcMar>
              <w:top w:w="80" w:type="dxa"/>
              <w:start w:w="120" w:type="dxa"/>
              <w:bottom w:w="80" w:type="dxa"/>
              <w:end w:w="120" w:type="dxa"/>
            </w:tcMar>
            <w:shd w:fill="F2F4F7"/>
          </w:tcPr>
          <w:p>
            <w:r>
              <w:rPr>
                <w:rFonts w:ascii="Calibri" w:hAnsi="Calibri"/>
                <w:b/>
                <w:color w:val="1F4D78"/>
                <w:sz w:val="19"/>
              </w:rPr>
              <w:t>Décision</w:t>
            </w:r>
          </w:p>
        </w:tc>
        <w:tc>
          <w:tcPr>
            <w:tcW w:type="dxa" w:w="1500"/>
            <w:tcMar>
              <w:top w:w="80" w:type="dxa"/>
              <w:start w:w="120" w:type="dxa"/>
              <w:bottom w:w="80" w:type="dxa"/>
              <w:end w:w="120" w:type="dxa"/>
            </w:tcMar>
            <w:shd w:fill="F2F4F7"/>
          </w:tcPr>
          <w:p>
            <w:r>
              <w:rPr>
                <w:rFonts w:ascii="Calibri" w:hAnsi="Calibri"/>
                <w:b/>
                <w:color w:val="1F4D78"/>
                <w:sz w:val="19"/>
              </w:rPr>
              <w:t>Statut</w:t>
            </w:r>
          </w:p>
        </w:tc>
        <w:tc>
          <w:tcPr>
            <w:tcW w:type="dxa" w:w="3510"/>
            <w:tcMar>
              <w:top w:w="80" w:type="dxa"/>
              <w:start w:w="120" w:type="dxa"/>
              <w:bottom w:w="80" w:type="dxa"/>
              <w:end w:w="120" w:type="dxa"/>
            </w:tcMar>
            <w:shd w:fill="F2F4F7"/>
          </w:tcPr>
          <w:p>
            <w:r>
              <w:rPr>
                <w:rFonts w:ascii="Calibri" w:hAnsi="Calibri"/>
                <w:b/>
                <w:color w:val="1F4D78"/>
                <w:sz w:val="19"/>
              </w:rPr>
              <w:t>Motif</w:t>
            </w:r>
          </w:p>
        </w:tc>
      </w:tr>
      <w:tr>
        <w:tc>
          <w:tcPr>
            <w:tcW w:type="dxa" w:w="1050"/>
            <w:tcMar>
              <w:top w:w="80" w:type="dxa"/>
              <w:start w:w="120" w:type="dxa"/>
              <w:bottom w:w="80" w:type="dxa"/>
              <w:end w:w="120" w:type="dxa"/>
            </w:tcMar>
          </w:tcPr>
          <w:p>
            <w:r>
              <w:rPr>
                <w:rFonts w:ascii="Calibri" w:hAnsi="Calibri"/>
                <w:sz w:val="18"/>
              </w:rPr>
              <w:t>ADR-001</w:t>
            </w:r>
          </w:p>
        </w:tc>
        <w:tc>
          <w:tcPr>
            <w:tcW w:type="dxa" w:w="3300"/>
            <w:tcMar>
              <w:top w:w="80" w:type="dxa"/>
              <w:start w:w="120" w:type="dxa"/>
              <w:bottom w:w="80" w:type="dxa"/>
              <w:end w:w="120" w:type="dxa"/>
            </w:tcMar>
          </w:tcPr>
          <w:p>
            <w:r>
              <w:rPr>
                <w:rFonts w:ascii="Calibri" w:hAnsi="Calibri"/>
                <w:sz w:val="18"/>
              </w:rPr>
              <w:t>Architecture initiale en modular monolith</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Réduire la complexité opérationnelle tout en conservant des frontières métier strictes.</w:t>
            </w:r>
          </w:p>
        </w:tc>
      </w:tr>
      <w:tr>
        <w:tc>
          <w:tcPr>
            <w:tcW w:type="dxa" w:w="1050"/>
            <w:tcMar>
              <w:top w:w="80" w:type="dxa"/>
              <w:start w:w="120" w:type="dxa"/>
              <w:bottom w:w="80" w:type="dxa"/>
              <w:end w:w="120" w:type="dxa"/>
            </w:tcMar>
          </w:tcPr>
          <w:p>
            <w:r>
              <w:rPr>
                <w:rFonts w:ascii="Calibri" w:hAnsi="Calibri"/>
                <w:sz w:val="18"/>
              </w:rPr>
              <w:t>ADR-002</w:t>
            </w:r>
          </w:p>
        </w:tc>
        <w:tc>
          <w:tcPr>
            <w:tcW w:type="dxa" w:w="3300"/>
            <w:tcMar>
              <w:top w:w="80" w:type="dxa"/>
              <w:start w:w="120" w:type="dxa"/>
              <w:bottom w:w="80" w:type="dxa"/>
              <w:end w:w="120" w:type="dxa"/>
            </w:tcMar>
          </w:tcPr>
          <w:p>
            <w:r>
              <w:rPr>
                <w:rFonts w:ascii="Calibri" w:hAnsi="Calibri"/>
                <w:sz w:val="18"/>
              </w:rPr>
              <w:t>Identifiants externes plutôt qu’aggregates partagés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Préserver l’autonomie des bounded contexts.</w:t>
            </w:r>
          </w:p>
        </w:tc>
      </w:tr>
      <w:tr>
        <w:tc>
          <w:tcPr>
            <w:tcW w:type="dxa" w:w="1050"/>
            <w:tcMar>
              <w:top w:w="80" w:type="dxa"/>
              <w:start w:w="120" w:type="dxa"/>
              <w:bottom w:w="80" w:type="dxa"/>
              <w:end w:w="120" w:type="dxa"/>
            </w:tcMar>
          </w:tcPr>
          <w:p>
            <w:r>
              <w:rPr>
                <w:rFonts w:ascii="Calibri" w:hAnsi="Calibri"/>
                <w:sz w:val="18"/>
              </w:rPr>
              <w:t>ADR-003</w:t>
            </w:r>
          </w:p>
        </w:tc>
        <w:tc>
          <w:tcPr>
            <w:tcW w:type="dxa" w:w="3300"/>
            <w:tcMar>
              <w:top w:w="80" w:type="dxa"/>
              <w:start w:w="120" w:type="dxa"/>
              <w:bottom w:w="80" w:type="dxa"/>
              <w:end w:w="120" w:type="dxa"/>
            </w:tcMar>
          </w:tcPr>
          <w:p>
            <w:r>
              <w:rPr>
                <w:rFonts w:ascii="Calibri" w:hAnsi="Calibri"/>
                <w:sz w:val="18"/>
              </w:rPr>
              <w:t>`OrganizationId` comme frontière de tenant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Garantir l’isolation multi-tenant.</w:t>
            </w:r>
          </w:p>
        </w:tc>
      </w:tr>
      <w:tr>
        <w:tc>
          <w:tcPr>
            <w:tcW w:type="dxa" w:w="1050"/>
            <w:tcMar>
              <w:top w:w="80" w:type="dxa"/>
              <w:start w:w="120" w:type="dxa"/>
              <w:bottom w:w="80" w:type="dxa"/>
              <w:end w:w="120" w:type="dxa"/>
            </w:tcMar>
          </w:tcPr>
          <w:p>
            <w:r>
              <w:rPr>
                <w:rFonts w:ascii="Calibri" w:hAnsi="Calibri"/>
                <w:sz w:val="18"/>
              </w:rPr>
              <w:t>ADR-004</w:t>
            </w:r>
          </w:p>
        </w:tc>
        <w:tc>
          <w:tcPr>
            <w:tcW w:type="dxa" w:w="3300"/>
            <w:tcMar>
              <w:top w:w="80" w:type="dxa"/>
              <w:start w:w="120" w:type="dxa"/>
              <w:bottom w:w="80" w:type="dxa"/>
              <w:end w:w="120" w:type="dxa"/>
            </w:tcMar>
          </w:tcPr>
          <w:p>
            <w:r>
              <w:rPr>
                <w:rFonts w:ascii="Calibri" w:hAnsi="Calibri"/>
                <w:sz w:val="18"/>
              </w:rPr>
              <w:t>`Stock` petit : un produit dans un store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Limiter la contention et la taille des aggregates.</w:t>
            </w:r>
          </w:p>
        </w:tc>
      </w:tr>
      <w:tr>
        <w:tc>
          <w:tcPr>
            <w:tcW w:type="dxa" w:w="1050"/>
            <w:tcMar>
              <w:top w:w="80" w:type="dxa"/>
              <w:start w:w="120" w:type="dxa"/>
              <w:bottom w:w="80" w:type="dxa"/>
              <w:end w:w="120" w:type="dxa"/>
            </w:tcMar>
          </w:tcPr>
          <w:p>
            <w:r>
              <w:rPr>
                <w:rFonts w:ascii="Calibri" w:hAnsi="Calibri"/>
                <w:sz w:val="18"/>
              </w:rPr>
              <w:t>ADR-005</w:t>
            </w:r>
          </w:p>
        </w:tc>
        <w:tc>
          <w:tcPr>
            <w:tcW w:type="dxa" w:w="3300"/>
            <w:tcMar>
              <w:top w:w="80" w:type="dxa"/>
              <w:start w:w="120" w:type="dxa"/>
              <w:bottom w:w="80" w:type="dxa"/>
              <w:end w:w="120" w:type="dxa"/>
            </w:tcMar>
          </w:tcPr>
          <w:p>
            <w:r>
              <w:rPr>
                <w:rFonts w:ascii="Calibri" w:hAnsi="Calibri"/>
                <w:sz w:val="18"/>
              </w:rPr>
              <w:t>`Stock` état courant + `StockMovement` journal</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Lecture opérationnelle efficace et auditabilité sans event sourcing.</w:t>
            </w:r>
          </w:p>
        </w:tc>
      </w:tr>
      <w:tr>
        <w:tc>
          <w:tcPr>
            <w:tcW w:type="dxa" w:w="1050"/>
            <w:tcMar>
              <w:top w:w="80" w:type="dxa"/>
              <w:start w:w="120" w:type="dxa"/>
              <w:bottom w:w="80" w:type="dxa"/>
              <w:end w:w="120" w:type="dxa"/>
            </w:tcMar>
          </w:tcPr>
          <w:p>
            <w:r>
              <w:rPr>
                <w:rFonts w:ascii="Calibri" w:hAnsi="Calibri"/>
                <w:sz w:val="18"/>
              </w:rPr>
              <w:t>ADR-006</w:t>
            </w:r>
          </w:p>
        </w:tc>
        <w:tc>
          <w:tcPr>
            <w:tcW w:type="dxa" w:w="3300"/>
            <w:tcMar>
              <w:top w:w="80" w:type="dxa"/>
              <w:start w:w="120" w:type="dxa"/>
              <w:bottom w:w="80" w:type="dxa"/>
              <w:end w:w="120" w:type="dxa"/>
            </w:tcMar>
          </w:tcPr>
          <w:p>
            <w:r>
              <w:rPr>
                <w:rFonts w:ascii="Calibri" w:hAnsi="Calibri"/>
                <w:sz w:val="18"/>
              </w:rPr>
              <w:t>Mouvements append-only et corrections compensatoires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Ne jamais réécrire l’historique métier.</w:t>
            </w:r>
          </w:p>
        </w:tc>
      </w:tr>
      <w:tr>
        <w:tc>
          <w:tcPr>
            <w:tcW w:type="dxa" w:w="1050"/>
            <w:tcMar>
              <w:top w:w="80" w:type="dxa"/>
              <w:start w:w="120" w:type="dxa"/>
              <w:bottom w:w="80" w:type="dxa"/>
              <w:end w:w="120" w:type="dxa"/>
            </w:tcMar>
          </w:tcPr>
          <w:p>
            <w:r>
              <w:rPr>
                <w:rFonts w:ascii="Calibri" w:hAnsi="Calibri"/>
                <w:sz w:val="18"/>
              </w:rPr>
              <w:t>ADR-007</w:t>
            </w:r>
          </w:p>
        </w:tc>
        <w:tc>
          <w:tcPr>
            <w:tcW w:type="dxa" w:w="3300"/>
            <w:tcMar>
              <w:top w:w="80" w:type="dxa"/>
              <w:start w:w="120" w:type="dxa"/>
              <w:bottom w:w="80" w:type="dxa"/>
              <w:end w:w="120" w:type="dxa"/>
            </w:tcMar>
          </w:tcPr>
          <w:p>
            <w:r>
              <w:rPr>
                <w:rFonts w:ascii="Calibri" w:hAnsi="Calibri"/>
                <w:sz w:val="18"/>
              </w:rPr>
              <w:t>Stock négatif désactivé pour le MVP</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Base cohérente et invariant simple.</w:t>
            </w:r>
          </w:p>
        </w:tc>
      </w:tr>
      <w:tr>
        <w:tc>
          <w:tcPr>
            <w:tcW w:type="dxa" w:w="1050"/>
            <w:tcMar>
              <w:top w:w="80" w:type="dxa"/>
              <w:start w:w="120" w:type="dxa"/>
              <w:bottom w:w="80" w:type="dxa"/>
              <w:end w:w="120" w:type="dxa"/>
            </w:tcMar>
          </w:tcPr>
          <w:p>
            <w:r>
              <w:rPr>
                <w:rFonts w:ascii="Calibri" w:hAnsi="Calibri"/>
                <w:sz w:val="18"/>
              </w:rPr>
              <w:t>ADR-008</w:t>
            </w:r>
          </w:p>
        </w:tc>
        <w:tc>
          <w:tcPr>
            <w:tcW w:type="dxa" w:w="3300"/>
            <w:tcMar>
              <w:top w:w="80" w:type="dxa"/>
              <w:start w:w="120" w:type="dxa"/>
              <w:bottom w:w="80" w:type="dxa"/>
              <w:end w:w="120" w:type="dxa"/>
            </w:tcMar>
          </w:tcPr>
          <w:p>
            <w:r>
              <w:rPr>
                <w:rFonts w:ascii="Calibri" w:hAnsi="Calibri"/>
                <w:sz w:val="18"/>
              </w:rPr>
              <w:t>Quantités décimales exactes</w:t>
            </w:r>
          </w:p>
        </w:tc>
        <w:tc>
          <w:tcPr>
            <w:tcW w:type="dxa" w:w="1500"/>
            <w:tcMar>
              <w:top w:w="80" w:type="dxa"/>
              <w:start w:w="120" w:type="dxa"/>
              <w:bottom w:w="80" w:type="dxa"/>
              <w:end w:w="120" w:type="dxa"/>
            </w:tcMar>
          </w:tcPr>
          <w:p>
            <w:r>
              <w:rPr>
                <w:rFonts w:ascii="Calibri" w:hAnsi="Calibri"/>
                <w:sz w:val="18"/>
              </w:rPr>
              <w:t>PROPOSÉ</w:t>
            </w:r>
          </w:p>
        </w:tc>
        <w:tc>
          <w:tcPr>
            <w:tcW w:type="dxa" w:w="3510"/>
            <w:tcMar>
              <w:top w:w="80" w:type="dxa"/>
              <w:start w:w="120" w:type="dxa"/>
              <w:bottom w:w="80" w:type="dxa"/>
              <w:end w:w="120" w:type="dxa"/>
            </w:tcMar>
          </w:tcPr>
          <w:p>
            <w:r>
              <w:rPr>
                <w:rFonts w:ascii="Calibri" w:hAnsi="Calibri"/>
                <w:sz w:val="18"/>
              </w:rPr>
              <w:t>Préparer les ventes au poids ou à la longueur.</w:t>
            </w:r>
          </w:p>
        </w:tc>
      </w:tr>
      <w:tr>
        <w:tc>
          <w:tcPr>
            <w:tcW w:type="dxa" w:w="1050"/>
            <w:tcMar>
              <w:top w:w="80" w:type="dxa"/>
              <w:start w:w="120" w:type="dxa"/>
              <w:bottom w:w="80" w:type="dxa"/>
              <w:end w:w="120" w:type="dxa"/>
            </w:tcMar>
          </w:tcPr>
          <w:p>
            <w:r>
              <w:rPr>
                <w:rFonts w:ascii="Calibri" w:hAnsi="Calibri"/>
                <w:sz w:val="18"/>
              </w:rPr>
              <w:t>ADR-009</w:t>
            </w:r>
          </w:p>
        </w:tc>
        <w:tc>
          <w:tcPr>
            <w:tcW w:type="dxa" w:w="3300"/>
            <w:tcMar>
              <w:top w:w="80" w:type="dxa"/>
              <w:start w:w="120" w:type="dxa"/>
              <w:bottom w:w="80" w:type="dxa"/>
              <w:end w:w="120" w:type="dxa"/>
            </w:tcMar>
          </w:tcPr>
          <w:p>
            <w:r>
              <w:rPr>
                <w:rFonts w:ascii="Calibri" w:hAnsi="Calibri"/>
                <w:sz w:val="18"/>
              </w:rPr>
              <w:t>Idempotence des opérations externes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Tolérer retries et redelivery sans doublon.</w:t>
            </w:r>
          </w:p>
        </w:tc>
      </w:tr>
      <w:tr>
        <w:tc>
          <w:tcPr>
            <w:tcW w:type="dxa" w:w="1050"/>
            <w:tcMar>
              <w:top w:w="80" w:type="dxa"/>
              <w:start w:w="120" w:type="dxa"/>
              <w:bottom w:w="80" w:type="dxa"/>
              <w:end w:w="120" w:type="dxa"/>
            </w:tcMar>
          </w:tcPr>
          <w:p>
            <w:r>
              <w:rPr>
                <w:rFonts w:ascii="Calibri" w:hAnsi="Calibri"/>
                <w:sz w:val="18"/>
              </w:rPr>
              <w:t>ADR-010</w:t>
            </w:r>
          </w:p>
        </w:tc>
        <w:tc>
          <w:tcPr>
            <w:tcW w:type="dxa" w:w="3300"/>
            <w:tcMar>
              <w:top w:w="80" w:type="dxa"/>
              <w:start w:w="120" w:type="dxa"/>
              <w:bottom w:w="80" w:type="dxa"/>
              <w:end w:w="120" w:type="dxa"/>
            </w:tcMar>
          </w:tcPr>
          <w:p>
            <w:r>
              <w:rPr>
                <w:rFonts w:ascii="Calibri" w:hAnsi="Calibri"/>
                <w:sz w:val="18"/>
              </w:rPr>
              <w:t>Transaction atomique Stock + Movement + Outbox</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les états partiels.</w:t>
            </w:r>
          </w:p>
        </w:tc>
      </w:tr>
      <w:tr>
        <w:tc>
          <w:tcPr>
            <w:tcW w:type="dxa" w:w="1050"/>
            <w:tcMar>
              <w:top w:w="80" w:type="dxa"/>
              <w:start w:w="120" w:type="dxa"/>
              <w:bottom w:w="80" w:type="dxa"/>
              <w:end w:w="120" w:type="dxa"/>
            </w:tcMar>
          </w:tcPr>
          <w:p>
            <w:r>
              <w:rPr>
                <w:rFonts w:ascii="Calibri" w:hAnsi="Calibri"/>
                <w:sz w:val="18"/>
              </w:rPr>
              <w:t>ADR-011</w:t>
            </w:r>
          </w:p>
        </w:tc>
        <w:tc>
          <w:tcPr>
            <w:tcW w:type="dxa" w:w="3300"/>
            <w:tcMar>
              <w:top w:w="80" w:type="dxa"/>
              <w:start w:w="120" w:type="dxa"/>
              <w:bottom w:w="80" w:type="dxa"/>
              <w:end w:w="120" w:type="dxa"/>
            </w:tcMar>
          </w:tcPr>
          <w:p>
            <w:r>
              <w:rPr>
                <w:rFonts w:ascii="Calibri" w:hAnsi="Calibri"/>
                <w:sz w:val="18"/>
              </w:rPr>
              <w:t>Synchronisme pour invariants critiques, events pour le secondaire</w:t>
            </w:r>
          </w:p>
        </w:tc>
        <w:tc>
          <w:tcPr>
            <w:tcW w:type="dxa" w:w="1500"/>
            <w:tcMar>
              <w:top w:w="80" w:type="dxa"/>
              <w:start w:w="120" w:type="dxa"/>
              <w:bottom w:w="80" w:type="dxa"/>
              <w:end w:w="120" w:type="dxa"/>
            </w:tcMar>
          </w:tcPr>
          <w:p>
            <w:r>
              <w:rPr>
                <w:rFonts w:ascii="Calibri" w:hAnsi="Calibri"/>
                <w:sz w:val="18"/>
              </w:rPr>
              <w:t>PROPOSÉ</w:t>
            </w:r>
          </w:p>
        </w:tc>
        <w:tc>
          <w:tcPr>
            <w:tcW w:type="dxa" w:w="3510"/>
            <w:tcMar>
              <w:top w:w="80" w:type="dxa"/>
              <w:start w:w="120" w:type="dxa"/>
              <w:bottom w:w="80" w:type="dxa"/>
              <w:end w:w="120" w:type="dxa"/>
            </w:tcMar>
          </w:tcPr>
          <w:p>
            <w:r>
              <w:rPr>
                <w:rFonts w:ascii="Calibri" w:hAnsi="Calibri"/>
                <w:sz w:val="18"/>
              </w:rPr>
              <w:t>Concilier cohérence critique et découplage.</w:t>
            </w:r>
          </w:p>
        </w:tc>
      </w:tr>
      <w:tr>
        <w:tc>
          <w:tcPr>
            <w:tcW w:type="dxa" w:w="1050"/>
            <w:tcMar>
              <w:top w:w="80" w:type="dxa"/>
              <w:start w:w="120" w:type="dxa"/>
              <w:bottom w:w="80" w:type="dxa"/>
              <w:end w:w="120" w:type="dxa"/>
            </w:tcMar>
          </w:tcPr>
          <w:p>
            <w:r>
              <w:rPr>
                <w:rFonts w:ascii="Calibri" w:hAnsi="Calibri"/>
                <w:sz w:val="18"/>
              </w:rPr>
              <w:t>ADR-012</w:t>
            </w:r>
          </w:p>
        </w:tc>
        <w:tc>
          <w:tcPr>
            <w:tcW w:type="dxa" w:w="3300"/>
            <w:tcMar>
              <w:top w:w="80" w:type="dxa"/>
              <w:start w:w="120" w:type="dxa"/>
              <w:bottom w:w="80" w:type="dxa"/>
              <w:end w:w="120" w:type="dxa"/>
            </w:tcMar>
          </w:tcPr>
          <w:p>
            <w:r>
              <w:rPr>
                <w:rFonts w:ascii="Calibri" w:hAnsi="Calibri"/>
                <w:sz w:val="18"/>
              </w:rPr>
              <w:t>Retour physique distinct du remboursement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une remise en stock automatique erronée.</w:t>
            </w:r>
          </w:p>
        </w:tc>
      </w:tr>
      <w:tr>
        <w:tc>
          <w:tcPr>
            <w:tcW w:type="dxa" w:w="1050"/>
            <w:tcMar>
              <w:top w:w="80" w:type="dxa"/>
              <w:start w:w="120" w:type="dxa"/>
              <w:bottom w:w="80" w:type="dxa"/>
              <w:end w:w="120" w:type="dxa"/>
            </w:tcMar>
          </w:tcPr>
          <w:p>
            <w:r>
              <w:rPr>
                <w:rFonts w:ascii="Calibri" w:hAnsi="Calibri"/>
                <w:sz w:val="18"/>
              </w:rPr>
              <w:t>ADR-013</w:t>
            </w:r>
          </w:p>
        </w:tc>
        <w:tc>
          <w:tcPr>
            <w:tcW w:type="dxa" w:w="3300"/>
            <w:tcMar>
              <w:top w:w="80" w:type="dxa"/>
              <w:start w:w="120" w:type="dxa"/>
              <w:bottom w:w="80" w:type="dxa"/>
              <w:end w:w="120" w:type="dxa"/>
            </w:tcMar>
          </w:tcPr>
          <w:p>
            <w:r>
              <w:rPr>
                <w:rFonts w:ascii="Calibri" w:hAnsi="Calibri"/>
                <w:sz w:val="18"/>
              </w:rPr>
              <w:t>`StockTransfer` : expédition et réception uniques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Modèle MVP simple, auditable et idempotent.</w:t>
            </w:r>
          </w:p>
        </w:tc>
      </w:tr>
      <w:tr>
        <w:tc>
          <w:tcPr>
            <w:tcW w:type="dxa" w:w="1050"/>
            <w:tcMar>
              <w:top w:w="80" w:type="dxa"/>
              <w:start w:w="120" w:type="dxa"/>
              <w:bottom w:w="80" w:type="dxa"/>
              <w:end w:w="120" w:type="dxa"/>
            </w:tcMar>
          </w:tcPr>
          <w:p>
            <w:r>
              <w:rPr>
                <w:rFonts w:ascii="Calibri" w:hAnsi="Calibri"/>
                <w:sz w:val="18"/>
              </w:rPr>
              <w:t>ADR-014</w:t>
            </w:r>
          </w:p>
        </w:tc>
        <w:tc>
          <w:tcPr>
            <w:tcW w:type="dxa" w:w="3300"/>
            <w:tcMar>
              <w:top w:w="80" w:type="dxa"/>
              <w:start w:w="120" w:type="dxa"/>
              <w:bottom w:w="80" w:type="dxa"/>
              <w:end w:w="120" w:type="dxa"/>
            </w:tcMar>
          </w:tcPr>
          <w:p>
            <w:r>
              <w:rPr>
                <w:rFonts w:ascii="Calibri" w:hAnsi="Calibri"/>
                <w:sz w:val="18"/>
              </w:rPr>
              <w:t>Bornes des quantités de transfert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Empêcher la création implicite de stock par transfert.</w:t>
            </w:r>
          </w:p>
        </w:tc>
      </w:tr>
      <w:tr>
        <w:tc>
          <w:tcPr>
            <w:tcW w:type="dxa" w:w="1050"/>
            <w:tcMar>
              <w:top w:w="80" w:type="dxa"/>
              <w:start w:w="120" w:type="dxa"/>
              <w:bottom w:w="80" w:type="dxa"/>
              <w:end w:w="120" w:type="dxa"/>
            </w:tcMar>
          </w:tcPr>
          <w:p>
            <w:r>
              <w:rPr>
                <w:rFonts w:ascii="Calibri" w:hAnsi="Calibri"/>
                <w:sz w:val="18"/>
              </w:rPr>
              <w:t>ADR-015</w:t>
            </w:r>
          </w:p>
        </w:tc>
        <w:tc>
          <w:tcPr>
            <w:tcW w:type="dxa" w:w="3300"/>
            <w:tcMar>
              <w:top w:w="80" w:type="dxa"/>
              <w:start w:w="120" w:type="dxa"/>
              <w:bottom w:w="80" w:type="dxa"/>
              <w:end w:w="120" w:type="dxa"/>
            </w:tcMar>
          </w:tcPr>
          <w:p>
            <w:r>
              <w:rPr>
                <w:rFonts w:ascii="Calibri" w:hAnsi="Calibri"/>
                <w:sz w:val="18"/>
              </w:rPr>
              <w:t>`StockCountLine` comme aggregate séparé</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un aggregate géant et permettre le comptage concurrent.</w:t>
            </w:r>
          </w:p>
        </w:tc>
      </w:tr>
      <w:tr>
        <w:tc>
          <w:tcPr>
            <w:tcW w:type="dxa" w:w="1050"/>
            <w:tcMar>
              <w:top w:w="80" w:type="dxa"/>
              <w:start w:w="120" w:type="dxa"/>
              <w:bottom w:w="80" w:type="dxa"/>
              <w:end w:w="120" w:type="dxa"/>
            </w:tcMar>
          </w:tcPr>
          <w:p>
            <w:r>
              <w:rPr>
                <w:rFonts w:ascii="Calibri" w:hAnsi="Calibri"/>
                <w:sz w:val="18"/>
              </w:rPr>
              <w:t>ADR-016</w:t>
            </w:r>
          </w:p>
        </w:tc>
        <w:tc>
          <w:tcPr>
            <w:tcW w:type="dxa" w:w="3300"/>
            <w:tcMar>
              <w:top w:w="80" w:type="dxa"/>
              <w:start w:w="120" w:type="dxa"/>
              <w:bottom w:w="80" w:type="dxa"/>
              <w:end w:w="120" w:type="dxa"/>
            </w:tcMar>
          </w:tcPr>
          <w:p>
            <w:r>
              <w:rPr>
                <w:rFonts w:ascii="Calibri" w:hAnsi="Calibri"/>
                <w:sz w:val="18"/>
              </w:rPr>
              <w:t>Blocage ciblé des mouvements pendant le comptage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Garantir la validité du snapshot.</w:t>
            </w:r>
          </w:p>
        </w:tc>
      </w:tr>
      <w:tr>
        <w:tc>
          <w:tcPr>
            <w:tcW w:type="dxa" w:w="1050"/>
            <w:tcMar>
              <w:top w:w="80" w:type="dxa"/>
              <w:start w:w="120" w:type="dxa"/>
              <w:bottom w:w="80" w:type="dxa"/>
              <w:end w:w="120" w:type="dxa"/>
            </w:tcMar>
          </w:tcPr>
          <w:p>
            <w:r>
              <w:rPr>
                <w:rFonts w:ascii="Calibri" w:hAnsi="Calibri"/>
                <w:sz w:val="18"/>
              </w:rPr>
              <w:t>ADR-017</w:t>
            </w:r>
          </w:p>
        </w:tc>
        <w:tc>
          <w:tcPr>
            <w:tcW w:type="dxa" w:w="3300"/>
            <w:tcMar>
              <w:top w:w="80" w:type="dxa"/>
              <w:start w:w="120" w:type="dxa"/>
              <w:bottom w:w="80" w:type="dxa"/>
              <w:end w:w="120" w:type="dxa"/>
            </w:tcMar>
          </w:tcPr>
          <w:p>
            <w:r>
              <w:rPr>
                <w:rFonts w:ascii="Calibri" w:hAnsi="Calibri"/>
                <w:sz w:val="18"/>
              </w:rPr>
              <w:t>Réconciliation par lots en `FINALIZING`</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Supporter les grands inventaires et la reprise après incident.</w:t>
            </w:r>
          </w:p>
        </w:tc>
      </w:tr>
      <w:tr>
        <w:tc>
          <w:tcPr>
            <w:tcW w:type="dxa" w:w="1050"/>
            <w:tcMar>
              <w:top w:w="80" w:type="dxa"/>
              <w:start w:w="120" w:type="dxa"/>
              <w:bottom w:w="80" w:type="dxa"/>
              <w:end w:w="120" w:type="dxa"/>
            </w:tcMar>
          </w:tcPr>
          <w:p>
            <w:r>
              <w:rPr>
                <w:rFonts w:ascii="Calibri" w:hAnsi="Calibri"/>
                <w:sz w:val="18"/>
              </w:rPr>
              <w:t>ADR-018</w:t>
            </w:r>
          </w:p>
        </w:tc>
        <w:tc>
          <w:tcPr>
            <w:tcW w:type="dxa" w:w="3300"/>
            <w:tcMar>
              <w:top w:w="80" w:type="dxa"/>
              <w:start w:w="120" w:type="dxa"/>
              <w:bottom w:w="80" w:type="dxa"/>
              <w:end w:w="120" w:type="dxa"/>
            </w:tcMar>
          </w:tcPr>
          <w:p>
            <w:r>
              <w:rPr>
                <w:rFonts w:ascii="Calibri" w:hAnsi="Calibri"/>
                <w:sz w:val="18"/>
              </w:rPr>
              <w:t>Types de correction IN/OUT distincts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Conserver une direction dérivée du type de mouvement.</w:t>
            </w:r>
          </w:p>
        </w:tc>
      </w:tr>
      <w:tr>
        <w:tc>
          <w:tcPr>
            <w:tcW w:type="dxa" w:w="1050"/>
            <w:tcMar>
              <w:top w:w="80" w:type="dxa"/>
              <w:start w:w="120" w:type="dxa"/>
              <w:bottom w:w="80" w:type="dxa"/>
              <w:end w:w="120" w:type="dxa"/>
            </w:tcMar>
          </w:tcPr>
          <w:p>
            <w:r>
              <w:rPr>
                <w:rFonts w:ascii="Calibri" w:hAnsi="Calibri"/>
                <w:sz w:val="18"/>
              </w:rPr>
              <w:t>ADR-019</w:t>
            </w:r>
          </w:p>
        </w:tc>
        <w:tc>
          <w:tcPr>
            <w:tcW w:type="dxa" w:w="3300"/>
            <w:tcMar>
              <w:top w:w="80" w:type="dxa"/>
              <w:start w:w="120" w:type="dxa"/>
              <w:bottom w:w="80" w:type="dxa"/>
              <w:end w:w="120" w:type="dxa"/>
            </w:tcMar>
          </w:tcPr>
          <w:p>
            <w:r>
              <w:rPr>
                <w:rFonts w:ascii="Calibri" w:hAnsi="Calibri"/>
                <w:sz w:val="18"/>
              </w:rPr>
              <w:t>`PurchaseOrder` et `GoodsReceipt` séparés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Supporter les livraisons partielles multiples.</w:t>
            </w:r>
          </w:p>
        </w:tc>
      </w:tr>
      <w:tr>
        <w:tc>
          <w:tcPr>
            <w:tcW w:type="dxa" w:w="1050"/>
            <w:tcMar>
              <w:top w:w="80" w:type="dxa"/>
              <w:start w:w="120" w:type="dxa"/>
              <w:bottom w:w="80" w:type="dxa"/>
              <w:end w:w="120" w:type="dxa"/>
            </w:tcMar>
          </w:tcPr>
          <w:p>
            <w:r>
              <w:rPr>
                <w:rFonts w:ascii="Calibri" w:hAnsi="Calibri"/>
                <w:sz w:val="18"/>
              </w:rPr>
              <w:t>ADR-020</w:t>
            </w:r>
          </w:p>
        </w:tc>
        <w:tc>
          <w:tcPr>
            <w:tcW w:type="dxa" w:w="3300"/>
            <w:tcMar>
              <w:top w:w="80" w:type="dxa"/>
              <w:start w:w="120" w:type="dxa"/>
              <w:bottom w:w="80" w:type="dxa"/>
              <w:end w:w="120" w:type="dxa"/>
            </w:tcMar>
          </w:tcPr>
          <w:p>
            <w:r>
              <w:rPr>
                <w:rFonts w:ascii="Calibri" w:hAnsi="Calibri"/>
                <w:sz w:val="18"/>
              </w:rPr>
              <w:t>`PostGoodsReceipt` transactionnel avec `Inventory`</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toute réception commerciale sans stock correspondant.</w:t>
            </w:r>
          </w:p>
        </w:tc>
      </w:tr>
      <w:tr>
        <w:tc>
          <w:tcPr>
            <w:tcW w:type="dxa" w:w="1050"/>
            <w:tcMar>
              <w:top w:w="80" w:type="dxa"/>
              <w:start w:w="120" w:type="dxa"/>
              <w:bottom w:w="80" w:type="dxa"/>
              <w:end w:w="120" w:type="dxa"/>
            </w:tcMar>
          </w:tcPr>
          <w:p>
            <w:r>
              <w:rPr>
                <w:rFonts w:ascii="Calibri" w:hAnsi="Calibri"/>
                <w:sz w:val="18"/>
              </w:rPr>
              <w:t>ADR-021</w:t>
            </w:r>
          </w:p>
        </w:tc>
        <w:tc>
          <w:tcPr>
            <w:tcW w:type="dxa" w:w="3300"/>
            <w:tcMar>
              <w:top w:w="80" w:type="dxa"/>
              <w:start w:w="120" w:type="dxa"/>
              <w:bottom w:w="80" w:type="dxa"/>
              <w:end w:w="120" w:type="dxa"/>
            </w:tcMar>
          </w:tcPr>
          <w:p>
            <w:r>
              <w:rPr>
                <w:rFonts w:ascii="Calibri" w:hAnsi="Calibri"/>
                <w:sz w:val="18"/>
              </w:rPr>
              <w:t>Réception directe autorisée par politique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Accommoder les achats sans commande du MVP.</w:t>
            </w:r>
          </w:p>
        </w:tc>
      </w:tr>
      <w:tr>
        <w:tc>
          <w:tcPr>
            <w:tcW w:type="dxa" w:w="1050"/>
            <w:tcMar>
              <w:top w:w="80" w:type="dxa"/>
              <w:start w:w="120" w:type="dxa"/>
              <w:bottom w:w="80" w:type="dxa"/>
              <w:end w:w="120" w:type="dxa"/>
            </w:tcMar>
          </w:tcPr>
          <w:p>
            <w:r>
              <w:rPr>
                <w:rFonts w:ascii="Calibri" w:hAnsi="Calibri"/>
                <w:sz w:val="18"/>
              </w:rPr>
              <w:t>ADR-022</w:t>
            </w:r>
          </w:p>
        </w:tc>
        <w:tc>
          <w:tcPr>
            <w:tcW w:type="dxa" w:w="3300"/>
            <w:tcMar>
              <w:top w:w="80" w:type="dxa"/>
              <w:start w:w="120" w:type="dxa"/>
              <w:bottom w:w="80" w:type="dxa"/>
              <w:end w:w="120" w:type="dxa"/>
            </w:tcMar>
          </w:tcPr>
          <w:p>
            <w:r>
              <w:rPr>
                <w:rFonts w:ascii="Calibri" w:hAnsi="Calibri"/>
                <w:sz w:val="18"/>
              </w:rPr>
              <w:t>`PurchaseReturn` distinct de la correction</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Séparer retour physique et erreur documentaire.</w:t>
            </w:r>
          </w:p>
        </w:tc>
      </w:tr>
      <w:tr>
        <w:tc>
          <w:tcPr>
            <w:tcW w:type="dxa" w:w="1050"/>
            <w:tcMar>
              <w:top w:w="80" w:type="dxa"/>
              <w:start w:w="120" w:type="dxa"/>
              <w:bottom w:w="80" w:type="dxa"/>
              <w:end w:w="120" w:type="dxa"/>
            </w:tcMar>
          </w:tcPr>
          <w:p>
            <w:r>
              <w:rPr>
                <w:rFonts w:ascii="Calibri" w:hAnsi="Calibri"/>
                <w:sz w:val="18"/>
              </w:rPr>
              <w:t>ADR-023</w:t>
            </w:r>
          </w:p>
        </w:tc>
        <w:tc>
          <w:tcPr>
            <w:tcW w:type="dxa" w:w="3300"/>
            <w:tcMar>
              <w:top w:w="80" w:type="dxa"/>
              <w:start w:w="120" w:type="dxa"/>
              <w:bottom w:w="80" w:type="dxa"/>
              <w:end w:w="120" w:type="dxa"/>
            </w:tcMar>
          </w:tcPr>
          <w:p>
            <w:r>
              <w:rPr>
                <w:rFonts w:ascii="Calibri" w:hAnsi="Calibri"/>
                <w:sz w:val="18"/>
              </w:rPr>
              <w:t>`GoodsReceiptCorrection` compensatoire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Préserver l’immutabilité de la réception publiée.</w:t>
            </w:r>
          </w:p>
        </w:tc>
      </w:tr>
      <w:tr>
        <w:tc>
          <w:tcPr>
            <w:tcW w:type="dxa" w:w="1050"/>
            <w:tcMar>
              <w:top w:w="80" w:type="dxa"/>
              <w:start w:w="120" w:type="dxa"/>
              <w:bottom w:w="80" w:type="dxa"/>
              <w:end w:w="120" w:type="dxa"/>
            </w:tcMar>
          </w:tcPr>
          <w:p>
            <w:r>
              <w:rPr>
                <w:rFonts w:ascii="Calibri" w:hAnsi="Calibri"/>
                <w:sz w:val="18"/>
              </w:rPr>
              <w:t>ADR-024</w:t>
            </w:r>
          </w:p>
        </w:tc>
        <w:tc>
          <w:tcPr>
            <w:tcW w:type="dxa" w:w="3300"/>
            <w:tcMar>
              <w:top w:w="80" w:type="dxa"/>
              <w:start w:w="120" w:type="dxa"/>
              <w:bottom w:w="80" w:type="dxa"/>
              <w:end w:w="120" w:type="dxa"/>
            </w:tcMar>
          </w:tcPr>
          <w:p>
            <w:r>
              <w:rPr>
                <w:rFonts w:ascii="Calibri" w:hAnsi="Calibri"/>
                <w:sz w:val="18"/>
              </w:rPr>
              <w:t>Accès porté par `OrganizationMembership`</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Séparer identité globale et droits dans un tenant.</w:t>
            </w:r>
          </w:p>
        </w:tc>
      </w:tr>
      <w:tr>
        <w:tc>
          <w:tcPr>
            <w:tcW w:type="dxa" w:w="1050"/>
            <w:tcMar>
              <w:top w:w="80" w:type="dxa"/>
              <w:start w:w="120" w:type="dxa"/>
              <w:bottom w:w="80" w:type="dxa"/>
              <w:end w:w="120" w:type="dxa"/>
            </w:tcMar>
          </w:tcPr>
          <w:p>
            <w:r>
              <w:rPr>
                <w:rFonts w:ascii="Calibri" w:hAnsi="Calibri"/>
                <w:sz w:val="18"/>
              </w:rPr>
              <w:t>ADR-025</w:t>
            </w:r>
          </w:p>
        </w:tc>
        <w:tc>
          <w:tcPr>
            <w:tcW w:type="dxa" w:w="3300"/>
            <w:tcMar>
              <w:top w:w="80" w:type="dxa"/>
              <w:start w:w="120" w:type="dxa"/>
              <w:bottom w:w="80" w:type="dxa"/>
              <w:end w:w="120" w:type="dxa"/>
            </w:tcMar>
          </w:tcPr>
          <w:p>
            <w:r>
              <w:rPr>
                <w:rFonts w:ascii="Calibri" w:hAnsi="Calibri"/>
                <w:sz w:val="18"/>
              </w:rPr>
              <w:t>Permissions atomiques et scopes explicites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les rôles codés dans les domaines.</w:t>
            </w:r>
          </w:p>
        </w:tc>
      </w:tr>
      <w:tr>
        <w:tc>
          <w:tcPr>
            <w:tcW w:type="dxa" w:w="1050"/>
            <w:tcMar>
              <w:top w:w="80" w:type="dxa"/>
              <w:start w:w="120" w:type="dxa"/>
              <w:bottom w:w="80" w:type="dxa"/>
              <w:end w:w="120" w:type="dxa"/>
            </w:tcMar>
          </w:tcPr>
          <w:p>
            <w:r>
              <w:rPr>
                <w:rFonts w:ascii="Calibri" w:hAnsi="Calibri"/>
                <w:sz w:val="18"/>
              </w:rPr>
              <w:t>ADR-026</w:t>
            </w:r>
          </w:p>
        </w:tc>
        <w:tc>
          <w:tcPr>
            <w:tcW w:type="dxa" w:w="3300"/>
            <w:tcMar>
              <w:top w:w="80" w:type="dxa"/>
              <w:start w:w="120" w:type="dxa"/>
              <w:bottom w:w="80" w:type="dxa"/>
              <w:end w:w="120" w:type="dxa"/>
            </w:tcMar>
          </w:tcPr>
          <w:p>
            <w:r>
              <w:rPr>
                <w:rFonts w:ascii="Calibri" w:hAnsi="Calibri"/>
                <w:sz w:val="18"/>
              </w:rPr>
              <w:t>Protection du dernier owner</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Prévenir la perte de gouvernance du tenant.</w:t>
            </w:r>
          </w:p>
        </w:tc>
      </w:tr>
      <w:tr>
        <w:tc>
          <w:tcPr>
            <w:tcW w:type="dxa" w:w="1050"/>
            <w:tcMar>
              <w:top w:w="80" w:type="dxa"/>
              <w:start w:w="120" w:type="dxa"/>
              <w:bottom w:w="80" w:type="dxa"/>
              <w:end w:w="120" w:type="dxa"/>
            </w:tcMar>
          </w:tcPr>
          <w:p>
            <w:r>
              <w:rPr>
                <w:rFonts w:ascii="Calibri" w:hAnsi="Calibri"/>
                <w:sz w:val="18"/>
              </w:rPr>
              <w:t>ADR-027</w:t>
            </w:r>
          </w:p>
        </w:tc>
        <w:tc>
          <w:tcPr>
            <w:tcW w:type="dxa" w:w="3300"/>
            <w:tcMar>
              <w:top w:w="80" w:type="dxa"/>
              <w:start w:w="120" w:type="dxa"/>
              <w:bottom w:w="80" w:type="dxa"/>
              <w:end w:w="120" w:type="dxa"/>
            </w:tcMar>
          </w:tcPr>
          <w:p>
            <w:r>
              <w:rPr>
                <w:rFonts w:ascii="Calibri" w:hAnsi="Calibri"/>
                <w:sz w:val="18"/>
              </w:rPr>
              <w:t>`ActorContext` comme source de tenant et acteur</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Interdire l’usurpation depuis le payload.</w:t>
            </w:r>
          </w:p>
        </w:tc>
      </w:tr>
      <w:tr>
        <w:tc>
          <w:tcPr>
            <w:tcW w:type="dxa" w:w="1050"/>
            <w:tcMar>
              <w:top w:w="80" w:type="dxa"/>
              <w:start w:w="120" w:type="dxa"/>
              <w:bottom w:w="80" w:type="dxa"/>
              <w:end w:w="120" w:type="dxa"/>
            </w:tcMar>
          </w:tcPr>
          <w:p>
            <w:r>
              <w:rPr>
                <w:rFonts w:ascii="Calibri" w:hAnsi="Calibri"/>
                <w:sz w:val="18"/>
              </w:rPr>
              <w:t>ADR-028</w:t>
            </w:r>
          </w:p>
        </w:tc>
        <w:tc>
          <w:tcPr>
            <w:tcW w:type="dxa" w:w="3300"/>
            <w:tcMar>
              <w:top w:w="80" w:type="dxa"/>
              <w:start w:w="120" w:type="dxa"/>
              <w:bottom w:w="80" w:type="dxa"/>
              <w:end w:w="120" w:type="dxa"/>
            </w:tcMar>
          </w:tcPr>
          <w:p>
            <w:r>
              <w:rPr>
                <w:rFonts w:ascii="Calibri" w:hAnsi="Calibri"/>
                <w:sz w:val="18"/>
              </w:rPr>
              <w:t>Fermeture de store par `StoreClosure`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Coordonner les blockers multi-contextes.</w:t>
            </w:r>
          </w:p>
        </w:tc>
      </w:tr>
      <w:tr>
        <w:tc>
          <w:tcPr>
            <w:tcW w:type="dxa" w:w="1050"/>
            <w:tcMar>
              <w:top w:w="80" w:type="dxa"/>
              <w:start w:w="120" w:type="dxa"/>
              <w:bottom w:w="80" w:type="dxa"/>
              <w:end w:w="120" w:type="dxa"/>
            </w:tcMar>
          </w:tcPr>
          <w:p>
            <w:r>
              <w:rPr>
                <w:rFonts w:ascii="Calibri" w:hAnsi="Calibri"/>
                <w:sz w:val="18"/>
              </w:rPr>
              <w:t>ADR-029</w:t>
            </w:r>
          </w:p>
        </w:tc>
        <w:tc>
          <w:tcPr>
            <w:tcW w:type="dxa" w:w="3300"/>
            <w:tcMar>
              <w:top w:w="80" w:type="dxa"/>
              <w:start w:w="120" w:type="dxa"/>
              <w:bottom w:w="80" w:type="dxa"/>
              <w:end w:w="120" w:type="dxa"/>
            </w:tcMar>
          </w:tcPr>
          <w:p>
            <w:r>
              <w:rPr>
                <w:rFonts w:ascii="Calibri" w:hAnsi="Calibri"/>
                <w:sz w:val="18"/>
              </w:rPr>
              <w:t>Séparation events, ledgers, security et technical audit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Préserver la finalité et la rétention de chaque trace.</w:t>
            </w:r>
          </w:p>
        </w:tc>
      </w:tr>
      <w:tr>
        <w:tc>
          <w:tcPr>
            <w:tcW w:type="dxa" w:w="1050"/>
            <w:tcMar>
              <w:top w:w="80" w:type="dxa"/>
              <w:start w:w="120" w:type="dxa"/>
              <w:bottom w:w="80" w:type="dxa"/>
              <w:end w:w="120" w:type="dxa"/>
            </w:tcMar>
          </w:tcPr>
          <w:p>
            <w:r>
              <w:rPr>
                <w:rFonts w:ascii="Calibri" w:hAnsi="Calibri"/>
                <w:sz w:val="18"/>
              </w:rPr>
              <w:t>ADR-030</w:t>
            </w:r>
          </w:p>
        </w:tc>
        <w:tc>
          <w:tcPr>
            <w:tcW w:type="dxa" w:w="3300"/>
            <w:tcMar>
              <w:top w:w="80" w:type="dxa"/>
              <w:start w:w="120" w:type="dxa"/>
              <w:bottom w:w="80" w:type="dxa"/>
              <w:end w:w="120" w:type="dxa"/>
            </w:tcMar>
          </w:tcPr>
          <w:p>
            <w:r>
              <w:rPr>
                <w:rFonts w:ascii="Calibri" w:hAnsi="Calibri"/>
                <w:sz w:val="18"/>
              </w:rPr>
              <w:t>Event envelope versionnée et causalité</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Permettre évolution, idempotence et diagnostic.</w:t>
            </w:r>
          </w:p>
        </w:tc>
      </w:tr>
      <w:tr>
        <w:tc>
          <w:tcPr>
            <w:tcW w:type="dxa" w:w="1050"/>
            <w:tcMar>
              <w:top w:w="80" w:type="dxa"/>
              <w:start w:w="120" w:type="dxa"/>
              <w:bottom w:w="80" w:type="dxa"/>
              <w:end w:w="120" w:type="dxa"/>
            </w:tcMar>
          </w:tcPr>
          <w:p>
            <w:r>
              <w:rPr>
                <w:rFonts w:ascii="Calibri" w:hAnsi="Calibri"/>
                <w:sz w:val="18"/>
              </w:rPr>
              <w:t>ADR-031</w:t>
            </w:r>
          </w:p>
        </w:tc>
        <w:tc>
          <w:tcPr>
            <w:tcW w:type="dxa" w:w="3300"/>
            <w:tcMar>
              <w:top w:w="80" w:type="dxa"/>
              <w:start w:w="120" w:type="dxa"/>
              <w:bottom w:w="80" w:type="dxa"/>
              <w:end w:w="120" w:type="dxa"/>
            </w:tcMar>
          </w:tcPr>
          <w:p>
            <w:r>
              <w:rPr>
                <w:rFonts w:ascii="Calibri" w:hAnsi="Calibri"/>
                <w:sz w:val="18"/>
              </w:rPr>
              <w:t>Chaque SKU vendable est un `Product`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la complexité prématurée des variants.</w:t>
            </w:r>
          </w:p>
        </w:tc>
      </w:tr>
      <w:tr>
        <w:tc>
          <w:tcPr>
            <w:tcW w:type="dxa" w:w="1050"/>
            <w:tcMar>
              <w:top w:w="80" w:type="dxa"/>
              <w:start w:w="120" w:type="dxa"/>
              <w:bottom w:w="80" w:type="dxa"/>
              <w:end w:w="120" w:type="dxa"/>
            </w:tcMar>
          </w:tcPr>
          <w:p>
            <w:r>
              <w:rPr>
                <w:rFonts w:ascii="Calibri" w:hAnsi="Calibri"/>
                <w:sz w:val="18"/>
              </w:rPr>
              <w:t>ADR-032</w:t>
            </w:r>
          </w:p>
        </w:tc>
        <w:tc>
          <w:tcPr>
            <w:tcW w:type="dxa" w:w="3300"/>
            <w:tcMar>
              <w:top w:w="80" w:type="dxa"/>
              <w:start w:w="120" w:type="dxa"/>
              <w:bottom w:w="80" w:type="dxa"/>
              <w:end w:w="120" w:type="dxa"/>
            </w:tcMar>
          </w:tcPr>
          <w:p>
            <w:r>
              <w:rPr>
                <w:rFonts w:ascii="Calibri" w:hAnsi="Calibri"/>
                <w:sz w:val="18"/>
              </w:rPr>
              <w:t>Base unit et packaging explicites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Unifier ventes, achats et stock par conversion exacte.</w:t>
            </w:r>
          </w:p>
        </w:tc>
      </w:tr>
      <w:tr>
        <w:tc>
          <w:tcPr>
            <w:tcW w:type="dxa" w:w="1050"/>
            <w:tcMar>
              <w:top w:w="80" w:type="dxa"/>
              <w:start w:w="120" w:type="dxa"/>
              <w:bottom w:w="80" w:type="dxa"/>
              <w:end w:w="120" w:type="dxa"/>
            </w:tcMar>
          </w:tcPr>
          <w:p>
            <w:r>
              <w:rPr>
                <w:rFonts w:ascii="Calibri" w:hAnsi="Calibri"/>
                <w:sz w:val="18"/>
              </w:rPr>
              <w:t>ADR-033</w:t>
            </w:r>
          </w:p>
        </w:tc>
        <w:tc>
          <w:tcPr>
            <w:tcW w:type="dxa" w:w="3300"/>
            <w:tcMar>
              <w:top w:w="80" w:type="dxa"/>
              <w:start w:w="120" w:type="dxa"/>
              <w:bottom w:w="80" w:type="dxa"/>
              <w:end w:w="120" w:type="dxa"/>
            </w:tcMar>
          </w:tcPr>
          <w:p>
            <w:r>
              <w:rPr>
                <w:rFonts w:ascii="Calibri" w:hAnsi="Calibri"/>
                <w:sz w:val="18"/>
              </w:rPr>
              <w:t>Snapshots de packaging dans les transactions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Préserver le sens historique des quantités.</w:t>
            </w:r>
          </w:p>
        </w:tc>
      </w:tr>
      <w:tr>
        <w:tc>
          <w:tcPr>
            <w:tcW w:type="dxa" w:w="1050"/>
            <w:tcMar>
              <w:top w:w="80" w:type="dxa"/>
              <w:start w:w="120" w:type="dxa"/>
              <w:bottom w:w="80" w:type="dxa"/>
              <w:end w:w="120" w:type="dxa"/>
            </w:tcMar>
          </w:tcPr>
          <w:p>
            <w:r>
              <w:rPr>
                <w:rFonts w:ascii="Calibri" w:hAnsi="Calibri"/>
                <w:sz w:val="18"/>
              </w:rPr>
              <w:t>ADR-034</w:t>
            </w:r>
          </w:p>
        </w:tc>
        <w:tc>
          <w:tcPr>
            <w:tcW w:type="dxa" w:w="3300"/>
            <w:tcMar>
              <w:top w:w="80" w:type="dxa"/>
              <w:start w:w="120" w:type="dxa"/>
              <w:bottom w:w="80" w:type="dxa"/>
              <w:end w:w="120" w:type="dxa"/>
            </w:tcMar>
          </w:tcPr>
          <w:p>
            <w:r>
              <w:rPr>
                <w:rFonts w:ascii="Calibri" w:hAnsi="Calibri"/>
                <w:sz w:val="18"/>
              </w:rPr>
              <w:t>`PriceList` et `ProductPrice` séparés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un aggregate de prix géant.</w:t>
            </w:r>
          </w:p>
        </w:tc>
      </w:tr>
      <w:tr>
        <w:tc>
          <w:tcPr>
            <w:tcW w:type="dxa" w:w="1050"/>
            <w:tcMar>
              <w:top w:w="80" w:type="dxa"/>
              <w:start w:w="120" w:type="dxa"/>
              <w:bottom w:w="80" w:type="dxa"/>
              <w:end w:w="120" w:type="dxa"/>
            </w:tcMar>
          </w:tcPr>
          <w:p>
            <w:r>
              <w:rPr>
                <w:rFonts w:ascii="Calibri" w:hAnsi="Calibri"/>
                <w:sz w:val="18"/>
              </w:rPr>
              <w:t>ADR-035</w:t>
            </w:r>
          </w:p>
        </w:tc>
        <w:tc>
          <w:tcPr>
            <w:tcW w:type="dxa" w:w="3300"/>
            <w:tcMar>
              <w:top w:w="80" w:type="dxa"/>
              <w:start w:w="120" w:type="dxa"/>
              <w:bottom w:w="80" w:type="dxa"/>
              <w:end w:w="120" w:type="dxa"/>
            </w:tcMar>
          </w:tcPr>
          <w:p>
            <w:r>
              <w:rPr>
                <w:rFonts w:ascii="Calibri" w:hAnsi="Calibri"/>
                <w:sz w:val="18"/>
              </w:rPr>
              <w:t>Snapshots pricing/tax/discount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Rendre les ventes historiques déterministes.</w:t>
            </w:r>
          </w:p>
        </w:tc>
      </w:tr>
      <w:tr>
        <w:tc>
          <w:tcPr>
            <w:tcW w:type="dxa" w:w="1050"/>
            <w:tcMar>
              <w:top w:w="80" w:type="dxa"/>
              <w:start w:w="120" w:type="dxa"/>
              <w:bottom w:w="80" w:type="dxa"/>
              <w:end w:w="120" w:type="dxa"/>
            </w:tcMar>
          </w:tcPr>
          <w:p>
            <w:r>
              <w:rPr>
                <w:rFonts w:ascii="Calibri" w:hAnsi="Calibri"/>
                <w:sz w:val="18"/>
              </w:rPr>
              <w:t>ADR-036</w:t>
            </w:r>
          </w:p>
        </w:tc>
        <w:tc>
          <w:tcPr>
            <w:tcW w:type="dxa" w:w="3300"/>
            <w:tcMar>
              <w:top w:w="80" w:type="dxa"/>
              <w:start w:w="120" w:type="dxa"/>
              <w:bottom w:w="80" w:type="dxa"/>
              <w:end w:w="120" w:type="dxa"/>
            </w:tcMar>
          </w:tcPr>
          <w:p>
            <w:r>
              <w:rPr>
                <w:rFonts w:ascii="Calibri" w:hAnsi="Calibri"/>
                <w:sz w:val="18"/>
              </w:rPr>
              <w:t>`Inventory Costing` distinct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Séparer quantité, coût fournisseur et prix de vente.</w:t>
            </w:r>
          </w:p>
        </w:tc>
      </w:tr>
      <w:tr>
        <w:tc>
          <w:tcPr>
            <w:tcW w:type="dxa" w:w="1050"/>
            <w:tcMar>
              <w:top w:w="80" w:type="dxa"/>
              <w:start w:w="120" w:type="dxa"/>
              <w:bottom w:w="80" w:type="dxa"/>
              <w:end w:w="120" w:type="dxa"/>
            </w:tcMar>
          </w:tcPr>
          <w:p>
            <w:r>
              <w:rPr>
                <w:rFonts w:ascii="Calibri" w:hAnsi="Calibri"/>
                <w:sz w:val="18"/>
              </w:rPr>
              <w:t>ADR-037</w:t>
            </w:r>
          </w:p>
        </w:tc>
        <w:tc>
          <w:tcPr>
            <w:tcW w:type="dxa" w:w="3300"/>
            <w:tcMar>
              <w:top w:w="80" w:type="dxa"/>
              <w:start w:w="120" w:type="dxa"/>
              <w:bottom w:w="80" w:type="dxa"/>
              <w:end w:w="120" w:type="dxa"/>
            </w:tcMar>
          </w:tcPr>
          <w:p>
            <w:r>
              <w:rPr>
                <w:rFonts w:ascii="Calibri" w:hAnsi="Calibri"/>
                <w:sz w:val="18"/>
              </w:rPr>
              <w:t>Moving weighted average pour le MVP</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Valorisation généraliste sans couches FIFO.</w:t>
            </w:r>
          </w:p>
        </w:tc>
      </w:tr>
      <w:tr>
        <w:tc>
          <w:tcPr>
            <w:tcW w:type="dxa" w:w="1050"/>
            <w:tcMar>
              <w:top w:w="80" w:type="dxa"/>
              <w:start w:w="120" w:type="dxa"/>
              <w:bottom w:w="80" w:type="dxa"/>
              <w:end w:w="120" w:type="dxa"/>
            </w:tcMar>
          </w:tcPr>
          <w:p>
            <w:r>
              <w:rPr>
                <w:rFonts w:ascii="Calibri" w:hAnsi="Calibri"/>
                <w:sz w:val="18"/>
              </w:rPr>
              <w:t>ADR-038</w:t>
            </w:r>
          </w:p>
        </w:tc>
        <w:tc>
          <w:tcPr>
            <w:tcW w:type="dxa" w:w="3300"/>
            <w:tcMar>
              <w:top w:w="80" w:type="dxa"/>
              <w:start w:w="120" w:type="dxa"/>
              <w:bottom w:w="80" w:type="dxa"/>
              <w:end w:w="120" w:type="dxa"/>
            </w:tcMar>
          </w:tcPr>
          <w:p>
            <w:r>
              <w:rPr>
                <w:rFonts w:ascii="Calibri" w:hAnsi="Calibri"/>
                <w:sz w:val="18"/>
              </w:rPr>
              <w:t>Journal `StockValuationMovement`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Tracer chaque effet économique du stock.</w:t>
            </w:r>
          </w:p>
        </w:tc>
      </w:tr>
      <w:tr>
        <w:tc>
          <w:tcPr>
            <w:tcW w:type="dxa" w:w="1050"/>
            <w:tcMar>
              <w:top w:w="80" w:type="dxa"/>
              <w:start w:w="120" w:type="dxa"/>
              <w:bottom w:w="80" w:type="dxa"/>
              <w:end w:w="120" w:type="dxa"/>
            </w:tcMar>
          </w:tcPr>
          <w:p>
            <w:r>
              <w:rPr>
                <w:rFonts w:ascii="Calibri" w:hAnsi="Calibri"/>
                <w:sz w:val="18"/>
              </w:rPr>
              <w:t>ADR-039</w:t>
            </w:r>
          </w:p>
        </w:tc>
        <w:tc>
          <w:tcPr>
            <w:tcW w:type="dxa" w:w="3300"/>
            <w:tcMar>
              <w:top w:w="80" w:type="dxa"/>
              <w:start w:w="120" w:type="dxa"/>
              <w:bottom w:w="80" w:type="dxa"/>
              <w:end w:w="120" w:type="dxa"/>
            </w:tcMar>
          </w:tcPr>
          <w:p>
            <w:r>
              <w:rPr>
                <w:rFonts w:ascii="Calibri" w:hAnsi="Calibri"/>
                <w:sz w:val="18"/>
              </w:rPr>
              <w:t>`Customer` partagé par organization</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Unifier la relation client entre stores.</w:t>
            </w:r>
          </w:p>
        </w:tc>
      </w:tr>
      <w:tr>
        <w:tc>
          <w:tcPr>
            <w:tcW w:type="dxa" w:w="1050"/>
            <w:tcMar>
              <w:top w:w="80" w:type="dxa"/>
              <w:start w:w="120" w:type="dxa"/>
              <w:bottom w:w="80" w:type="dxa"/>
              <w:end w:w="120" w:type="dxa"/>
            </w:tcMar>
          </w:tcPr>
          <w:p>
            <w:r>
              <w:rPr>
                <w:rFonts w:ascii="Calibri" w:hAnsi="Calibri"/>
                <w:sz w:val="18"/>
              </w:rPr>
              <w:t>ADR-040</w:t>
            </w:r>
          </w:p>
        </w:tc>
        <w:tc>
          <w:tcPr>
            <w:tcW w:type="dxa" w:w="3300"/>
            <w:tcMar>
              <w:top w:w="80" w:type="dxa"/>
              <w:start w:w="120" w:type="dxa"/>
              <w:bottom w:w="80" w:type="dxa"/>
              <w:end w:w="120" w:type="dxa"/>
            </w:tcMar>
          </w:tcPr>
          <w:p>
            <w:r>
              <w:rPr>
                <w:rFonts w:ascii="Calibri" w:hAnsi="Calibri"/>
                <w:sz w:val="18"/>
              </w:rPr>
              <w:t>Compte client par devise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Isoler soldes, limites et rapprochements monétaires.</w:t>
            </w:r>
          </w:p>
        </w:tc>
      </w:tr>
      <w:tr>
        <w:tc>
          <w:tcPr>
            <w:tcW w:type="dxa" w:w="1050"/>
            <w:tcMar>
              <w:top w:w="80" w:type="dxa"/>
              <w:start w:w="120" w:type="dxa"/>
              <w:bottom w:w="80" w:type="dxa"/>
              <w:end w:w="120" w:type="dxa"/>
            </w:tcMar>
          </w:tcPr>
          <w:p>
            <w:r>
              <w:rPr>
                <w:rFonts w:ascii="Calibri" w:hAnsi="Calibri"/>
                <w:sz w:val="18"/>
              </w:rPr>
              <w:t>ADR-041</w:t>
            </w:r>
          </w:p>
        </w:tc>
        <w:tc>
          <w:tcPr>
            <w:tcW w:type="dxa" w:w="3300"/>
            <w:tcMar>
              <w:top w:w="80" w:type="dxa"/>
              <w:start w:w="120" w:type="dxa"/>
              <w:bottom w:w="80" w:type="dxa"/>
              <w:end w:w="120" w:type="dxa"/>
            </w:tcMar>
          </w:tcPr>
          <w:p>
            <w:r>
              <w:rPr>
                <w:rFonts w:ascii="Calibri" w:hAnsi="Calibri"/>
                <w:sz w:val="18"/>
              </w:rPr>
              <w:t>Créance par vente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Tracer précisément échéance, allocation et règlement.</w:t>
            </w:r>
          </w:p>
        </w:tc>
      </w:tr>
      <w:tr>
        <w:tc>
          <w:tcPr>
            <w:tcW w:type="dxa" w:w="1050"/>
            <w:tcMar>
              <w:top w:w="80" w:type="dxa"/>
              <w:start w:w="120" w:type="dxa"/>
              <w:bottom w:w="80" w:type="dxa"/>
              <w:end w:w="120" w:type="dxa"/>
            </w:tcMar>
          </w:tcPr>
          <w:p>
            <w:r>
              <w:rPr>
                <w:rFonts w:ascii="Calibri" w:hAnsi="Calibri"/>
                <w:sz w:val="18"/>
              </w:rPr>
              <w:t>ADR-042</w:t>
            </w:r>
          </w:p>
        </w:tc>
        <w:tc>
          <w:tcPr>
            <w:tcW w:type="dxa" w:w="3300"/>
            <w:tcMar>
              <w:top w:w="80" w:type="dxa"/>
              <w:start w:w="120" w:type="dxa"/>
              <w:bottom w:w="80" w:type="dxa"/>
              <w:end w:w="120" w:type="dxa"/>
            </w:tcMar>
          </w:tcPr>
          <w:p>
            <w:r>
              <w:rPr>
                <w:rFonts w:ascii="Calibri" w:hAnsi="Calibri"/>
                <w:sz w:val="18"/>
              </w:rPr>
              <w:t>Journal client append-only</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Préserver une piste complète des dettes et crédits.</w:t>
            </w:r>
          </w:p>
        </w:tc>
      </w:tr>
      <w:tr>
        <w:tc>
          <w:tcPr>
            <w:tcW w:type="dxa" w:w="1050"/>
            <w:tcMar>
              <w:top w:w="80" w:type="dxa"/>
              <w:start w:w="120" w:type="dxa"/>
              <w:bottom w:w="80" w:type="dxa"/>
              <w:end w:w="120" w:type="dxa"/>
            </w:tcMar>
          </w:tcPr>
          <w:p>
            <w:r>
              <w:rPr>
                <w:rFonts w:ascii="Calibri" w:hAnsi="Calibri"/>
                <w:sz w:val="18"/>
              </w:rPr>
              <w:t>ADR-043</w:t>
            </w:r>
          </w:p>
        </w:tc>
        <w:tc>
          <w:tcPr>
            <w:tcW w:type="dxa" w:w="3300"/>
            <w:tcMar>
              <w:top w:w="80" w:type="dxa"/>
              <w:start w:w="120" w:type="dxa"/>
              <w:bottom w:w="80" w:type="dxa"/>
              <w:end w:w="120" w:type="dxa"/>
            </w:tcMar>
          </w:tcPr>
          <w:p>
            <w:r>
              <w:rPr>
                <w:rFonts w:ascii="Calibri" w:hAnsi="Calibri"/>
                <w:sz w:val="18"/>
              </w:rPr>
              <w:t>Séparer Payment, Attempt, Settlement et CashMovement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Distinguer argent, provider, application métier et espèces.</w:t>
            </w:r>
          </w:p>
        </w:tc>
      </w:tr>
      <w:tr>
        <w:tc>
          <w:tcPr>
            <w:tcW w:type="dxa" w:w="1050"/>
            <w:tcMar>
              <w:top w:w="80" w:type="dxa"/>
              <w:start w:w="120" w:type="dxa"/>
              <w:bottom w:w="80" w:type="dxa"/>
              <w:end w:w="120" w:type="dxa"/>
            </w:tcMar>
          </w:tcPr>
          <w:p>
            <w:r>
              <w:rPr>
                <w:rFonts w:ascii="Calibri" w:hAnsi="Calibri"/>
                <w:sz w:val="18"/>
              </w:rPr>
              <w:t>ADR-044</w:t>
            </w:r>
          </w:p>
        </w:tc>
        <w:tc>
          <w:tcPr>
            <w:tcW w:type="dxa" w:w="3300"/>
            <w:tcMar>
              <w:top w:w="80" w:type="dxa"/>
              <w:start w:w="120" w:type="dxa"/>
              <w:bottom w:w="80" w:type="dxa"/>
              <w:end w:w="120" w:type="dxa"/>
            </w:tcMar>
          </w:tcPr>
          <w:p>
            <w:r>
              <w:rPr>
                <w:rFonts w:ascii="Calibri" w:hAnsi="Calibri"/>
                <w:sz w:val="18"/>
              </w:rPr>
              <w:t>Saga persistante pour paiements externes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Résister aux callbacks tardifs, retries et incidents.</w:t>
            </w:r>
          </w:p>
        </w:tc>
      </w:tr>
      <w:tr>
        <w:tc>
          <w:tcPr>
            <w:tcW w:type="dxa" w:w="1050"/>
            <w:tcMar>
              <w:top w:w="80" w:type="dxa"/>
              <w:start w:w="120" w:type="dxa"/>
              <w:bottom w:w="80" w:type="dxa"/>
              <w:end w:w="120" w:type="dxa"/>
            </w:tcMar>
          </w:tcPr>
          <w:p>
            <w:r>
              <w:rPr>
                <w:rFonts w:ascii="Calibri" w:hAnsi="Calibri"/>
                <w:sz w:val="18"/>
              </w:rPr>
              <w:t>ADR-045</w:t>
            </w:r>
          </w:p>
        </w:tc>
        <w:tc>
          <w:tcPr>
            <w:tcW w:type="dxa" w:w="3300"/>
            <w:tcMar>
              <w:top w:w="80" w:type="dxa"/>
              <w:start w:w="120" w:type="dxa"/>
              <w:bottom w:w="80" w:type="dxa"/>
              <w:end w:w="120" w:type="dxa"/>
            </w:tcMar>
          </w:tcPr>
          <w:p>
            <w:r>
              <w:rPr>
                <w:rFonts w:ascii="Calibri" w:hAnsi="Calibri"/>
                <w:sz w:val="18"/>
              </w:rPr>
              <w:t>`PaymentRefund` distinct de reversal</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Séparer décision commerciale et annulation provider.</w:t>
            </w:r>
          </w:p>
        </w:tc>
      </w:tr>
      <w:tr>
        <w:tc>
          <w:tcPr>
            <w:tcW w:type="dxa" w:w="1050"/>
            <w:tcMar>
              <w:top w:w="80" w:type="dxa"/>
              <w:start w:w="120" w:type="dxa"/>
              <w:bottom w:w="80" w:type="dxa"/>
              <w:end w:w="120" w:type="dxa"/>
            </w:tcMar>
          </w:tcPr>
          <w:p>
            <w:r>
              <w:rPr>
                <w:rFonts w:ascii="Calibri" w:hAnsi="Calibri"/>
                <w:sz w:val="18"/>
              </w:rPr>
              <w:t>ADR-046</w:t>
            </w:r>
          </w:p>
        </w:tc>
        <w:tc>
          <w:tcPr>
            <w:tcW w:type="dxa" w:w="3300"/>
            <w:tcMar>
              <w:top w:w="80" w:type="dxa"/>
              <w:start w:w="120" w:type="dxa"/>
              <w:bottom w:w="80" w:type="dxa"/>
              <w:end w:w="120" w:type="dxa"/>
            </w:tcMar>
          </w:tcPr>
          <w:p>
            <w:r>
              <w:rPr>
                <w:rFonts w:ascii="Calibri" w:hAnsi="Calibri"/>
                <w:sz w:val="18"/>
              </w:rPr>
              <w:t>Stock réservé dans `Stock`</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Protéger la disponibilité pendant un paiement asynchrone.</w:t>
            </w:r>
          </w:p>
        </w:tc>
      </w:tr>
      <w:tr>
        <w:tc>
          <w:tcPr>
            <w:tcW w:type="dxa" w:w="1050"/>
            <w:tcMar>
              <w:top w:w="80" w:type="dxa"/>
              <w:start w:w="120" w:type="dxa"/>
              <w:bottom w:w="80" w:type="dxa"/>
              <w:end w:w="120" w:type="dxa"/>
            </w:tcMar>
          </w:tcPr>
          <w:p>
            <w:r>
              <w:rPr>
                <w:rFonts w:ascii="Calibri" w:hAnsi="Calibri"/>
                <w:sz w:val="18"/>
              </w:rPr>
              <w:t>ADR-047</w:t>
            </w:r>
          </w:p>
        </w:tc>
        <w:tc>
          <w:tcPr>
            <w:tcW w:type="dxa" w:w="3300"/>
            <w:tcMar>
              <w:top w:w="80" w:type="dxa"/>
              <w:start w:w="120" w:type="dxa"/>
              <w:bottom w:w="80" w:type="dxa"/>
              <w:end w:w="120" w:type="dxa"/>
            </w:tcMar>
          </w:tcPr>
          <w:p>
            <w:r>
              <w:rPr>
                <w:rFonts w:ascii="Calibri" w:hAnsi="Calibri"/>
                <w:sz w:val="18"/>
              </w:rPr>
              <w:t>Réservation sans mouvement physique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Ne valoriser et journaliser le stock qu’à la consommation.</w:t>
            </w:r>
          </w:p>
        </w:tc>
      </w:tr>
      <w:tr>
        <w:tc>
          <w:tcPr>
            <w:tcW w:type="dxa" w:w="1050"/>
            <w:tcMar>
              <w:top w:w="80" w:type="dxa"/>
              <w:start w:w="120" w:type="dxa"/>
              <w:bottom w:w="80" w:type="dxa"/>
              <w:end w:w="120" w:type="dxa"/>
            </w:tcMar>
          </w:tcPr>
          <w:p>
            <w:r>
              <w:rPr>
                <w:rFonts w:ascii="Calibri" w:hAnsi="Calibri"/>
                <w:sz w:val="18"/>
              </w:rPr>
              <w:t>ADR-048</w:t>
            </w:r>
          </w:p>
        </w:tc>
        <w:tc>
          <w:tcPr>
            <w:tcW w:type="dxa" w:w="3300"/>
            <w:tcMar>
              <w:top w:w="80" w:type="dxa"/>
              <w:start w:w="120" w:type="dxa"/>
              <w:bottom w:w="80" w:type="dxa"/>
              <w:end w:w="120" w:type="dxa"/>
            </w:tcMar>
          </w:tcPr>
          <w:p>
            <w:r>
              <w:rPr>
                <w:rFonts w:ascii="Calibri" w:hAnsi="Calibri"/>
                <w:sz w:val="18"/>
              </w:rPr>
              <w:t>Callback tardif avec réacquisition</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une vente sans stock après expiration.</w:t>
            </w:r>
          </w:p>
        </w:tc>
      </w:tr>
      <w:tr>
        <w:tc>
          <w:tcPr>
            <w:tcW w:type="dxa" w:w="1050"/>
            <w:tcMar>
              <w:top w:w="80" w:type="dxa"/>
              <w:start w:w="120" w:type="dxa"/>
              <w:bottom w:w="80" w:type="dxa"/>
              <w:end w:w="120" w:type="dxa"/>
            </w:tcMar>
          </w:tcPr>
          <w:p>
            <w:r>
              <w:rPr>
                <w:rFonts w:ascii="Calibri" w:hAnsi="Calibri"/>
                <w:sz w:val="18"/>
              </w:rPr>
              <w:t>ADR-049</w:t>
            </w:r>
          </w:p>
        </w:tc>
        <w:tc>
          <w:tcPr>
            <w:tcW w:type="dxa" w:w="3300"/>
            <w:tcMar>
              <w:top w:w="80" w:type="dxa"/>
              <w:start w:w="120" w:type="dxa"/>
              <w:bottom w:w="80" w:type="dxa"/>
              <w:end w:w="120" w:type="dxa"/>
            </w:tcMar>
          </w:tcPr>
          <w:p>
            <w:r>
              <w:rPr>
                <w:rFonts w:ascii="Calibri" w:hAnsi="Calibri"/>
                <w:sz w:val="18"/>
              </w:rPr>
              <w:t>`Reporting` reconstructible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Séparer modèles de lecture et autorités métier.</w:t>
            </w:r>
          </w:p>
        </w:tc>
      </w:tr>
      <w:tr>
        <w:tc>
          <w:tcPr>
            <w:tcW w:type="dxa" w:w="1050"/>
            <w:tcMar>
              <w:top w:w="80" w:type="dxa"/>
              <w:start w:w="120" w:type="dxa"/>
              <w:bottom w:w="80" w:type="dxa"/>
              <w:end w:w="120" w:type="dxa"/>
            </w:tcMar>
          </w:tcPr>
          <w:p>
            <w:r>
              <w:rPr>
                <w:rFonts w:ascii="Calibri" w:hAnsi="Calibri"/>
                <w:sz w:val="18"/>
              </w:rPr>
              <w:t>ADR-050</w:t>
            </w:r>
          </w:p>
        </w:tc>
        <w:tc>
          <w:tcPr>
            <w:tcW w:type="dxa" w:w="3300"/>
            <w:tcMar>
              <w:top w:w="80" w:type="dxa"/>
              <w:start w:w="120" w:type="dxa"/>
              <w:bottom w:w="80" w:type="dxa"/>
              <w:end w:w="120" w:type="dxa"/>
            </w:tcMar>
          </w:tcPr>
          <w:p>
            <w:r>
              <w:rPr>
                <w:rFonts w:ascii="Calibri" w:hAnsi="Calibri"/>
                <w:sz w:val="18"/>
              </w:rPr>
              <w:t>Aucun invariant critique dans une projection</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Tolérer retard, panne et reconstruction.</w:t>
            </w:r>
          </w:p>
        </w:tc>
      </w:tr>
      <w:tr>
        <w:tc>
          <w:tcPr>
            <w:tcW w:type="dxa" w:w="1050"/>
            <w:tcMar>
              <w:top w:w="80" w:type="dxa"/>
              <w:start w:w="120" w:type="dxa"/>
              <w:bottom w:w="80" w:type="dxa"/>
              <w:end w:w="120" w:type="dxa"/>
            </w:tcMar>
          </w:tcPr>
          <w:p>
            <w:r>
              <w:rPr>
                <w:rFonts w:ascii="Calibri" w:hAnsi="Calibri"/>
                <w:sz w:val="18"/>
              </w:rPr>
              <w:t>ADR-051</w:t>
            </w:r>
          </w:p>
        </w:tc>
        <w:tc>
          <w:tcPr>
            <w:tcW w:type="dxa" w:w="3300"/>
            <w:tcMar>
              <w:top w:w="80" w:type="dxa"/>
              <w:start w:w="120" w:type="dxa"/>
              <w:bottom w:w="80" w:type="dxa"/>
              <w:end w:w="120" w:type="dxa"/>
            </w:tcMar>
          </w:tcPr>
          <w:p>
            <w:r>
              <w:rPr>
                <w:rFonts w:ascii="Calibri" w:hAnsi="Calibri"/>
                <w:sz w:val="18"/>
              </w:rPr>
              <w:t>`BusinessDate` distincte des timestamps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Préserver la signification des journées commerciales.</w:t>
            </w:r>
          </w:p>
        </w:tc>
      </w:tr>
      <w:tr>
        <w:tc>
          <w:tcPr>
            <w:tcW w:type="dxa" w:w="1050"/>
            <w:tcMar>
              <w:top w:w="80" w:type="dxa"/>
              <w:start w:w="120" w:type="dxa"/>
              <w:bottom w:w="80" w:type="dxa"/>
              <w:end w:w="120" w:type="dxa"/>
            </w:tcMar>
          </w:tcPr>
          <w:p>
            <w:r>
              <w:rPr>
                <w:rFonts w:ascii="Calibri" w:hAnsi="Calibri"/>
                <w:sz w:val="18"/>
              </w:rPr>
              <w:t>ADR-052</w:t>
            </w:r>
          </w:p>
        </w:tc>
        <w:tc>
          <w:tcPr>
            <w:tcW w:type="dxa" w:w="3300"/>
            <w:tcMar>
              <w:top w:w="80" w:type="dxa"/>
              <w:start w:w="120" w:type="dxa"/>
              <w:bottom w:w="80" w:type="dxa"/>
              <w:end w:w="120" w:type="dxa"/>
            </w:tcMar>
          </w:tcPr>
          <w:p>
            <w:r>
              <w:rPr>
                <w:rFonts w:ascii="Calibri" w:hAnsi="Calibri"/>
                <w:sz w:val="18"/>
              </w:rPr>
              <w:t>Projection et checkpoint transactionnels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progression sans effet ou effet sans progression.</w:t>
            </w:r>
          </w:p>
        </w:tc>
      </w:tr>
      <w:tr>
        <w:tc>
          <w:tcPr>
            <w:tcW w:type="dxa" w:w="1050"/>
            <w:tcMar>
              <w:top w:w="80" w:type="dxa"/>
              <w:start w:w="120" w:type="dxa"/>
              <w:bottom w:w="80" w:type="dxa"/>
              <w:end w:w="120" w:type="dxa"/>
            </w:tcMar>
          </w:tcPr>
          <w:p>
            <w:r>
              <w:rPr>
                <w:rFonts w:ascii="Calibri" w:hAnsi="Calibri"/>
                <w:sz w:val="18"/>
              </w:rPr>
              <w:t>ADR-053</w:t>
            </w:r>
          </w:p>
        </w:tc>
        <w:tc>
          <w:tcPr>
            <w:tcW w:type="dxa" w:w="3300"/>
            <w:tcMar>
              <w:top w:w="80" w:type="dxa"/>
              <w:start w:w="120" w:type="dxa"/>
              <w:bottom w:w="80" w:type="dxa"/>
              <w:end w:w="120" w:type="dxa"/>
            </w:tcMar>
          </w:tcPr>
          <w:p>
            <w:r>
              <w:rPr>
                <w:rFonts w:ascii="Calibri" w:hAnsi="Calibri"/>
                <w:sz w:val="18"/>
              </w:rPr>
              <w:t>Idempotence par projection, partition et event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Absorber retries et redelivery.</w:t>
            </w:r>
          </w:p>
        </w:tc>
      </w:tr>
      <w:tr>
        <w:tc>
          <w:tcPr>
            <w:tcW w:type="dxa" w:w="1050"/>
            <w:tcMar>
              <w:top w:w="80" w:type="dxa"/>
              <w:start w:w="120" w:type="dxa"/>
              <w:bottom w:w="80" w:type="dxa"/>
              <w:end w:w="120" w:type="dxa"/>
            </w:tcMar>
          </w:tcPr>
          <w:p>
            <w:r>
              <w:rPr>
                <w:rFonts w:ascii="Calibri" w:hAnsi="Calibri"/>
                <w:sz w:val="18"/>
              </w:rPr>
              <w:t>ADR-054</w:t>
            </w:r>
          </w:p>
        </w:tc>
        <w:tc>
          <w:tcPr>
            <w:tcW w:type="dxa" w:w="3300"/>
            <w:tcMar>
              <w:top w:w="80" w:type="dxa"/>
              <w:start w:w="120" w:type="dxa"/>
              <w:bottom w:w="80" w:type="dxa"/>
              <w:end w:w="120" w:type="dxa"/>
            </w:tcMar>
          </w:tcPr>
          <w:p>
            <w:r>
              <w:rPr>
                <w:rFonts w:ascii="Calibri" w:hAnsi="Calibri"/>
                <w:sz w:val="18"/>
              </w:rPr>
              <w:t>Versionnement parallèle et basculement atomique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Reconstruire sans interrompre les lectures.</w:t>
            </w:r>
          </w:p>
        </w:tc>
      </w:tr>
      <w:tr>
        <w:tc>
          <w:tcPr>
            <w:tcW w:type="dxa" w:w="1050"/>
            <w:tcMar>
              <w:top w:w="80" w:type="dxa"/>
              <w:start w:w="120" w:type="dxa"/>
              <w:bottom w:w="80" w:type="dxa"/>
              <w:end w:w="120" w:type="dxa"/>
            </w:tcMar>
          </w:tcPr>
          <w:p>
            <w:r>
              <w:rPr>
                <w:rFonts w:ascii="Calibri" w:hAnsi="Calibri"/>
                <w:sz w:val="18"/>
              </w:rPr>
              <w:t>ADR-055</w:t>
            </w:r>
          </w:p>
        </w:tc>
        <w:tc>
          <w:tcPr>
            <w:tcW w:type="dxa" w:w="3300"/>
            <w:tcMar>
              <w:top w:w="80" w:type="dxa"/>
              <w:start w:w="120" w:type="dxa"/>
              <w:bottom w:w="80" w:type="dxa"/>
              <w:end w:w="120" w:type="dxa"/>
            </w:tcMar>
          </w:tcPr>
          <w:p>
            <w:r>
              <w:rPr>
                <w:rFonts w:ascii="Calibri" w:hAnsi="Calibri"/>
                <w:sz w:val="18"/>
              </w:rPr>
              <w:t>Exports volumineux asynchrones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Maîtriser latence, mémoire et sécurité.</w:t>
            </w:r>
          </w:p>
        </w:tc>
      </w:tr>
      <w:tr>
        <w:tc>
          <w:tcPr>
            <w:tcW w:type="dxa" w:w="1050"/>
            <w:tcMar>
              <w:top w:w="80" w:type="dxa"/>
              <w:start w:w="120" w:type="dxa"/>
              <w:bottom w:w="80" w:type="dxa"/>
              <w:end w:w="120" w:type="dxa"/>
            </w:tcMar>
          </w:tcPr>
          <w:p>
            <w:r>
              <w:rPr>
                <w:rFonts w:ascii="Calibri" w:hAnsi="Calibri"/>
                <w:sz w:val="18"/>
              </w:rPr>
              <w:t>ADR-056</w:t>
            </w:r>
          </w:p>
        </w:tc>
        <w:tc>
          <w:tcPr>
            <w:tcW w:type="dxa" w:w="3300"/>
            <w:tcMar>
              <w:top w:w="80" w:type="dxa"/>
              <w:start w:w="120" w:type="dxa"/>
              <w:bottom w:w="80" w:type="dxa"/>
              <w:end w:w="120" w:type="dxa"/>
            </w:tcMar>
          </w:tcPr>
          <w:p>
            <w:r>
              <w:rPr>
                <w:rFonts w:ascii="Calibri" w:hAnsi="Calibri"/>
                <w:sz w:val="18"/>
              </w:rPr>
              <w:t>Définitions d’indicateurs versionnées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Empêcher les changements sémantiques silencieux.</w:t>
            </w:r>
          </w:p>
        </w:tc>
      </w:tr>
      <w:tr>
        <w:tc>
          <w:tcPr>
            <w:tcW w:type="dxa" w:w="1050"/>
            <w:tcMar>
              <w:top w:w="80" w:type="dxa"/>
              <w:start w:w="120" w:type="dxa"/>
              <w:bottom w:w="80" w:type="dxa"/>
              <w:end w:w="120" w:type="dxa"/>
            </w:tcMar>
          </w:tcPr>
          <w:p>
            <w:r>
              <w:rPr>
                <w:rFonts w:ascii="Calibri" w:hAnsi="Calibri"/>
                <w:sz w:val="18"/>
              </w:rPr>
              <w:t>ADR-057</w:t>
            </w:r>
          </w:p>
        </w:tc>
        <w:tc>
          <w:tcPr>
            <w:tcW w:type="dxa" w:w="3300"/>
            <w:tcMar>
              <w:top w:w="80" w:type="dxa"/>
              <w:start w:w="120" w:type="dxa"/>
              <w:bottom w:w="80" w:type="dxa"/>
              <w:end w:w="120" w:type="dxa"/>
            </w:tcMar>
          </w:tcPr>
          <w:p>
            <w:r>
              <w:rPr>
                <w:rFonts w:ascii="Calibri" w:hAnsi="Calibri"/>
                <w:sz w:val="18"/>
              </w:rPr>
              <w:t>Contrôles sans correction automatique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Protéger les sources de vérité.</w:t>
            </w:r>
          </w:p>
        </w:tc>
      </w:tr>
      <w:tr>
        <w:tc>
          <w:tcPr>
            <w:tcW w:type="dxa" w:w="1050"/>
            <w:tcMar>
              <w:top w:w="80" w:type="dxa"/>
              <w:start w:w="120" w:type="dxa"/>
              <w:bottom w:w="80" w:type="dxa"/>
              <w:end w:w="120" w:type="dxa"/>
            </w:tcMar>
          </w:tcPr>
          <w:p>
            <w:r>
              <w:rPr>
                <w:rFonts w:ascii="Calibri" w:hAnsi="Calibri"/>
                <w:sz w:val="18"/>
              </w:rPr>
              <w:t>ADR-058</w:t>
            </w:r>
          </w:p>
        </w:tc>
        <w:tc>
          <w:tcPr>
            <w:tcW w:type="dxa" w:w="3300"/>
            <w:tcMar>
              <w:top w:w="80" w:type="dxa"/>
              <w:start w:w="120" w:type="dxa"/>
              <w:bottom w:w="80" w:type="dxa"/>
              <w:end w:w="120" w:type="dxa"/>
            </w:tcMar>
          </w:tcPr>
          <w:p>
            <w:r>
              <w:rPr>
                <w:rFonts w:ascii="Calibri" w:hAnsi="Calibri"/>
                <w:sz w:val="18"/>
              </w:rPr>
              <w:t>Devises séparées sans `ExchangeRate` explicite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des totaux financiers trompeurs.</w:t>
            </w:r>
          </w:p>
        </w:tc>
      </w:tr>
      <w:tr>
        <w:tc>
          <w:tcPr>
            <w:tcW w:type="dxa" w:w="1050"/>
            <w:tcMar>
              <w:top w:w="80" w:type="dxa"/>
              <w:start w:w="120" w:type="dxa"/>
              <w:bottom w:w="80" w:type="dxa"/>
              <w:end w:w="120" w:type="dxa"/>
            </w:tcMar>
          </w:tcPr>
          <w:p>
            <w:r>
              <w:rPr>
                <w:rFonts w:ascii="Calibri" w:hAnsi="Calibri"/>
                <w:sz w:val="18"/>
              </w:rPr>
              <w:t>ADR-059</w:t>
            </w:r>
          </w:p>
        </w:tc>
        <w:tc>
          <w:tcPr>
            <w:tcW w:type="dxa" w:w="3300"/>
            <w:tcMar>
              <w:top w:w="80" w:type="dxa"/>
              <w:start w:w="120" w:type="dxa"/>
              <w:bottom w:w="80" w:type="dxa"/>
              <w:end w:w="120" w:type="dxa"/>
            </w:tcMar>
          </w:tcPr>
          <w:p>
            <w:r>
              <w:rPr>
                <w:rFonts w:ascii="Calibri" w:hAnsi="Calibri"/>
                <w:sz w:val="18"/>
              </w:rPr>
              <w:t>Serveur autorité finale du offline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deux réalités métier concurrentes.</w:t>
            </w:r>
          </w:p>
        </w:tc>
      </w:tr>
      <w:tr>
        <w:tc>
          <w:tcPr>
            <w:tcW w:type="dxa" w:w="1050"/>
            <w:tcMar>
              <w:top w:w="80" w:type="dxa"/>
              <w:start w:w="120" w:type="dxa"/>
              <w:bottom w:w="80" w:type="dxa"/>
              <w:end w:w="120" w:type="dxa"/>
            </w:tcMar>
          </w:tcPr>
          <w:p>
            <w:r>
              <w:rPr>
                <w:rFonts w:ascii="Calibri" w:hAnsi="Calibri"/>
                <w:sz w:val="18"/>
              </w:rPr>
              <w:t>ADR-060</w:t>
            </w:r>
          </w:p>
        </w:tc>
        <w:tc>
          <w:tcPr>
            <w:tcW w:type="dxa" w:w="3300"/>
            <w:tcMar>
              <w:top w:w="80" w:type="dxa"/>
              <w:start w:w="120" w:type="dxa"/>
              <w:bottom w:w="80" w:type="dxa"/>
              <w:end w:w="120" w:type="dxa"/>
            </w:tcMar>
          </w:tcPr>
          <w:p>
            <w:r>
              <w:rPr>
                <w:rFonts w:ascii="Calibri" w:hAnsi="Calibri"/>
                <w:sz w:val="18"/>
              </w:rPr>
              <w:t>Capacités offline par politique explicite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Borner risque et surface fonctionnelle.</w:t>
            </w:r>
          </w:p>
        </w:tc>
      </w:tr>
      <w:tr>
        <w:tc>
          <w:tcPr>
            <w:tcW w:type="dxa" w:w="1050"/>
            <w:tcMar>
              <w:top w:w="80" w:type="dxa"/>
              <w:start w:w="120" w:type="dxa"/>
              <w:bottom w:w="80" w:type="dxa"/>
              <w:end w:w="120" w:type="dxa"/>
            </w:tcMar>
          </w:tcPr>
          <w:p>
            <w:r>
              <w:rPr>
                <w:rFonts w:ascii="Calibri" w:hAnsi="Calibri"/>
                <w:sz w:val="18"/>
              </w:rPr>
              <w:t>ADR-061</w:t>
            </w:r>
          </w:p>
        </w:tc>
        <w:tc>
          <w:tcPr>
            <w:tcW w:type="dxa" w:w="3300"/>
            <w:tcMar>
              <w:top w:w="80" w:type="dxa"/>
              <w:start w:w="120" w:type="dxa"/>
              <w:bottom w:w="80" w:type="dxa"/>
              <w:end w:w="120" w:type="dxa"/>
            </w:tcMar>
          </w:tcPr>
          <w:p>
            <w:r>
              <w:rPr>
                <w:rFonts w:ascii="Calibri" w:hAnsi="Calibri"/>
                <w:sz w:val="18"/>
              </w:rPr>
              <w:t>Device lié à organization et store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Simplifier isolation, stock et audit.</w:t>
            </w:r>
          </w:p>
        </w:tc>
      </w:tr>
      <w:tr>
        <w:tc>
          <w:tcPr>
            <w:tcW w:type="dxa" w:w="1050"/>
            <w:tcMar>
              <w:top w:w="80" w:type="dxa"/>
              <w:start w:w="120" w:type="dxa"/>
              <w:bottom w:w="80" w:type="dxa"/>
              <w:end w:w="120" w:type="dxa"/>
            </w:tcMar>
          </w:tcPr>
          <w:p>
            <w:r>
              <w:rPr>
                <w:rFonts w:ascii="Calibri" w:hAnsi="Calibri"/>
                <w:sz w:val="18"/>
              </w:rPr>
              <w:t>ADR-062</w:t>
            </w:r>
          </w:p>
        </w:tc>
        <w:tc>
          <w:tcPr>
            <w:tcW w:type="dxa" w:w="3300"/>
            <w:tcMar>
              <w:top w:w="80" w:type="dxa"/>
              <w:start w:w="120" w:type="dxa"/>
              <w:bottom w:w="80" w:type="dxa"/>
              <w:end w:w="120" w:type="dxa"/>
            </w:tcMar>
          </w:tcPr>
          <w:p>
            <w:r>
              <w:rPr>
                <w:rFonts w:ascii="Calibri" w:hAnsi="Calibri"/>
                <w:sz w:val="18"/>
              </w:rPr>
              <w:t>Grant offline signé et temporaire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Limiter le risque de révocation différée.</w:t>
            </w:r>
          </w:p>
        </w:tc>
      </w:tr>
      <w:tr>
        <w:tc>
          <w:tcPr>
            <w:tcW w:type="dxa" w:w="1050"/>
            <w:tcMar>
              <w:top w:w="80" w:type="dxa"/>
              <w:start w:w="120" w:type="dxa"/>
              <w:bottom w:w="80" w:type="dxa"/>
              <w:end w:w="120" w:type="dxa"/>
            </w:tcMar>
          </w:tcPr>
          <w:p>
            <w:r>
              <w:rPr>
                <w:rFonts w:ascii="Calibri" w:hAnsi="Calibri"/>
                <w:sz w:val="18"/>
              </w:rPr>
              <w:t>ADR-063</w:t>
            </w:r>
          </w:p>
        </w:tc>
        <w:tc>
          <w:tcPr>
            <w:tcW w:type="dxa" w:w="3300"/>
            <w:tcMar>
              <w:top w:w="80" w:type="dxa"/>
              <w:start w:w="120" w:type="dxa"/>
              <w:bottom w:w="80" w:type="dxa"/>
              <w:end w:w="120" w:type="dxa"/>
            </w:tcMar>
          </w:tcPr>
          <w:p>
            <w:r>
              <w:rPr>
                <w:rFonts w:ascii="Calibri" w:hAnsi="Calibri"/>
                <w:sz w:val="18"/>
              </w:rPr>
              <w:t>Commande et ledger append-only</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Garantir reprise et traçabilité.</w:t>
            </w:r>
          </w:p>
        </w:tc>
      </w:tr>
      <w:tr>
        <w:tc>
          <w:tcPr>
            <w:tcW w:type="dxa" w:w="1050"/>
            <w:tcMar>
              <w:top w:w="80" w:type="dxa"/>
              <w:start w:w="120" w:type="dxa"/>
              <w:bottom w:w="80" w:type="dxa"/>
              <w:end w:w="120" w:type="dxa"/>
            </w:tcMar>
          </w:tcPr>
          <w:p>
            <w:r>
              <w:rPr>
                <w:rFonts w:ascii="Calibri" w:hAnsi="Calibri"/>
                <w:sz w:val="18"/>
              </w:rPr>
              <w:t>ADR-064</w:t>
            </w:r>
          </w:p>
        </w:tc>
        <w:tc>
          <w:tcPr>
            <w:tcW w:type="dxa" w:w="3300"/>
            <w:tcMar>
              <w:top w:w="80" w:type="dxa"/>
              <w:start w:w="120" w:type="dxa"/>
              <w:bottom w:w="80" w:type="dxa"/>
              <w:end w:w="120" w:type="dxa"/>
            </w:tcMar>
          </w:tcPr>
          <w:p>
            <w:r>
              <w:rPr>
                <w:rFonts w:ascii="Calibri" w:hAnsi="Calibri"/>
                <w:sz w:val="18"/>
              </w:rPr>
              <w:t>UUID offline conservé côté serveur</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remapping et faciliter idempotence.</w:t>
            </w:r>
          </w:p>
        </w:tc>
      </w:tr>
      <w:tr>
        <w:tc>
          <w:tcPr>
            <w:tcW w:type="dxa" w:w="1050"/>
            <w:tcMar>
              <w:top w:w="80" w:type="dxa"/>
              <w:start w:w="120" w:type="dxa"/>
              <w:bottom w:w="80" w:type="dxa"/>
              <w:end w:w="120" w:type="dxa"/>
            </w:tcMar>
          </w:tcPr>
          <w:p>
            <w:r>
              <w:rPr>
                <w:rFonts w:ascii="Calibri" w:hAnsi="Calibri"/>
                <w:sz w:val="18"/>
              </w:rPr>
              <w:t>ADR-065</w:t>
            </w:r>
          </w:p>
        </w:tc>
        <w:tc>
          <w:tcPr>
            <w:tcW w:type="dxa" w:w="3300"/>
            <w:tcMar>
              <w:top w:w="80" w:type="dxa"/>
              <w:start w:w="120" w:type="dxa"/>
              <w:bottom w:w="80" w:type="dxa"/>
              <w:end w:w="120" w:type="dxa"/>
            </w:tcMar>
          </w:tcPr>
          <w:p>
            <w:r>
              <w:rPr>
                <w:rFonts w:ascii="Calibri" w:hAnsi="Calibri"/>
                <w:sz w:val="18"/>
              </w:rPr>
              <w:t>Séquence locale monotone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Détecter trous, retries et anomalies.</w:t>
            </w:r>
          </w:p>
        </w:tc>
      </w:tr>
      <w:tr>
        <w:tc>
          <w:tcPr>
            <w:tcW w:type="dxa" w:w="1050"/>
            <w:tcMar>
              <w:top w:w="80" w:type="dxa"/>
              <w:start w:w="120" w:type="dxa"/>
              <w:bottom w:w="80" w:type="dxa"/>
              <w:end w:w="120" w:type="dxa"/>
            </w:tcMar>
          </w:tcPr>
          <w:p>
            <w:r>
              <w:rPr>
                <w:rFonts w:ascii="Calibri" w:hAnsi="Calibri"/>
                <w:sz w:val="18"/>
              </w:rPr>
              <w:t>ADR-066</w:t>
            </w:r>
          </w:p>
        </w:tc>
        <w:tc>
          <w:tcPr>
            <w:tcW w:type="dxa" w:w="3300"/>
            <w:tcMar>
              <w:top w:w="80" w:type="dxa"/>
              <w:start w:w="120" w:type="dxa"/>
              <w:bottom w:w="80" w:type="dxa"/>
              <w:end w:w="120" w:type="dxa"/>
            </w:tcMar>
          </w:tcPr>
          <w:p>
            <w:r>
              <w:rPr>
                <w:rFonts w:ascii="Calibri" w:hAnsi="Calibri"/>
                <w:sz w:val="18"/>
              </w:rPr>
              <w:t>Upload/download idempotents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Tolérer réseau instable et redelivery.</w:t>
            </w:r>
          </w:p>
        </w:tc>
      </w:tr>
      <w:tr>
        <w:tc>
          <w:tcPr>
            <w:tcW w:type="dxa" w:w="1050"/>
            <w:tcMar>
              <w:top w:w="80" w:type="dxa"/>
              <w:start w:w="120" w:type="dxa"/>
              <w:bottom w:w="80" w:type="dxa"/>
              <w:end w:w="120" w:type="dxa"/>
            </w:tcMar>
          </w:tcPr>
          <w:p>
            <w:r>
              <w:rPr>
                <w:rFonts w:ascii="Calibri" w:hAnsi="Calibri"/>
                <w:sz w:val="18"/>
              </w:rPr>
              <w:t>ADR-067</w:t>
            </w:r>
          </w:p>
        </w:tc>
        <w:tc>
          <w:tcPr>
            <w:tcW w:type="dxa" w:w="3300"/>
            <w:tcMar>
              <w:top w:w="80" w:type="dxa"/>
              <w:start w:w="120" w:type="dxa"/>
              <w:bottom w:w="80" w:type="dxa"/>
              <w:end w:w="120" w:type="dxa"/>
            </w:tcMar>
          </w:tcPr>
          <w:p>
            <w:r>
              <w:rPr>
                <w:rFonts w:ascii="Calibri" w:hAnsi="Calibri"/>
                <w:sz w:val="18"/>
              </w:rPr>
              <w:t>Stock local comme estimation</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Reconnaître l’absence de visibilité inter-device.</w:t>
            </w:r>
          </w:p>
        </w:tc>
      </w:tr>
      <w:tr>
        <w:tc>
          <w:tcPr>
            <w:tcW w:type="dxa" w:w="1050"/>
            <w:tcMar>
              <w:top w:w="80" w:type="dxa"/>
              <w:start w:w="120" w:type="dxa"/>
              <w:bottom w:w="80" w:type="dxa"/>
              <w:end w:w="120" w:type="dxa"/>
            </w:tcMar>
          </w:tcPr>
          <w:p>
            <w:r>
              <w:rPr>
                <w:rFonts w:ascii="Calibri" w:hAnsi="Calibri"/>
                <w:sz w:val="18"/>
              </w:rPr>
              <w:t>ADR-068</w:t>
            </w:r>
          </w:p>
        </w:tc>
        <w:tc>
          <w:tcPr>
            <w:tcW w:type="dxa" w:w="3300"/>
            <w:tcMar>
              <w:top w:w="80" w:type="dxa"/>
              <w:start w:w="120" w:type="dxa"/>
              <w:bottom w:w="80" w:type="dxa"/>
              <w:end w:w="120" w:type="dxa"/>
            </w:tcMar>
          </w:tcPr>
          <w:p>
            <w:r>
              <w:rPr>
                <w:rFonts w:ascii="Calibri" w:hAnsi="Calibri"/>
                <w:sz w:val="18"/>
              </w:rPr>
              <w:t>Politique de stock par produit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Adapter le risque à la nature du produit.</w:t>
            </w:r>
          </w:p>
        </w:tc>
      </w:tr>
      <w:tr>
        <w:tc>
          <w:tcPr>
            <w:tcW w:type="dxa" w:w="1050"/>
            <w:tcMar>
              <w:top w:w="80" w:type="dxa"/>
              <w:start w:w="120" w:type="dxa"/>
              <w:bottom w:w="80" w:type="dxa"/>
              <w:end w:w="120" w:type="dxa"/>
            </w:tcMar>
          </w:tcPr>
          <w:p>
            <w:r>
              <w:rPr>
                <w:rFonts w:ascii="Calibri" w:hAnsi="Calibri"/>
                <w:sz w:val="18"/>
              </w:rPr>
              <w:t>ADR-069</w:t>
            </w:r>
          </w:p>
        </w:tc>
        <w:tc>
          <w:tcPr>
            <w:tcW w:type="dxa" w:w="3300"/>
            <w:tcMar>
              <w:top w:w="80" w:type="dxa"/>
              <w:start w:w="120" w:type="dxa"/>
              <w:bottom w:w="80" w:type="dxa"/>
              <w:end w:w="120" w:type="dxa"/>
            </w:tcMar>
          </w:tcPr>
          <w:p>
            <w:r>
              <w:rPr>
                <w:rFonts w:ascii="Calibri" w:hAnsi="Calibri"/>
                <w:sz w:val="18"/>
              </w:rPr>
              <w:t>`CompleteOfflineSale` atomique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Préserver cohérence vente, cash et stock.</w:t>
            </w:r>
          </w:p>
        </w:tc>
      </w:tr>
      <w:tr>
        <w:tc>
          <w:tcPr>
            <w:tcW w:type="dxa" w:w="1050"/>
            <w:tcMar>
              <w:top w:w="80" w:type="dxa"/>
              <w:start w:w="120" w:type="dxa"/>
              <w:bottom w:w="80" w:type="dxa"/>
              <w:end w:w="120" w:type="dxa"/>
            </w:tcMar>
          </w:tcPr>
          <w:p>
            <w:r>
              <w:rPr>
                <w:rFonts w:ascii="Calibri" w:hAnsi="Calibri"/>
                <w:sz w:val="18"/>
              </w:rPr>
              <w:t>ADR-070</w:t>
            </w:r>
          </w:p>
        </w:tc>
        <w:tc>
          <w:tcPr>
            <w:tcW w:type="dxa" w:w="3300"/>
            <w:tcMar>
              <w:top w:w="80" w:type="dxa"/>
              <w:start w:w="120" w:type="dxa"/>
              <w:bottom w:w="80" w:type="dxa"/>
              <w:end w:w="120" w:type="dxa"/>
            </w:tcMar>
          </w:tcPr>
          <w:p>
            <w:r>
              <w:rPr>
                <w:rFonts w:ascii="Calibri" w:hAnsi="Calibri"/>
                <w:sz w:val="18"/>
              </w:rPr>
              <w:t>Survente comme anomalie explicite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Reconnaître la réalité sans stock négatif.</w:t>
            </w:r>
          </w:p>
        </w:tc>
      </w:tr>
      <w:tr>
        <w:tc>
          <w:tcPr>
            <w:tcW w:type="dxa" w:w="1050"/>
            <w:tcMar>
              <w:top w:w="80" w:type="dxa"/>
              <w:start w:w="120" w:type="dxa"/>
              <w:bottom w:w="80" w:type="dxa"/>
              <w:end w:w="120" w:type="dxa"/>
            </w:tcMar>
          </w:tcPr>
          <w:p>
            <w:r>
              <w:rPr>
                <w:rFonts w:ascii="Calibri" w:hAnsi="Calibri"/>
                <w:sz w:val="18"/>
              </w:rPr>
              <w:t>ADR-071</w:t>
            </w:r>
          </w:p>
        </w:tc>
        <w:tc>
          <w:tcPr>
            <w:tcW w:type="dxa" w:w="3300"/>
            <w:tcMar>
              <w:top w:w="80" w:type="dxa"/>
              <w:start w:w="120" w:type="dxa"/>
              <w:bottom w:w="80" w:type="dxa"/>
              <w:end w:w="120" w:type="dxa"/>
            </w:tcMar>
          </w:tcPr>
          <w:p>
            <w:r>
              <w:rPr>
                <w:rFonts w:ascii="Calibri" w:hAnsi="Calibri"/>
                <w:sz w:val="18"/>
              </w:rPr>
              <w:t>CashSession liée à un device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Simplifier ordre et rapprochement du MVP.</w:t>
            </w:r>
          </w:p>
        </w:tc>
      </w:tr>
      <w:tr>
        <w:tc>
          <w:tcPr>
            <w:tcW w:type="dxa" w:w="1050"/>
            <w:tcMar>
              <w:top w:w="80" w:type="dxa"/>
              <w:start w:w="120" w:type="dxa"/>
              <w:bottom w:w="80" w:type="dxa"/>
              <w:end w:w="120" w:type="dxa"/>
            </w:tcMar>
          </w:tcPr>
          <w:p>
            <w:r>
              <w:rPr>
                <w:rFonts w:ascii="Calibri" w:hAnsi="Calibri"/>
                <w:sz w:val="18"/>
              </w:rPr>
              <w:t>ADR-072</w:t>
            </w:r>
          </w:p>
        </w:tc>
        <w:tc>
          <w:tcPr>
            <w:tcW w:type="dxa" w:w="3300"/>
            <w:tcMar>
              <w:top w:w="80" w:type="dxa"/>
              <w:start w:w="120" w:type="dxa"/>
              <w:bottom w:w="80" w:type="dxa"/>
              <w:end w:w="120" w:type="dxa"/>
            </w:tcMar>
          </w:tcPr>
          <w:p>
            <w:r>
              <w:rPr>
                <w:rFonts w:ascii="Calibri" w:hAnsi="Calibri"/>
                <w:sz w:val="18"/>
              </w:rPr>
              <w:t>Clôture offline provisoire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Permettre recalcul officiel serveur.</w:t>
            </w:r>
          </w:p>
        </w:tc>
      </w:tr>
      <w:tr>
        <w:tc>
          <w:tcPr>
            <w:tcW w:type="dxa" w:w="1050"/>
            <w:tcMar>
              <w:top w:w="80" w:type="dxa"/>
              <w:start w:w="120" w:type="dxa"/>
              <w:bottom w:w="80" w:type="dxa"/>
              <w:end w:w="120" w:type="dxa"/>
            </w:tcMar>
          </w:tcPr>
          <w:p>
            <w:r>
              <w:rPr>
                <w:rFonts w:ascii="Calibri" w:hAnsi="Calibri"/>
                <w:sz w:val="18"/>
              </w:rPr>
              <w:t>ADR-073</w:t>
            </w:r>
          </w:p>
        </w:tc>
        <w:tc>
          <w:tcPr>
            <w:tcW w:type="dxa" w:w="3300"/>
            <w:tcMar>
              <w:top w:w="80" w:type="dxa"/>
              <w:start w:w="120" w:type="dxa"/>
              <w:bottom w:w="80" w:type="dxa"/>
              <w:end w:w="120" w:type="dxa"/>
            </w:tcMar>
          </w:tcPr>
          <w:p>
            <w:r>
              <w:rPr>
                <w:rFonts w:ascii="Calibri" w:hAnsi="Calibri"/>
                <w:sz w:val="18"/>
              </w:rPr>
              <w:t>Curseur download transactionnel</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perte de changements.</w:t>
            </w:r>
          </w:p>
        </w:tc>
      </w:tr>
      <w:tr>
        <w:tc>
          <w:tcPr>
            <w:tcW w:type="dxa" w:w="1050"/>
            <w:tcMar>
              <w:top w:w="80" w:type="dxa"/>
              <w:start w:w="120" w:type="dxa"/>
              <w:bottom w:w="80" w:type="dxa"/>
              <w:end w:w="120" w:type="dxa"/>
            </w:tcMar>
          </w:tcPr>
          <w:p>
            <w:r>
              <w:rPr>
                <w:rFonts w:ascii="Calibri" w:hAnsi="Calibri"/>
                <w:sz w:val="18"/>
              </w:rPr>
              <w:t>ADR-074</w:t>
            </w:r>
          </w:p>
        </w:tc>
        <w:tc>
          <w:tcPr>
            <w:tcW w:type="dxa" w:w="3300"/>
            <w:tcMar>
              <w:top w:w="80" w:type="dxa"/>
              <w:start w:w="120" w:type="dxa"/>
              <w:bottom w:w="80" w:type="dxa"/>
              <w:end w:w="120" w:type="dxa"/>
            </w:tcMar>
          </w:tcPr>
          <w:p>
            <w:r>
              <w:rPr>
                <w:rFonts w:ascii="Calibri" w:hAnsi="Calibri"/>
                <w:sz w:val="18"/>
              </w:rPr>
              <w:t>Tombstones anti-résurrection</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Bloquer le retour d’anciennes données.</w:t>
            </w:r>
          </w:p>
        </w:tc>
      </w:tr>
      <w:tr>
        <w:tc>
          <w:tcPr>
            <w:tcW w:type="dxa" w:w="1050"/>
            <w:tcMar>
              <w:top w:w="80" w:type="dxa"/>
              <w:start w:w="120" w:type="dxa"/>
              <w:bottom w:w="80" w:type="dxa"/>
              <w:end w:w="120" w:type="dxa"/>
            </w:tcMar>
          </w:tcPr>
          <w:p>
            <w:r>
              <w:rPr>
                <w:rFonts w:ascii="Calibri" w:hAnsi="Calibri"/>
                <w:sz w:val="18"/>
              </w:rPr>
              <w:t>ADR-075</w:t>
            </w:r>
          </w:p>
        </w:tc>
        <w:tc>
          <w:tcPr>
            <w:tcW w:type="dxa" w:w="3300"/>
            <w:tcMar>
              <w:top w:w="80" w:type="dxa"/>
              <w:start w:w="120" w:type="dxa"/>
              <w:bottom w:w="80" w:type="dxa"/>
              <w:end w:w="120" w:type="dxa"/>
            </w:tcMar>
          </w:tcPr>
          <w:p>
            <w:r>
              <w:rPr>
                <w:rFonts w:ascii="Calibri" w:hAnsi="Calibri"/>
                <w:sz w:val="18"/>
              </w:rPr>
              <w:t>Resync préservant les commandes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Ne jamais perdre les écritures locales.</w:t>
            </w:r>
          </w:p>
        </w:tc>
      </w:tr>
      <w:tr>
        <w:tc>
          <w:tcPr>
            <w:tcW w:type="dxa" w:w="1050"/>
            <w:tcMar>
              <w:top w:w="80" w:type="dxa"/>
              <w:start w:w="120" w:type="dxa"/>
              <w:bottom w:w="80" w:type="dxa"/>
              <w:end w:w="120" w:type="dxa"/>
            </w:tcMar>
          </w:tcPr>
          <w:p>
            <w:r>
              <w:rPr>
                <w:rFonts w:ascii="Calibri" w:hAnsi="Calibri"/>
                <w:sz w:val="18"/>
              </w:rPr>
              <w:t>ADR-076</w:t>
            </w:r>
          </w:p>
        </w:tc>
        <w:tc>
          <w:tcPr>
            <w:tcW w:type="dxa" w:w="3300"/>
            <w:tcMar>
              <w:top w:w="80" w:type="dxa"/>
              <w:start w:w="120" w:type="dxa"/>
              <w:bottom w:w="80" w:type="dxa"/>
              <w:end w:w="120" w:type="dxa"/>
            </w:tcMar>
          </w:tcPr>
          <w:p>
            <w:r>
              <w:rPr>
                <w:rFonts w:ascii="Calibri" w:hAnsi="Calibri"/>
                <w:sz w:val="18"/>
              </w:rPr>
              <w:t>Stockage chiffré et clés liées au device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Protéger un terminal perdu ou copié.</w:t>
            </w:r>
          </w:p>
        </w:tc>
      </w:tr>
      <w:tr>
        <w:tc>
          <w:tcPr>
            <w:tcW w:type="dxa" w:w="1050"/>
            <w:tcMar>
              <w:top w:w="80" w:type="dxa"/>
              <w:start w:w="120" w:type="dxa"/>
              <w:bottom w:w="80" w:type="dxa"/>
              <w:end w:w="120" w:type="dxa"/>
            </w:tcMar>
          </w:tcPr>
          <w:p>
            <w:r>
              <w:rPr>
                <w:rFonts w:ascii="Calibri" w:hAnsi="Calibri"/>
                <w:sz w:val="18"/>
              </w:rPr>
              <w:t>ADR-077</w:t>
            </w:r>
          </w:p>
        </w:tc>
        <w:tc>
          <w:tcPr>
            <w:tcW w:type="dxa" w:w="3300"/>
            <w:tcMar>
              <w:top w:w="80" w:type="dxa"/>
              <w:start w:w="120" w:type="dxa"/>
              <w:bottom w:w="80" w:type="dxa"/>
              <w:end w:w="120" w:type="dxa"/>
            </w:tcMar>
          </w:tcPr>
          <w:p>
            <w:r>
              <w:rPr>
                <w:rFonts w:ascii="Calibri" w:hAnsi="Calibri"/>
                <w:sz w:val="18"/>
              </w:rPr>
              <w:t>Horloge non fiable bloque les écritures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Faire respecter durée et grants offline.</w:t>
            </w:r>
          </w:p>
        </w:tc>
      </w:tr>
      <w:tr>
        <w:tc>
          <w:tcPr>
            <w:tcW w:type="dxa" w:w="1050"/>
            <w:tcMar>
              <w:top w:w="80" w:type="dxa"/>
              <w:start w:w="120" w:type="dxa"/>
              <w:bottom w:w="80" w:type="dxa"/>
              <w:end w:w="120" w:type="dxa"/>
            </w:tcMar>
          </w:tcPr>
          <w:p>
            <w:r>
              <w:rPr>
                <w:rFonts w:ascii="Calibri" w:hAnsi="Calibri"/>
                <w:sz w:val="18"/>
              </w:rPr>
              <w:t>ADR-078</w:t>
            </w:r>
          </w:p>
        </w:tc>
        <w:tc>
          <w:tcPr>
            <w:tcW w:type="dxa" w:w="3300"/>
            <w:tcMar>
              <w:top w:w="80" w:type="dxa"/>
              <w:start w:w="120" w:type="dxa"/>
              <w:bottom w:w="80" w:type="dxa"/>
              <w:end w:w="120" w:type="dxa"/>
            </w:tcMar>
          </w:tcPr>
          <w:p>
            <w:r>
              <w:rPr>
                <w:rFonts w:ascii="Calibri" w:hAnsi="Calibri"/>
                <w:sz w:val="18"/>
              </w:rPr>
              <w:t>Recovery sans nouvelle opération</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Récupérer sans élargir le risque.</w:t>
            </w:r>
          </w:p>
        </w:tc>
      </w:tr>
      <w:tr>
        <w:tc>
          <w:tcPr>
            <w:tcW w:type="dxa" w:w="1050"/>
            <w:tcMar>
              <w:top w:w="80" w:type="dxa"/>
              <w:start w:w="120" w:type="dxa"/>
              <w:bottom w:w="80" w:type="dxa"/>
              <w:end w:w="120" w:type="dxa"/>
            </w:tcMar>
          </w:tcPr>
          <w:p>
            <w:r>
              <w:rPr>
                <w:rFonts w:ascii="Calibri" w:hAnsi="Calibri"/>
                <w:sz w:val="18"/>
              </w:rPr>
              <w:t>ADR-079</w:t>
            </w:r>
          </w:p>
        </w:tc>
        <w:tc>
          <w:tcPr>
            <w:tcW w:type="dxa" w:w="3300"/>
            <w:tcMar>
              <w:top w:w="80" w:type="dxa"/>
              <w:start w:w="120" w:type="dxa"/>
              <w:bottom w:w="80" w:type="dxa"/>
              <w:end w:w="120" w:type="dxa"/>
            </w:tcMar>
          </w:tcPr>
          <w:p>
            <w:r>
              <w:rPr>
                <w:rFonts w:ascii="Calibri" w:hAnsi="Calibri"/>
                <w:sz w:val="18"/>
              </w:rPr>
              <w:t>Résolution manuelle auditée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Interdire les modifications directes opaques.</w:t>
            </w:r>
          </w:p>
        </w:tc>
      </w:tr>
      <w:tr>
        <w:tc>
          <w:tcPr>
            <w:tcW w:type="dxa" w:w="1050"/>
            <w:tcMar>
              <w:top w:w="80" w:type="dxa"/>
              <w:start w:w="120" w:type="dxa"/>
              <w:bottom w:w="80" w:type="dxa"/>
              <w:end w:w="120" w:type="dxa"/>
            </w:tcMar>
          </w:tcPr>
          <w:p>
            <w:r>
              <w:rPr>
                <w:rFonts w:ascii="Calibri" w:hAnsi="Calibri"/>
                <w:sz w:val="18"/>
              </w:rPr>
              <w:t>ADR-080</w:t>
            </w:r>
          </w:p>
        </w:tc>
        <w:tc>
          <w:tcPr>
            <w:tcW w:type="dxa" w:w="3300"/>
            <w:tcMar>
              <w:top w:w="80" w:type="dxa"/>
              <w:start w:w="120" w:type="dxa"/>
              <w:bottom w:w="80" w:type="dxa"/>
              <w:end w:w="120" w:type="dxa"/>
            </w:tcMar>
          </w:tcPr>
          <w:p>
            <w:r>
              <w:rPr>
                <w:rFonts w:ascii="Calibri" w:hAnsi="Calibri"/>
                <w:sz w:val="18"/>
              </w:rPr>
              <w:t>Structure Domain/Application/Infrastructure/Contracts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Rendre les frontières exécutables.</w:t>
            </w:r>
          </w:p>
        </w:tc>
      </w:tr>
      <w:tr>
        <w:tc>
          <w:tcPr>
            <w:tcW w:type="dxa" w:w="1050"/>
            <w:tcMar>
              <w:top w:w="80" w:type="dxa"/>
              <w:start w:w="120" w:type="dxa"/>
              <w:bottom w:w="80" w:type="dxa"/>
              <w:end w:w="120" w:type="dxa"/>
            </w:tcMar>
          </w:tcPr>
          <w:p>
            <w:r>
              <w:rPr>
                <w:rFonts w:ascii="Calibri" w:hAnsi="Calibri"/>
                <w:sz w:val="18"/>
              </w:rPr>
              <w:t>ADR-081</w:t>
            </w:r>
          </w:p>
        </w:tc>
        <w:tc>
          <w:tcPr>
            <w:tcW w:type="dxa" w:w="3300"/>
            <w:tcMar>
              <w:top w:w="80" w:type="dxa"/>
              <w:start w:w="120" w:type="dxa"/>
              <w:bottom w:w="80" w:type="dxa"/>
              <w:end w:w="120" w:type="dxa"/>
            </w:tcMar>
          </w:tcPr>
          <w:p>
            <w:r>
              <w:rPr>
                <w:rFonts w:ascii="Calibri" w:hAnsi="Calibri"/>
                <w:sz w:val="18"/>
              </w:rPr>
              <w:t>Shared Kernel minimal</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un nouveau monolithe partagé.</w:t>
            </w:r>
          </w:p>
        </w:tc>
      </w:tr>
      <w:tr>
        <w:tc>
          <w:tcPr>
            <w:tcW w:type="dxa" w:w="1050"/>
            <w:tcMar>
              <w:top w:w="80" w:type="dxa"/>
              <w:start w:w="120" w:type="dxa"/>
              <w:bottom w:w="80" w:type="dxa"/>
              <w:end w:w="120" w:type="dxa"/>
            </w:tcMar>
          </w:tcPr>
          <w:p>
            <w:r>
              <w:rPr>
                <w:rFonts w:ascii="Calibri" w:hAnsi="Calibri"/>
                <w:sz w:val="18"/>
              </w:rPr>
              <w:t>ADR-082</w:t>
            </w:r>
          </w:p>
        </w:tc>
        <w:tc>
          <w:tcPr>
            <w:tcW w:type="dxa" w:w="3300"/>
            <w:tcMar>
              <w:top w:w="80" w:type="dxa"/>
              <w:start w:w="120" w:type="dxa"/>
              <w:bottom w:w="80" w:type="dxa"/>
              <w:end w:w="120" w:type="dxa"/>
            </w:tcMar>
          </w:tcPr>
          <w:p>
            <w:r>
              <w:rPr>
                <w:rFonts w:ascii="Calibri" w:hAnsi="Calibri"/>
                <w:sz w:val="18"/>
              </w:rPr>
              <w:t>Schéma logique par module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Garantir ownership et isolation.</w:t>
            </w:r>
          </w:p>
        </w:tc>
      </w:tr>
      <w:tr>
        <w:tc>
          <w:tcPr>
            <w:tcW w:type="dxa" w:w="1050"/>
            <w:tcMar>
              <w:top w:w="80" w:type="dxa"/>
              <w:start w:w="120" w:type="dxa"/>
              <w:bottom w:w="80" w:type="dxa"/>
              <w:end w:w="120" w:type="dxa"/>
            </w:tcMar>
          </w:tcPr>
          <w:p>
            <w:r>
              <w:rPr>
                <w:rFonts w:ascii="Calibri" w:hAnsi="Calibri"/>
                <w:sz w:val="18"/>
              </w:rPr>
              <w:t>ADR-083</w:t>
            </w:r>
          </w:p>
        </w:tc>
        <w:tc>
          <w:tcPr>
            <w:tcW w:type="dxa" w:w="3300"/>
            <w:tcMar>
              <w:top w:w="80" w:type="dxa"/>
              <w:start w:w="120" w:type="dxa"/>
              <w:bottom w:w="80" w:type="dxa"/>
              <w:end w:w="120" w:type="dxa"/>
            </w:tcMar>
          </w:tcPr>
          <w:p>
            <w:r>
              <w:rPr>
                <w:rFonts w:ascii="Calibri" w:hAnsi="Calibri"/>
                <w:sz w:val="18"/>
              </w:rPr>
              <w:t>CQRS pragmatique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Séparer intention et lecture sans complexité imposée.</w:t>
            </w:r>
          </w:p>
        </w:tc>
      </w:tr>
      <w:tr>
        <w:tc>
          <w:tcPr>
            <w:tcW w:type="dxa" w:w="1050"/>
            <w:tcMar>
              <w:top w:w="80" w:type="dxa"/>
              <w:start w:w="120" w:type="dxa"/>
              <w:bottom w:w="80" w:type="dxa"/>
              <w:end w:w="120" w:type="dxa"/>
            </w:tcMar>
          </w:tcPr>
          <w:p>
            <w:r>
              <w:rPr>
                <w:rFonts w:ascii="Calibri" w:hAnsi="Calibri"/>
                <w:sz w:val="18"/>
              </w:rPr>
              <w:t>ADR-084</w:t>
            </w:r>
          </w:p>
        </w:tc>
        <w:tc>
          <w:tcPr>
            <w:tcW w:type="dxa" w:w="3300"/>
            <w:tcMar>
              <w:top w:w="80" w:type="dxa"/>
              <w:start w:w="120" w:type="dxa"/>
              <w:bottom w:w="80" w:type="dxa"/>
              <w:end w:w="120" w:type="dxa"/>
            </w:tcMar>
          </w:tcPr>
          <w:p>
            <w:r>
              <w:rPr>
                <w:rFonts w:ascii="Calibri" w:hAnsi="Calibri"/>
                <w:sz w:val="18"/>
              </w:rPr>
              <w:t>Trois modèles transactionnels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Adapter cohérence au type de workflow.</w:t>
            </w:r>
          </w:p>
        </w:tc>
      </w:tr>
      <w:tr>
        <w:tc>
          <w:tcPr>
            <w:tcW w:type="dxa" w:w="1050"/>
            <w:tcMar>
              <w:top w:w="80" w:type="dxa"/>
              <w:start w:w="120" w:type="dxa"/>
              <w:bottom w:w="80" w:type="dxa"/>
              <w:end w:w="120" w:type="dxa"/>
            </w:tcMar>
          </w:tcPr>
          <w:p>
            <w:r>
              <w:rPr>
                <w:rFonts w:ascii="Calibri" w:hAnsi="Calibri"/>
                <w:sz w:val="18"/>
              </w:rPr>
              <w:t>ADR-085</w:t>
            </w:r>
          </w:p>
        </w:tc>
        <w:tc>
          <w:tcPr>
            <w:tcW w:type="dxa" w:w="3300"/>
            <w:tcMar>
              <w:top w:w="80" w:type="dxa"/>
              <w:start w:w="120" w:type="dxa"/>
              <w:bottom w:w="80" w:type="dxa"/>
              <w:end w:w="120" w:type="dxa"/>
            </w:tcMar>
          </w:tcPr>
          <w:p>
            <w:r>
              <w:rPr>
                <w:rFonts w:ascii="Calibri" w:hAnsi="Calibri"/>
                <w:sz w:val="18"/>
              </w:rPr>
              <w:t>Fitness tests en CI</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Empêcher l’érosion des frontières.</w:t>
            </w:r>
          </w:p>
        </w:tc>
      </w:tr>
      <w:tr>
        <w:tc>
          <w:tcPr>
            <w:tcW w:type="dxa" w:w="1050"/>
            <w:tcMar>
              <w:top w:w="80" w:type="dxa"/>
              <w:start w:w="120" w:type="dxa"/>
              <w:bottom w:w="80" w:type="dxa"/>
              <w:end w:w="120" w:type="dxa"/>
            </w:tcMar>
          </w:tcPr>
          <w:p>
            <w:r>
              <w:rPr>
                <w:rFonts w:ascii="Calibri" w:hAnsi="Calibri"/>
                <w:sz w:val="18"/>
              </w:rPr>
              <w:t>ADR-086</w:t>
            </w:r>
          </w:p>
        </w:tc>
        <w:tc>
          <w:tcPr>
            <w:tcW w:type="dxa" w:w="3300"/>
            <w:tcMar>
              <w:top w:w="80" w:type="dxa"/>
              <w:start w:w="120" w:type="dxa"/>
              <w:bottom w:w="80" w:type="dxa"/>
              <w:end w:w="120" w:type="dxa"/>
            </w:tcMar>
          </w:tcPr>
          <w:p>
            <w:r>
              <w:rPr>
                <w:rFonts w:ascii="Calibri" w:hAnsi="Calibri"/>
                <w:sz w:val="18"/>
              </w:rPr>
              <w:t>Tests sur infrastructure réelle</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Valider concurrence, decimals et contraintes.</w:t>
            </w:r>
          </w:p>
        </w:tc>
      </w:tr>
      <w:tr>
        <w:tc>
          <w:tcPr>
            <w:tcW w:type="dxa" w:w="1050"/>
            <w:tcMar>
              <w:top w:w="80" w:type="dxa"/>
              <w:start w:w="120" w:type="dxa"/>
              <w:bottom w:w="80" w:type="dxa"/>
              <w:end w:w="120" w:type="dxa"/>
            </w:tcMar>
          </w:tcPr>
          <w:p>
            <w:r>
              <w:rPr>
                <w:rFonts w:ascii="Calibri" w:hAnsi="Calibri"/>
                <w:sz w:val="18"/>
              </w:rPr>
              <w:t>ADR-087</w:t>
            </w:r>
          </w:p>
        </w:tc>
        <w:tc>
          <w:tcPr>
            <w:tcW w:type="dxa" w:w="3300"/>
            <w:tcMar>
              <w:top w:w="80" w:type="dxa"/>
              <w:start w:w="120" w:type="dxa"/>
              <w:bottom w:w="80" w:type="dxa"/>
              <w:end w:w="120" w:type="dxa"/>
            </w:tcMar>
          </w:tcPr>
          <w:p>
            <w:r>
              <w:rPr>
                <w:rFonts w:ascii="Calibri" w:hAnsi="Calibri"/>
                <w:sz w:val="18"/>
              </w:rPr>
              <w:t>Migrations expand-and-contract</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Permettre coexistence et rollback.</w:t>
            </w:r>
          </w:p>
        </w:tc>
      </w:tr>
      <w:tr>
        <w:tc>
          <w:tcPr>
            <w:tcW w:type="dxa" w:w="1050"/>
            <w:tcMar>
              <w:top w:w="80" w:type="dxa"/>
              <w:start w:w="120" w:type="dxa"/>
              <w:bottom w:w="80" w:type="dxa"/>
              <w:end w:w="120" w:type="dxa"/>
            </w:tcMar>
          </w:tcPr>
          <w:p>
            <w:r>
              <w:rPr>
                <w:rFonts w:ascii="Calibri" w:hAnsi="Calibri"/>
                <w:sz w:val="18"/>
              </w:rPr>
              <w:t>ADR-088</w:t>
            </w:r>
          </w:p>
        </w:tc>
        <w:tc>
          <w:tcPr>
            <w:tcW w:type="dxa" w:w="3300"/>
            <w:tcMar>
              <w:top w:w="80" w:type="dxa"/>
              <w:start w:w="120" w:type="dxa"/>
              <w:bottom w:w="80" w:type="dxa"/>
              <w:end w:w="120" w:type="dxa"/>
            </w:tcMar>
          </w:tcPr>
          <w:p>
            <w:r>
              <w:rPr>
                <w:rFonts w:ascii="Calibri" w:hAnsi="Calibri"/>
                <w:sz w:val="18"/>
              </w:rPr>
              <w:t>Roadmap par tranches verticales</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Livrer des capacités utilisables de bout en bout.</w:t>
            </w:r>
          </w:p>
        </w:tc>
      </w:tr>
      <w:tr>
        <w:tc>
          <w:tcPr>
            <w:tcW w:type="dxa" w:w="1050"/>
            <w:tcMar>
              <w:top w:w="80" w:type="dxa"/>
              <w:start w:w="120" w:type="dxa"/>
              <w:bottom w:w="80" w:type="dxa"/>
              <w:end w:w="120" w:type="dxa"/>
            </w:tcMar>
          </w:tcPr>
          <w:p>
            <w:r>
              <w:rPr>
                <w:rFonts w:ascii="Calibri" w:hAnsi="Calibri"/>
                <w:sz w:val="18"/>
              </w:rPr>
              <w:t>ADR-089</w:t>
            </w:r>
          </w:p>
        </w:tc>
        <w:tc>
          <w:tcPr>
            <w:tcW w:type="dxa" w:w="3300"/>
            <w:tcMar>
              <w:top w:w="80" w:type="dxa"/>
              <w:start w:w="120" w:type="dxa"/>
              <w:bottom w:w="80" w:type="dxa"/>
              <w:end w:w="120" w:type="dxa"/>
            </w:tcMar>
          </w:tcPr>
          <w:p>
            <w:r>
              <w:rPr>
                <w:rFonts w:ascii="Calibri" w:hAnsi="Calibri"/>
                <w:sz w:val="18"/>
              </w:rPr>
              <w:t>Stack décidée avant Lot 0</w:t>
            </w:r>
          </w:p>
        </w:tc>
        <w:tc>
          <w:tcPr>
            <w:tcW w:type="dxa" w:w="1500"/>
            <w:tcMar>
              <w:top w:w="80" w:type="dxa"/>
              <w:start w:w="120" w:type="dxa"/>
              <w:bottom w:w="80" w:type="dxa"/>
              <w:end w:w="120" w:type="dxa"/>
            </w:tcMar>
          </w:tcPr>
          <w:p>
            <w:r>
              <w:rPr>
                <w:rFonts w:ascii="Calibri" w:hAnsi="Calibri"/>
                <w:sz w:val="18"/>
              </w:rPr>
              <w:t>DÉCIDÉ</w:t>
            </w:r>
          </w:p>
        </w:tc>
        <w:tc>
          <w:tcPr>
            <w:tcW w:type="dxa" w:w="3510"/>
            <w:tcMar>
              <w:top w:w="80" w:type="dxa"/>
              <w:start w:w="120" w:type="dxa"/>
              <w:bottom w:w="80" w:type="dxa"/>
              <w:end w:w="120" w:type="dxa"/>
            </w:tcMar>
          </w:tcPr>
          <w:p>
            <w:r>
              <w:rPr>
                <w:rFonts w:ascii="Calibri" w:hAnsi="Calibri"/>
                <w:sz w:val="18"/>
              </w:rPr>
              <w:t>Éviter un socle construit sur des hypothèses ouvertes.</w:t>
            </w:r>
          </w:p>
        </w:tc>
      </w:tr>
    </w:tbl>
    <w:p>
      <w:pPr>
        <w:spacing w:after="0"/>
      </w:pPr>
    </w:p>
    <w:p>
      <w:pPr>
        <w:pStyle w:val="Heading1"/>
      </w:pPr>
      <w:r>
        <w:t>32. Questions ouvertes</w:t>
      </w:r>
    </w:p>
    <w:tbl>
      <w:tblPr>
        <w:tblStyle w:val="TableGrid"/>
        <w:tblW w:type="dxa" w:w="9360"/>
        <w:tblLayout w:type="fixed"/>
        <w:tblLook w:firstColumn="1" w:firstRow="1" w:lastColumn="0" w:lastRow="0" w:noHBand="0" w:noVBand="1" w:val="04A0"/>
        <w:jc w:val="left"/>
        <w:tblInd w:w="120" w:type="dxa"/>
      </w:tblPr>
      <w:tblGrid>
        <w:gridCol w:w="1000"/>
        <w:gridCol w:w="2400"/>
        <w:gridCol w:w="5960"/>
      </w:tblGrid>
      <w:tr>
        <w:trPr>
          <w:tblHeader w:val="true"/>
        </w:trPr>
        <w:tc>
          <w:tcPr>
            <w:tcW w:type="dxa" w:w="1000"/>
            <w:tcMar>
              <w:top w:w="80" w:type="dxa"/>
              <w:start w:w="120" w:type="dxa"/>
              <w:bottom w:w="80" w:type="dxa"/>
              <w:end w:w="120" w:type="dxa"/>
            </w:tcMar>
            <w:shd w:fill="F2F4F7"/>
          </w:tcPr>
          <w:p>
            <w:r>
              <w:rPr>
                <w:rFonts w:ascii="Calibri" w:hAnsi="Calibri"/>
                <w:b/>
                <w:color w:val="1F4D78"/>
                <w:sz w:val="19"/>
              </w:rPr>
              <w:t>ID</w:t>
            </w:r>
          </w:p>
        </w:tc>
        <w:tc>
          <w:tcPr>
            <w:tcW w:type="dxa" w:w="2400"/>
            <w:tcMar>
              <w:top w:w="80" w:type="dxa"/>
              <w:start w:w="120" w:type="dxa"/>
              <w:bottom w:w="80" w:type="dxa"/>
              <w:end w:w="120" w:type="dxa"/>
            </w:tcMar>
            <w:shd w:fill="F2F4F7"/>
          </w:tcPr>
          <w:p>
            <w:r>
              <w:rPr>
                <w:rFonts w:ascii="Calibri" w:hAnsi="Calibri"/>
                <w:b/>
                <w:color w:val="1F4D78"/>
                <w:sz w:val="19"/>
              </w:rPr>
              <w:t>Sujet</w:t>
            </w:r>
          </w:p>
        </w:tc>
        <w:tc>
          <w:tcPr>
            <w:tcW w:type="dxa" w:w="5960"/>
            <w:tcMar>
              <w:top w:w="80" w:type="dxa"/>
              <w:start w:w="120" w:type="dxa"/>
              <w:bottom w:w="80" w:type="dxa"/>
              <w:end w:w="120" w:type="dxa"/>
            </w:tcMar>
            <w:shd w:fill="F2F4F7"/>
          </w:tcPr>
          <w:p>
            <w:r>
              <w:rPr>
                <w:rFonts w:ascii="Calibri" w:hAnsi="Calibri"/>
                <w:b/>
                <w:color w:val="1F4D78"/>
                <w:sz w:val="19"/>
              </w:rPr>
              <w:t>Décision attendue</w:t>
            </w:r>
          </w:p>
        </w:tc>
      </w:tr>
      <w:tr>
        <w:tc>
          <w:tcPr>
            <w:tcW w:type="dxa" w:w="1000"/>
            <w:tcMar>
              <w:top w:w="80" w:type="dxa"/>
              <w:start w:w="120" w:type="dxa"/>
              <w:bottom w:w="80" w:type="dxa"/>
              <w:end w:w="120" w:type="dxa"/>
            </w:tcMar>
          </w:tcPr>
          <w:p>
            <w:r>
              <w:rPr>
                <w:rFonts w:ascii="Calibri" w:hAnsi="Calibri"/>
                <w:sz w:val="18"/>
              </w:rPr>
              <w:t>QO-01</w:t>
            </w:r>
          </w:p>
        </w:tc>
        <w:tc>
          <w:tcPr>
            <w:tcW w:type="dxa" w:w="2400"/>
            <w:tcMar>
              <w:top w:w="80" w:type="dxa"/>
              <w:start w:w="120" w:type="dxa"/>
              <w:bottom w:w="80" w:type="dxa"/>
              <w:end w:w="120" w:type="dxa"/>
            </w:tcMar>
          </w:tcPr>
          <w:p>
            <w:r>
              <w:rPr>
                <w:rFonts w:ascii="Calibri" w:hAnsi="Calibri"/>
                <w:sz w:val="18"/>
              </w:rPr>
              <w:t>Précision et unités</w:t>
            </w:r>
          </w:p>
        </w:tc>
        <w:tc>
          <w:tcPr>
            <w:tcW w:type="dxa" w:w="5960"/>
            <w:tcMar>
              <w:top w:w="80" w:type="dxa"/>
              <w:start w:w="120" w:type="dxa"/>
              <w:bottom w:w="80" w:type="dxa"/>
              <w:end w:w="120" w:type="dxa"/>
            </w:tcMar>
          </w:tcPr>
          <w:p>
            <w:r>
              <w:rPr>
                <w:rFonts w:ascii="Calibri" w:hAnsi="Calibri"/>
                <w:sz w:val="18"/>
              </w:rPr>
              <w:t>Quelle précision adopter au-delà de `DECIMAL(18, 3)` et comment modéliser `UnitOfMeasure` ?</w:t>
            </w:r>
          </w:p>
        </w:tc>
      </w:tr>
      <w:tr>
        <w:tc>
          <w:tcPr>
            <w:tcW w:type="dxa" w:w="1000"/>
            <w:tcMar>
              <w:top w:w="80" w:type="dxa"/>
              <w:start w:w="120" w:type="dxa"/>
              <w:bottom w:w="80" w:type="dxa"/>
              <w:end w:w="120" w:type="dxa"/>
            </w:tcMar>
          </w:tcPr>
          <w:p>
            <w:r>
              <w:rPr>
                <w:rFonts w:ascii="Calibri" w:hAnsi="Calibri"/>
                <w:sz w:val="18"/>
              </w:rPr>
              <w:t>QO-02</w:t>
            </w:r>
          </w:p>
        </w:tc>
        <w:tc>
          <w:tcPr>
            <w:tcW w:type="dxa" w:w="2400"/>
            <w:tcMar>
              <w:top w:w="80" w:type="dxa"/>
              <w:start w:w="120" w:type="dxa"/>
              <w:bottom w:w="80" w:type="dxa"/>
              <w:end w:w="120" w:type="dxa"/>
            </w:tcMar>
          </w:tcPr>
          <w:p>
            <w:r>
              <w:rPr>
                <w:rFonts w:ascii="Calibri" w:hAnsi="Calibri"/>
                <w:sz w:val="18"/>
              </w:rPr>
              <w:t>Concurrence</w:t>
            </w:r>
          </w:p>
        </w:tc>
        <w:tc>
          <w:tcPr>
            <w:tcW w:type="dxa" w:w="5960"/>
            <w:tcMar>
              <w:top w:w="80" w:type="dxa"/>
              <w:start w:w="120" w:type="dxa"/>
              <w:bottom w:w="80" w:type="dxa"/>
              <w:end w:w="120" w:type="dxa"/>
            </w:tcMar>
          </w:tcPr>
          <w:p>
            <w:r>
              <w:rPr>
                <w:rFonts w:ascii="Calibri" w:hAnsi="Calibri"/>
                <w:sz w:val="18"/>
              </w:rPr>
              <w:t>Quel mécanisme final privilégier par défaut : optimistic locking, update atomique conditionnel ou stratégie hybride ?</w:t>
            </w:r>
          </w:p>
        </w:tc>
      </w:tr>
      <w:tr>
        <w:tc>
          <w:tcPr>
            <w:tcW w:type="dxa" w:w="1000"/>
            <w:tcMar>
              <w:top w:w="80" w:type="dxa"/>
              <w:start w:w="120" w:type="dxa"/>
              <w:bottom w:w="80" w:type="dxa"/>
              <w:end w:w="120" w:type="dxa"/>
            </w:tcMar>
          </w:tcPr>
          <w:p>
            <w:r>
              <w:rPr>
                <w:rFonts w:ascii="Calibri" w:hAnsi="Calibri"/>
                <w:sz w:val="18"/>
              </w:rPr>
              <w:t>QO-03</w:t>
            </w:r>
          </w:p>
        </w:tc>
        <w:tc>
          <w:tcPr>
            <w:tcW w:type="dxa" w:w="2400"/>
            <w:tcMar>
              <w:top w:w="80" w:type="dxa"/>
              <w:start w:w="120" w:type="dxa"/>
              <w:bottom w:w="80" w:type="dxa"/>
              <w:end w:w="120" w:type="dxa"/>
            </w:tcMar>
          </w:tcPr>
          <w:p>
            <w:r>
              <w:rPr>
                <w:rFonts w:ascii="Calibri" w:hAnsi="Calibri"/>
                <w:sz w:val="18"/>
              </w:rPr>
              <w:t>StockTransfer avancé</w:t>
            </w:r>
          </w:p>
        </w:tc>
        <w:tc>
          <w:tcPr>
            <w:tcW w:type="dxa" w:w="5960"/>
            <w:tcMar>
              <w:top w:w="80" w:type="dxa"/>
              <w:start w:w="120" w:type="dxa"/>
              <w:bottom w:w="80" w:type="dxa"/>
              <w:end w:w="120" w:type="dxa"/>
            </w:tcMar>
          </w:tcPr>
          <w:p>
            <w:r>
              <w:rPr>
                <w:rFonts w:ascii="Calibri" w:hAnsi="Calibri"/>
                <w:sz w:val="18"/>
              </w:rPr>
              <w:t>Approbation, refus, retour, pertes en transit, multi-expéditions et réceptions partielles.</w:t>
            </w:r>
          </w:p>
        </w:tc>
      </w:tr>
      <w:tr>
        <w:tc>
          <w:tcPr>
            <w:tcW w:type="dxa" w:w="1000"/>
            <w:tcMar>
              <w:top w:w="80" w:type="dxa"/>
              <w:start w:w="120" w:type="dxa"/>
              <w:bottom w:w="80" w:type="dxa"/>
              <w:end w:w="120" w:type="dxa"/>
            </w:tcMar>
          </w:tcPr>
          <w:p>
            <w:r>
              <w:rPr>
                <w:rFonts w:ascii="Calibri" w:hAnsi="Calibri"/>
                <w:sz w:val="18"/>
              </w:rPr>
              <w:t>QO-04</w:t>
            </w:r>
          </w:p>
        </w:tc>
        <w:tc>
          <w:tcPr>
            <w:tcW w:type="dxa" w:w="2400"/>
            <w:tcMar>
              <w:top w:w="80" w:type="dxa"/>
              <w:start w:w="120" w:type="dxa"/>
              <w:bottom w:w="80" w:type="dxa"/>
              <w:end w:w="120" w:type="dxa"/>
            </w:tcMar>
          </w:tcPr>
          <w:p>
            <w:r>
              <w:rPr>
                <w:rFonts w:ascii="Calibri" w:hAnsi="Calibri"/>
                <w:sz w:val="18"/>
              </w:rPr>
              <w:t>StockCount avancé</w:t>
            </w:r>
          </w:p>
        </w:tc>
        <w:tc>
          <w:tcPr>
            <w:tcW w:type="dxa" w:w="5960"/>
            <w:tcMar>
              <w:top w:w="80" w:type="dxa"/>
              <w:start w:w="120" w:type="dxa"/>
              <w:bottom w:w="80" w:type="dxa"/>
              <w:end w:w="120" w:type="dxa"/>
            </w:tcMar>
          </w:tcPr>
          <w:p>
            <w:r>
              <w:rPr>
                <w:rFonts w:ascii="Calibri" w:hAnsi="Calibri"/>
                <w:sz w:val="18"/>
              </w:rPr>
              <w:t>Continuous inventory, traitement sans blocage et stratégie d’escalade des lots en échec.</w:t>
            </w:r>
          </w:p>
        </w:tc>
      </w:tr>
      <w:tr>
        <w:tc>
          <w:tcPr>
            <w:tcW w:type="dxa" w:w="1000"/>
            <w:tcMar>
              <w:top w:w="80" w:type="dxa"/>
              <w:start w:w="120" w:type="dxa"/>
              <w:bottom w:w="80" w:type="dxa"/>
              <w:end w:w="120" w:type="dxa"/>
            </w:tcMar>
          </w:tcPr>
          <w:p>
            <w:r>
              <w:rPr>
                <w:rFonts w:ascii="Calibri" w:hAnsi="Calibri"/>
                <w:sz w:val="18"/>
              </w:rPr>
              <w:t>QO-05</w:t>
            </w:r>
          </w:p>
        </w:tc>
        <w:tc>
          <w:tcPr>
            <w:tcW w:type="dxa" w:w="2400"/>
            <w:tcMar>
              <w:top w:w="80" w:type="dxa"/>
              <w:start w:w="120" w:type="dxa"/>
              <w:bottom w:w="80" w:type="dxa"/>
              <w:end w:w="120" w:type="dxa"/>
            </w:tcMar>
          </w:tcPr>
          <w:p>
            <w:r>
              <w:rPr>
                <w:rFonts w:ascii="Calibri" w:hAnsi="Calibri"/>
                <w:sz w:val="18"/>
              </w:rPr>
              <w:t>Negative stock policy</w:t>
            </w:r>
          </w:p>
        </w:tc>
        <w:tc>
          <w:tcPr>
            <w:tcW w:type="dxa" w:w="5960"/>
            <w:tcMar>
              <w:top w:w="80" w:type="dxa"/>
              <w:start w:w="120" w:type="dxa"/>
              <w:bottom w:w="80" w:type="dxa"/>
              <w:end w:w="120" w:type="dxa"/>
            </w:tcMar>
          </w:tcPr>
          <w:p>
            <w:r>
              <w:rPr>
                <w:rFonts w:ascii="Calibri" w:hAnsi="Calibri"/>
                <w:sz w:val="18"/>
              </w:rPr>
              <w:t>Faut-il rendre `negativeStockAllowed` configurable après le MVP, et à quel niveau ?</w:t>
            </w:r>
          </w:p>
        </w:tc>
      </w:tr>
      <w:tr>
        <w:tc>
          <w:tcPr>
            <w:tcW w:type="dxa" w:w="1000"/>
            <w:tcMar>
              <w:top w:w="80" w:type="dxa"/>
              <w:start w:w="120" w:type="dxa"/>
              <w:bottom w:w="80" w:type="dxa"/>
              <w:end w:w="120" w:type="dxa"/>
            </w:tcMar>
          </w:tcPr>
          <w:p>
            <w:r>
              <w:rPr>
                <w:rFonts w:ascii="Calibri" w:hAnsi="Calibri"/>
                <w:sz w:val="18"/>
              </w:rPr>
              <w:t>QO-06</w:t>
            </w:r>
          </w:p>
        </w:tc>
        <w:tc>
          <w:tcPr>
            <w:tcW w:type="dxa" w:w="2400"/>
            <w:tcMar>
              <w:top w:w="80" w:type="dxa"/>
              <w:start w:w="120" w:type="dxa"/>
              <w:bottom w:w="80" w:type="dxa"/>
              <w:end w:w="120" w:type="dxa"/>
            </w:tcMar>
          </w:tcPr>
          <w:p>
            <w:r>
              <w:rPr>
                <w:rFonts w:ascii="Calibri" w:hAnsi="Calibri"/>
                <w:sz w:val="18"/>
              </w:rPr>
              <w:t>Réservations</w:t>
            </w:r>
          </w:p>
        </w:tc>
        <w:tc>
          <w:tcPr>
            <w:tcW w:type="dxa" w:w="5960"/>
            <w:tcMar>
              <w:top w:w="80" w:type="dxa"/>
              <w:start w:w="120" w:type="dxa"/>
              <w:bottom w:w="80" w:type="dxa"/>
              <w:end w:w="120" w:type="dxa"/>
            </w:tcMar>
          </w:tcPr>
          <w:p>
            <w:r>
              <w:rPr>
                <w:rFonts w:ascii="Calibri" w:hAnsi="Calibri"/>
                <w:sz w:val="18"/>
              </w:rPr>
              <w:t>Quand introduire `reserved`, `available` et les cas e-commerce / précommande ?</w:t>
            </w:r>
          </w:p>
        </w:tc>
      </w:tr>
      <w:tr>
        <w:tc>
          <w:tcPr>
            <w:tcW w:type="dxa" w:w="1000"/>
            <w:tcMar>
              <w:top w:w="80" w:type="dxa"/>
              <w:start w:w="120" w:type="dxa"/>
              <w:bottom w:w="80" w:type="dxa"/>
              <w:end w:w="120" w:type="dxa"/>
            </w:tcMar>
          </w:tcPr>
          <w:p>
            <w:r>
              <w:rPr>
                <w:rFonts w:ascii="Calibri" w:hAnsi="Calibri"/>
                <w:sz w:val="18"/>
              </w:rPr>
              <w:t>QO-07</w:t>
            </w:r>
          </w:p>
        </w:tc>
        <w:tc>
          <w:tcPr>
            <w:tcW w:type="dxa" w:w="2400"/>
            <w:tcMar>
              <w:top w:w="80" w:type="dxa"/>
              <w:start w:w="120" w:type="dxa"/>
              <w:bottom w:w="80" w:type="dxa"/>
              <w:end w:w="120" w:type="dxa"/>
            </w:tcMar>
          </w:tcPr>
          <w:p>
            <w:r>
              <w:rPr>
                <w:rFonts w:ascii="Calibri" w:hAnsi="Calibri"/>
                <w:sz w:val="18"/>
              </w:rPr>
              <w:t>Transactions Sales/Inventory/Cash</w:t>
            </w:r>
          </w:p>
        </w:tc>
        <w:tc>
          <w:tcPr>
            <w:tcW w:type="dxa" w:w="5960"/>
            <w:tcMar>
              <w:top w:w="80" w:type="dxa"/>
              <w:start w:w="120" w:type="dxa"/>
              <w:bottom w:w="80" w:type="dxa"/>
              <w:end w:w="120" w:type="dxa"/>
            </w:tcMar>
          </w:tcPr>
          <w:p>
            <w:r>
              <w:rPr>
                <w:rFonts w:ascii="Calibri" w:hAnsi="Calibri"/>
                <w:sz w:val="18"/>
              </w:rPr>
              <w:t>Définir exactement les frontières transactionnelles et la stratégie de compensation en cas d’échec.</w:t>
            </w:r>
          </w:p>
        </w:tc>
      </w:tr>
      <w:tr>
        <w:tc>
          <w:tcPr>
            <w:tcW w:type="dxa" w:w="1000"/>
            <w:tcMar>
              <w:top w:w="80" w:type="dxa"/>
              <w:start w:w="120" w:type="dxa"/>
              <w:bottom w:w="80" w:type="dxa"/>
              <w:end w:w="120" w:type="dxa"/>
            </w:tcMar>
          </w:tcPr>
          <w:p>
            <w:r>
              <w:rPr>
                <w:rFonts w:ascii="Calibri" w:hAnsi="Calibri"/>
                <w:sz w:val="18"/>
              </w:rPr>
              <w:t>QO-08</w:t>
            </w:r>
          </w:p>
        </w:tc>
        <w:tc>
          <w:tcPr>
            <w:tcW w:type="dxa" w:w="2400"/>
            <w:tcMar>
              <w:top w:w="80" w:type="dxa"/>
              <w:start w:w="120" w:type="dxa"/>
              <w:bottom w:w="80" w:type="dxa"/>
              <w:end w:w="120" w:type="dxa"/>
            </w:tcMar>
          </w:tcPr>
          <w:p>
            <w:r>
              <w:rPr>
                <w:rFonts w:ascii="Calibri" w:hAnsi="Calibri"/>
                <w:sz w:val="18"/>
              </w:rPr>
              <w:t>Authorization</w:t>
            </w:r>
          </w:p>
        </w:tc>
        <w:tc>
          <w:tcPr>
            <w:tcW w:type="dxa" w:w="5960"/>
            <w:tcMar>
              <w:top w:w="80" w:type="dxa"/>
              <w:start w:w="120" w:type="dxa"/>
              <w:bottom w:w="80" w:type="dxa"/>
              <w:end w:w="120" w:type="dxa"/>
            </w:tcMar>
          </w:tcPr>
          <w:p>
            <w:r>
              <w:rPr>
                <w:rFonts w:ascii="Calibri" w:hAnsi="Calibri"/>
                <w:sz w:val="18"/>
              </w:rPr>
              <w:t>Formaliser les permissions, rôles, scopes par store et exigences d’approbation.</w:t>
            </w:r>
          </w:p>
        </w:tc>
      </w:tr>
      <w:tr>
        <w:tc>
          <w:tcPr>
            <w:tcW w:type="dxa" w:w="1000"/>
            <w:tcMar>
              <w:top w:w="80" w:type="dxa"/>
              <w:start w:w="120" w:type="dxa"/>
              <w:bottom w:w="80" w:type="dxa"/>
              <w:end w:w="120" w:type="dxa"/>
            </w:tcMar>
          </w:tcPr>
          <w:p>
            <w:r>
              <w:rPr>
                <w:rFonts w:ascii="Calibri" w:hAnsi="Calibri"/>
                <w:sz w:val="18"/>
              </w:rPr>
              <w:t>QO-09</w:t>
            </w:r>
          </w:p>
        </w:tc>
        <w:tc>
          <w:tcPr>
            <w:tcW w:type="dxa" w:w="2400"/>
            <w:tcMar>
              <w:top w:w="80" w:type="dxa"/>
              <w:start w:w="120" w:type="dxa"/>
              <w:bottom w:w="80" w:type="dxa"/>
              <w:end w:w="120" w:type="dxa"/>
            </w:tcMar>
          </w:tcPr>
          <w:p>
            <w:r>
              <w:rPr>
                <w:rFonts w:ascii="Calibri" w:hAnsi="Calibri"/>
                <w:sz w:val="18"/>
              </w:rPr>
              <w:t>LotTracking</w:t>
            </w:r>
          </w:p>
        </w:tc>
        <w:tc>
          <w:tcPr>
            <w:tcW w:type="dxa" w:w="5960"/>
            <w:tcMar>
              <w:top w:w="80" w:type="dxa"/>
              <w:start w:w="120" w:type="dxa"/>
              <w:bottom w:w="80" w:type="dxa"/>
              <w:end w:w="120" w:type="dxa"/>
            </w:tcMar>
          </w:tcPr>
          <w:p>
            <w:r>
              <w:rPr>
                <w:rFonts w:ascii="Calibri" w:hAnsi="Calibri"/>
                <w:sz w:val="18"/>
              </w:rPr>
              <w:t>Définir `StockLot`, expiration, FIFO/FEFO et traçabilité des lots.</w:t>
            </w:r>
          </w:p>
        </w:tc>
      </w:tr>
      <w:tr>
        <w:tc>
          <w:tcPr>
            <w:tcW w:type="dxa" w:w="1000"/>
            <w:tcMar>
              <w:top w:w="80" w:type="dxa"/>
              <w:start w:w="120" w:type="dxa"/>
              <w:bottom w:w="80" w:type="dxa"/>
              <w:end w:w="120" w:type="dxa"/>
            </w:tcMar>
          </w:tcPr>
          <w:p>
            <w:r>
              <w:rPr>
                <w:rFonts w:ascii="Calibri" w:hAnsi="Calibri"/>
                <w:sz w:val="18"/>
              </w:rPr>
              <w:t>QO-10</w:t>
            </w:r>
          </w:p>
        </w:tc>
        <w:tc>
          <w:tcPr>
            <w:tcW w:type="dxa" w:w="2400"/>
            <w:tcMar>
              <w:top w:w="80" w:type="dxa"/>
              <w:start w:w="120" w:type="dxa"/>
              <w:bottom w:w="80" w:type="dxa"/>
              <w:end w:w="120" w:type="dxa"/>
            </w:tcMar>
          </w:tcPr>
          <w:p>
            <w:r>
              <w:rPr>
                <w:rFonts w:ascii="Calibri" w:hAnsi="Calibri"/>
                <w:sz w:val="18"/>
              </w:rPr>
              <w:t>Purchasing avancé</w:t>
            </w:r>
          </w:p>
        </w:tc>
        <w:tc>
          <w:tcPr>
            <w:tcW w:type="dxa" w:w="5960"/>
            <w:tcMar>
              <w:top w:w="80" w:type="dxa"/>
              <w:start w:w="120" w:type="dxa"/>
              <w:bottom w:w="80" w:type="dxa"/>
              <w:end w:w="120" w:type="dxa"/>
            </w:tcMar>
          </w:tcPr>
          <w:p>
            <w:r>
              <w:rPr>
                <w:rFonts w:ascii="Calibri" w:hAnsi="Calibri"/>
                <w:sz w:val="18"/>
              </w:rPr>
              <w:t>Approbations multi-niveaux, crédit fournisseur, facture et avoir fournisseur.</w:t>
            </w:r>
          </w:p>
        </w:tc>
      </w:tr>
      <w:tr>
        <w:tc>
          <w:tcPr>
            <w:tcW w:type="dxa" w:w="1000"/>
            <w:tcMar>
              <w:top w:w="80" w:type="dxa"/>
              <w:start w:w="120" w:type="dxa"/>
              <w:bottom w:w="80" w:type="dxa"/>
              <w:end w:w="120" w:type="dxa"/>
            </w:tcMar>
          </w:tcPr>
          <w:p>
            <w:r>
              <w:rPr>
                <w:rFonts w:ascii="Calibri" w:hAnsi="Calibri"/>
                <w:sz w:val="18"/>
              </w:rPr>
              <w:t>QO-11</w:t>
            </w:r>
          </w:p>
        </w:tc>
        <w:tc>
          <w:tcPr>
            <w:tcW w:type="dxa" w:w="2400"/>
            <w:tcMar>
              <w:top w:w="80" w:type="dxa"/>
              <w:start w:w="120" w:type="dxa"/>
              <w:bottom w:w="80" w:type="dxa"/>
              <w:end w:w="120" w:type="dxa"/>
            </w:tcMar>
          </w:tcPr>
          <w:p>
            <w:r>
              <w:rPr>
                <w:rFonts w:ascii="Calibri" w:hAnsi="Calibri"/>
                <w:sz w:val="18"/>
              </w:rPr>
              <w:t>Support access</w:t>
            </w:r>
          </w:p>
        </w:tc>
        <w:tc>
          <w:tcPr>
            <w:tcW w:type="dxa" w:w="5960"/>
            <w:tcMar>
              <w:top w:w="80" w:type="dxa"/>
              <w:start w:w="120" w:type="dxa"/>
              <w:bottom w:w="80" w:type="dxa"/>
              <w:end w:w="120" w:type="dxa"/>
            </w:tcMar>
          </w:tcPr>
          <w:p>
            <w:r>
              <w:rPr>
                <w:rFonts w:ascii="Calibri" w:hAnsi="Calibri"/>
                <w:sz w:val="18"/>
              </w:rPr>
              <w:t>Workflow final d’accès temporaire et approuvé des opérateurs Zandu.</w:t>
            </w:r>
          </w:p>
        </w:tc>
      </w:tr>
      <w:tr>
        <w:tc>
          <w:tcPr>
            <w:tcW w:type="dxa" w:w="1000"/>
            <w:tcMar>
              <w:top w:w="80" w:type="dxa"/>
              <w:start w:w="120" w:type="dxa"/>
              <w:bottom w:w="80" w:type="dxa"/>
              <w:end w:w="120" w:type="dxa"/>
            </w:tcMar>
          </w:tcPr>
          <w:p>
            <w:r>
              <w:rPr>
                <w:rFonts w:ascii="Calibri" w:hAnsi="Calibri"/>
                <w:sz w:val="18"/>
              </w:rPr>
              <w:t>QO-12</w:t>
            </w:r>
          </w:p>
        </w:tc>
        <w:tc>
          <w:tcPr>
            <w:tcW w:type="dxa" w:w="2400"/>
            <w:tcMar>
              <w:top w:w="80" w:type="dxa"/>
              <w:start w:w="120" w:type="dxa"/>
              <w:bottom w:w="80" w:type="dxa"/>
              <w:end w:w="120" w:type="dxa"/>
            </w:tcMar>
          </w:tcPr>
          <w:p>
            <w:r>
              <w:rPr>
                <w:rFonts w:ascii="Calibri" w:hAnsi="Calibri"/>
                <w:sz w:val="18"/>
              </w:rPr>
              <w:t>Rétention</w:t>
            </w:r>
          </w:p>
        </w:tc>
        <w:tc>
          <w:tcPr>
            <w:tcW w:type="dxa" w:w="5960"/>
            <w:tcMar>
              <w:top w:w="80" w:type="dxa"/>
              <w:start w:w="120" w:type="dxa"/>
              <w:bottom w:w="80" w:type="dxa"/>
              <w:end w:w="120" w:type="dxa"/>
            </w:tcMar>
          </w:tcPr>
          <w:p>
            <w:r>
              <w:rPr>
                <w:rFonts w:ascii="Calibri" w:hAnsi="Calibri"/>
                <w:sz w:val="18"/>
              </w:rPr>
              <w:t>Durées par juridiction pour ledgers, security audit, outbox et logs.</w:t>
            </w:r>
          </w:p>
        </w:tc>
      </w:tr>
      <w:tr>
        <w:tc>
          <w:tcPr>
            <w:tcW w:type="dxa" w:w="1000"/>
            <w:tcMar>
              <w:top w:w="80" w:type="dxa"/>
              <w:start w:w="120" w:type="dxa"/>
              <w:bottom w:w="80" w:type="dxa"/>
              <w:end w:w="120" w:type="dxa"/>
            </w:tcMar>
          </w:tcPr>
          <w:p>
            <w:r>
              <w:rPr>
                <w:rFonts w:ascii="Calibri" w:hAnsi="Calibri"/>
                <w:sz w:val="18"/>
              </w:rPr>
              <w:t>QO-13</w:t>
            </w:r>
          </w:p>
        </w:tc>
        <w:tc>
          <w:tcPr>
            <w:tcW w:type="dxa" w:w="2400"/>
            <w:tcMar>
              <w:top w:w="80" w:type="dxa"/>
              <w:start w:w="120" w:type="dxa"/>
              <w:bottom w:w="80" w:type="dxa"/>
              <w:end w:w="120" w:type="dxa"/>
            </w:tcMar>
          </w:tcPr>
          <w:p>
            <w:r>
              <w:rPr>
                <w:rFonts w:ascii="Calibri" w:hAnsi="Calibri"/>
                <w:sz w:val="18"/>
              </w:rPr>
              <w:t>Multi-currency</w:t>
            </w:r>
          </w:p>
        </w:tc>
        <w:tc>
          <w:tcPr>
            <w:tcW w:type="dxa" w:w="5960"/>
            <w:tcMar>
              <w:top w:w="80" w:type="dxa"/>
              <w:start w:w="120" w:type="dxa"/>
              <w:bottom w:w="80" w:type="dxa"/>
              <w:end w:w="120" w:type="dxa"/>
            </w:tcMar>
          </w:tcPr>
          <w:p>
            <w:r>
              <w:rPr>
                <w:rFonts w:ascii="Calibri" w:hAnsi="Calibri"/>
                <w:sz w:val="18"/>
              </w:rPr>
              <w:t>Conditions d’une organization opérant avec plusieurs devises de store.</w:t>
            </w:r>
          </w:p>
        </w:tc>
      </w:tr>
      <w:tr>
        <w:tc>
          <w:tcPr>
            <w:tcW w:type="dxa" w:w="1000"/>
            <w:tcMar>
              <w:top w:w="80" w:type="dxa"/>
              <w:start w:w="120" w:type="dxa"/>
              <w:bottom w:w="80" w:type="dxa"/>
              <w:end w:w="120" w:type="dxa"/>
            </w:tcMar>
          </w:tcPr>
          <w:p>
            <w:r>
              <w:rPr>
                <w:rFonts w:ascii="Calibri" w:hAnsi="Calibri"/>
                <w:sz w:val="18"/>
              </w:rPr>
              <w:t>QO-14</w:t>
            </w:r>
          </w:p>
        </w:tc>
        <w:tc>
          <w:tcPr>
            <w:tcW w:type="dxa" w:w="2400"/>
            <w:tcMar>
              <w:top w:w="80" w:type="dxa"/>
              <w:start w:w="120" w:type="dxa"/>
              <w:bottom w:w="80" w:type="dxa"/>
              <w:end w:w="120" w:type="dxa"/>
            </w:tcMar>
          </w:tcPr>
          <w:p>
            <w:r>
              <w:rPr>
                <w:rFonts w:ascii="Calibri" w:hAnsi="Calibri"/>
                <w:sz w:val="18"/>
              </w:rPr>
              <w:t>VariableMeasureBarcode</w:t>
            </w:r>
          </w:p>
        </w:tc>
        <w:tc>
          <w:tcPr>
            <w:tcW w:type="dxa" w:w="5960"/>
            <w:tcMar>
              <w:top w:w="80" w:type="dxa"/>
              <w:start w:w="120" w:type="dxa"/>
              <w:bottom w:w="80" w:type="dxa"/>
              <w:end w:w="120" w:type="dxa"/>
            </w:tcMar>
          </w:tcPr>
          <w:p>
            <w:r>
              <w:rPr>
                <w:rFonts w:ascii="Calibri" w:hAnsi="Calibri"/>
                <w:sz w:val="18"/>
              </w:rPr>
              <w:t>Décodage des codes dynamiques de balance.</w:t>
            </w:r>
          </w:p>
        </w:tc>
      </w:tr>
      <w:tr>
        <w:tc>
          <w:tcPr>
            <w:tcW w:type="dxa" w:w="1000"/>
            <w:tcMar>
              <w:top w:w="80" w:type="dxa"/>
              <w:start w:w="120" w:type="dxa"/>
              <w:bottom w:w="80" w:type="dxa"/>
              <w:end w:w="120" w:type="dxa"/>
            </w:tcMar>
          </w:tcPr>
          <w:p>
            <w:r>
              <w:rPr>
                <w:rFonts w:ascii="Calibri" w:hAnsi="Calibri"/>
                <w:sz w:val="18"/>
              </w:rPr>
              <w:t>QO-15</w:t>
            </w:r>
          </w:p>
        </w:tc>
        <w:tc>
          <w:tcPr>
            <w:tcW w:type="dxa" w:w="2400"/>
            <w:tcMar>
              <w:top w:w="80" w:type="dxa"/>
              <w:start w:w="120" w:type="dxa"/>
              <w:bottom w:w="80" w:type="dxa"/>
              <w:end w:w="120" w:type="dxa"/>
            </w:tcMar>
          </w:tcPr>
          <w:p>
            <w:r>
              <w:rPr>
                <w:rFonts w:ascii="Calibri" w:hAnsi="Calibri"/>
                <w:sz w:val="18"/>
              </w:rPr>
              <w:t>LandedCost</w:t>
            </w:r>
          </w:p>
        </w:tc>
        <w:tc>
          <w:tcPr>
            <w:tcW w:type="dxa" w:w="5960"/>
            <w:tcMar>
              <w:top w:w="80" w:type="dxa"/>
              <w:start w:w="120" w:type="dxa"/>
              <w:bottom w:w="80" w:type="dxa"/>
              <w:end w:w="120" w:type="dxa"/>
            </w:tcMar>
          </w:tcPr>
          <w:p>
            <w:r>
              <w:rPr>
                <w:rFonts w:ascii="Calibri" w:hAnsi="Calibri"/>
                <w:sz w:val="18"/>
              </w:rPr>
              <w:t>Répartition transport, douane et frais sur les réceptions.</w:t>
            </w:r>
          </w:p>
        </w:tc>
      </w:tr>
      <w:tr>
        <w:tc>
          <w:tcPr>
            <w:tcW w:type="dxa" w:w="1000"/>
            <w:tcMar>
              <w:top w:w="80" w:type="dxa"/>
              <w:start w:w="120" w:type="dxa"/>
              <w:bottom w:w="80" w:type="dxa"/>
              <w:end w:w="120" w:type="dxa"/>
            </w:tcMar>
          </w:tcPr>
          <w:p>
            <w:r>
              <w:rPr>
                <w:rFonts w:ascii="Calibri" w:hAnsi="Calibri"/>
                <w:sz w:val="18"/>
              </w:rPr>
              <w:t>QO-16</w:t>
            </w:r>
          </w:p>
        </w:tc>
        <w:tc>
          <w:tcPr>
            <w:tcW w:type="dxa" w:w="2400"/>
            <w:tcMar>
              <w:top w:w="80" w:type="dxa"/>
              <w:start w:w="120" w:type="dxa"/>
              <w:bottom w:w="80" w:type="dxa"/>
              <w:end w:w="120" w:type="dxa"/>
            </w:tcMar>
          </w:tcPr>
          <w:p>
            <w:r>
              <w:rPr>
                <w:rFonts w:ascii="Calibri" w:hAnsi="Calibri"/>
                <w:sz w:val="18"/>
              </w:rPr>
              <w:t>Costing avancé</w:t>
            </w:r>
          </w:p>
        </w:tc>
        <w:tc>
          <w:tcPr>
            <w:tcW w:type="dxa" w:w="5960"/>
            <w:tcMar>
              <w:top w:w="80" w:type="dxa"/>
              <w:start w:w="120" w:type="dxa"/>
              <w:bottom w:w="80" w:type="dxa"/>
              <w:end w:w="120" w:type="dxa"/>
            </w:tcMar>
          </w:tcPr>
          <w:p>
            <w:r>
              <w:rPr>
                <w:rFonts w:ascii="Calibri" w:hAnsi="Calibri"/>
                <w:sz w:val="18"/>
              </w:rPr>
              <w:t>FIFO, coûts standard et recalcul rétroactif.</w:t>
            </w:r>
          </w:p>
        </w:tc>
      </w:tr>
      <w:tr>
        <w:tc>
          <w:tcPr>
            <w:tcW w:type="dxa" w:w="1000"/>
            <w:tcMar>
              <w:top w:w="80" w:type="dxa"/>
              <w:start w:w="120" w:type="dxa"/>
              <w:bottom w:w="80" w:type="dxa"/>
              <w:end w:w="120" w:type="dxa"/>
            </w:tcMar>
          </w:tcPr>
          <w:p>
            <w:r>
              <w:rPr>
                <w:rFonts w:ascii="Calibri" w:hAnsi="Calibri"/>
                <w:sz w:val="18"/>
              </w:rPr>
              <w:t>QO-17</w:t>
            </w:r>
          </w:p>
        </w:tc>
        <w:tc>
          <w:tcPr>
            <w:tcW w:type="dxa" w:w="2400"/>
            <w:tcMar>
              <w:top w:w="80" w:type="dxa"/>
              <w:start w:w="120" w:type="dxa"/>
              <w:bottom w:w="80" w:type="dxa"/>
              <w:end w:w="120" w:type="dxa"/>
            </w:tcMar>
          </w:tcPr>
          <w:p>
            <w:r>
              <w:rPr>
                <w:rFonts w:ascii="Calibri" w:hAnsi="Calibri"/>
                <w:sz w:val="18"/>
              </w:rPr>
              <w:t>Promotions avancées</w:t>
            </w:r>
          </w:p>
        </w:tc>
        <w:tc>
          <w:tcPr>
            <w:tcW w:type="dxa" w:w="5960"/>
            <w:tcMar>
              <w:top w:w="80" w:type="dxa"/>
              <w:start w:w="120" w:type="dxa"/>
              <w:bottom w:w="80" w:type="dxa"/>
              <w:end w:w="120" w:type="dxa"/>
            </w:tcMar>
          </w:tcPr>
          <w:p>
            <w:r>
              <w:rPr>
                <w:rFonts w:ascii="Calibri" w:hAnsi="Calibri"/>
                <w:sz w:val="18"/>
              </w:rPr>
              <w:t>Coupons, buy-X-get-Y, paniers, segments et cumul.</w:t>
            </w:r>
          </w:p>
        </w:tc>
      </w:tr>
      <w:tr>
        <w:tc>
          <w:tcPr>
            <w:tcW w:type="dxa" w:w="1000"/>
            <w:tcMar>
              <w:top w:w="80" w:type="dxa"/>
              <w:start w:w="120" w:type="dxa"/>
              <w:bottom w:w="80" w:type="dxa"/>
              <w:end w:w="120" w:type="dxa"/>
            </w:tcMar>
          </w:tcPr>
          <w:p>
            <w:r>
              <w:rPr>
                <w:rFonts w:ascii="Calibri" w:hAnsi="Calibri"/>
                <w:sz w:val="18"/>
              </w:rPr>
              <w:t>QO-18</w:t>
            </w:r>
          </w:p>
        </w:tc>
        <w:tc>
          <w:tcPr>
            <w:tcW w:type="dxa" w:w="2400"/>
            <w:tcMar>
              <w:top w:w="80" w:type="dxa"/>
              <w:start w:w="120" w:type="dxa"/>
              <w:bottom w:w="80" w:type="dxa"/>
              <w:end w:w="120" w:type="dxa"/>
            </w:tcMar>
          </w:tcPr>
          <w:p>
            <w:r>
              <w:rPr>
                <w:rFonts w:ascii="Calibri" w:hAnsi="Calibri"/>
                <w:sz w:val="18"/>
              </w:rPr>
              <w:t>Credit policy avancée</w:t>
            </w:r>
          </w:p>
        </w:tc>
        <w:tc>
          <w:tcPr>
            <w:tcW w:type="dxa" w:w="5960"/>
            <w:tcMar>
              <w:top w:w="80" w:type="dxa"/>
              <w:start w:w="120" w:type="dxa"/>
              <w:bottom w:w="80" w:type="dxa"/>
              <w:end w:w="120" w:type="dxa"/>
            </w:tcMar>
          </w:tcPr>
          <w:p>
            <w:r>
              <w:rPr>
                <w:rFonts w:ascii="Calibri" w:hAnsi="Calibri"/>
                <w:sz w:val="18"/>
              </w:rPr>
              <w:t>Scoring, approbations multi-niveaux, intérêts et pénalités.</w:t>
            </w:r>
          </w:p>
        </w:tc>
      </w:tr>
      <w:tr>
        <w:tc>
          <w:tcPr>
            <w:tcW w:type="dxa" w:w="1000"/>
            <w:tcMar>
              <w:top w:w="80" w:type="dxa"/>
              <w:start w:w="120" w:type="dxa"/>
              <w:bottom w:w="80" w:type="dxa"/>
              <w:end w:w="120" w:type="dxa"/>
            </w:tcMar>
          </w:tcPr>
          <w:p>
            <w:r>
              <w:rPr>
                <w:rFonts w:ascii="Calibri" w:hAnsi="Calibri"/>
                <w:sz w:val="18"/>
              </w:rPr>
              <w:t>QO-19</w:t>
            </w:r>
          </w:p>
        </w:tc>
        <w:tc>
          <w:tcPr>
            <w:tcW w:type="dxa" w:w="2400"/>
            <w:tcMar>
              <w:top w:w="80" w:type="dxa"/>
              <w:start w:w="120" w:type="dxa"/>
              <w:bottom w:w="80" w:type="dxa"/>
              <w:end w:w="120" w:type="dxa"/>
            </w:tcMar>
          </w:tcPr>
          <w:p>
            <w:r>
              <w:rPr>
                <w:rFonts w:ascii="Calibri" w:hAnsi="Calibri"/>
                <w:sz w:val="18"/>
              </w:rPr>
              <w:t>Payment providers</w:t>
            </w:r>
          </w:p>
        </w:tc>
        <w:tc>
          <w:tcPr>
            <w:tcW w:type="dxa" w:w="5960"/>
            <w:tcMar>
              <w:top w:w="80" w:type="dxa"/>
              <w:start w:w="120" w:type="dxa"/>
              <w:bottom w:w="80" w:type="dxa"/>
              <w:end w:w="120" w:type="dxa"/>
            </w:tcMar>
          </w:tcPr>
          <w:p>
            <w:r>
              <w:rPr>
                <w:rFonts w:ascii="Calibri" w:hAnsi="Calibri"/>
                <w:sz w:val="18"/>
              </w:rPr>
              <w:t>Adapters, délais, rapprochement et règles de dispute par provider.</w:t>
            </w:r>
          </w:p>
        </w:tc>
      </w:tr>
      <w:tr>
        <w:tc>
          <w:tcPr>
            <w:tcW w:type="dxa" w:w="1000"/>
            <w:tcMar>
              <w:top w:w="80" w:type="dxa"/>
              <w:start w:w="120" w:type="dxa"/>
              <w:bottom w:w="80" w:type="dxa"/>
              <w:end w:w="120" w:type="dxa"/>
            </w:tcMar>
          </w:tcPr>
          <w:p>
            <w:r>
              <w:rPr>
                <w:rFonts w:ascii="Calibri" w:hAnsi="Calibri"/>
                <w:sz w:val="18"/>
              </w:rPr>
              <w:t>QO-20</w:t>
            </w:r>
          </w:p>
        </w:tc>
        <w:tc>
          <w:tcPr>
            <w:tcW w:type="dxa" w:w="2400"/>
            <w:tcMar>
              <w:top w:w="80" w:type="dxa"/>
              <w:start w:w="120" w:type="dxa"/>
              <w:bottom w:w="80" w:type="dxa"/>
              <w:end w:w="120" w:type="dxa"/>
            </w:tcMar>
          </w:tcPr>
          <w:p>
            <w:r>
              <w:rPr>
                <w:rFonts w:ascii="Calibri" w:hAnsi="Calibri"/>
                <w:sz w:val="18"/>
              </w:rPr>
              <w:t>Offline payments</w:t>
            </w:r>
          </w:p>
        </w:tc>
        <w:tc>
          <w:tcPr>
            <w:tcW w:type="dxa" w:w="5960"/>
            <w:tcMar>
              <w:top w:w="80" w:type="dxa"/>
              <w:start w:w="120" w:type="dxa"/>
              <w:bottom w:w="80" w:type="dxa"/>
              <w:end w:w="120" w:type="dxa"/>
            </w:tcMar>
          </w:tcPr>
          <w:p>
            <w:r>
              <w:rPr>
                <w:rFonts w:ascii="Calibri" w:hAnsi="Calibri"/>
                <w:sz w:val="18"/>
              </w:rPr>
              <w:t>Réservations, autorisations et synchronisation des paiements en mode déconnecté.</w:t>
            </w:r>
          </w:p>
        </w:tc>
      </w:tr>
      <w:tr>
        <w:tc>
          <w:tcPr>
            <w:tcW w:type="dxa" w:w="1000"/>
            <w:tcMar>
              <w:top w:w="80" w:type="dxa"/>
              <w:start w:w="120" w:type="dxa"/>
              <w:bottom w:w="80" w:type="dxa"/>
              <w:end w:w="120" w:type="dxa"/>
            </w:tcMar>
          </w:tcPr>
          <w:p>
            <w:r>
              <w:rPr>
                <w:rFonts w:ascii="Calibri" w:hAnsi="Calibri"/>
                <w:sz w:val="18"/>
              </w:rPr>
              <w:t>QO-21</w:t>
            </w:r>
          </w:p>
        </w:tc>
        <w:tc>
          <w:tcPr>
            <w:tcW w:type="dxa" w:w="2400"/>
            <w:tcMar>
              <w:top w:w="80" w:type="dxa"/>
              <w:start w:w="120" w:type="dxa"/>
              <w:bottom w:w="80" w:type="dxa"/>
              <w:end w:w="120" w:type="dxa"/>
            </w:tcMar>
          </w:tcPr>
          <w:p>
            <w:r>
              <w:rPr>
                <w:rFonts w:ascii="Calibri" w:hAnsi="Calibri"/>
                <w:sz w:val="18"/>
              </w:rPr>
              <w:t>Customer privacy</w:t>
            </w:r>
          </w:p>
        </w:tc>
        <w:tc>
          <w:tcPr>
            <w:tcW w:type="dxa" w:w="5960"/>
            <w:tcMar>
              <w:top w:w="80" w:type="dxa"/>
              <w:start w:w="120" w:type="dxa"/>
              <w:bottom w:w="80" w:type="dxa"/>
              <w:end w:w="120" w:type="dxa"/>
            </w:tcMar>
          </w:tcPr>
          <w:p>
            <w:r>
              <w:rPr>
                <w:rFonts w:ascii="Calibri" w:hAnsi="Calibri"/>
                <w:sz w:val="18"/>
              </w:rPr>
              <w:t>Durées de conservation, consentements et obligations locales d’anonymisation.</w:t>
            </w:r>
          </w:p>
        </w:tc>
      </w:tr>
      <w:tr>
        <w:tc>
          <w:tcPr>
            <w:tcW w:type="dxa" w:w="1000"/>
            <w:tcMar>
              <w:top w:w="80" w:type="dxa"/>
              <w:start w:w="120" w:type="dxa"/>
              <w:bottom w:w="80" w:type="dxa"/>
              <w:end w:w="120" w:type="dxa"/>
            </w:tcMar>
          </w:tcPr>
          <w:p>
            <w:r>
              <w:rPr>
                <w:rFonts w:ascii="Calibri" w:hAnsi="Calibri"/>
                <w:sz w:val="18"/>
              </w:rPr>
              <w:t>QO-22</w:t>
            </w:r>
          </w:p>
        </w:tc>
        <w:tc>
          <w:tcPr>
            <w:tcW w:type="dxa" w:w="2400"/>
            <w:tcMar>
              <w:top w:w="80" w:type="dxa"/>
              <w:start w:w="120" w:type="dxa"/>
              <w:bottom w:w="80" w:type="dxa"/>
              <w:end w:w="120" w:type="dxa"/>
            </w:tcMar>
          </w:tcPr>
          <w:p>
            <w:r>
              <w:rPr>
                <w:rFonts w:ascii="Calibri" w:hAnsi="Calibri"/>
                <w:sz w:val="18"/>
              </w:rPr>
              <w:t>Fraîcheur</w:t>
            </w:r>
          </w:p>
        </w:tc>
        <w:tc>
          <w:tcPr>
            <w:tcW w:type="dxa" w:w="5960"/>
            <w:tcMar>
              <w:top w:w="80" w:type="dxa"/>
              <w:start w:w="120" w:type="dxa"/>
              <w:bottom w:w="80" w:type="dxa"/>
              <w:end w:w="120" w:type="dxa"/>
            </w:tcMar>
          </w:tcPr>
          <w:p>
            <w:r>
              <w:rPr>
                <w:rFonts w:ascii="Calibri" w:hAnsi="Calibri"/>
                <w:sz w:val="18"/>
              </w:rPr>
              <w:t>Seuils de retard par projection.</w:t>
            </w:r>
          </w:p>
        </w:tc>
      </w:tr>
      <w:tr>
        <w:tc>
          <w:tcPr>
            <w:tcW w:type="dxa" w:w="1000"/>
            <w:tcMar>
              <w:top w:w="80" w:type="dxa"/>
              <w:start w:w="120" w:type="dxa"/>
              <w:bottom w:w="80" w:type="dxa"/>
              <w:end w:w="120" w:type="dxa"/>
            </w:tcMar>
          </w:tcPr>
          <w:p>
            <w:r>
              <w:rPr>
                <w:rFonts w:ascii="Calibri" w:hAnsi="Calibri"/>
                <w:sz w:val="18"/>
              </w:rPr>
              <w:t>QO-23</w:t>
            </w:r>
          </w:p>
        </w:tc>
        <w:tc>
          <w:tcPr>
            <w:tcW w:type="dxa" w:w="2400"/>
            <w:tcMar>
              <w:top w:w="80" w:type="dxa"/>
              <w:start w:w="120" w:type="dxa"/>
              <w:bottom w:w="80" w:type="dxa"/>
              <w:end w:w="120" w:type="dxa"/>
            </w:tcMar>
          </w:tcPr>
          <w:p>
            <w:r>
              <w:rPr>
                <w:rFonts w:ascii="Calibri" w:hAnsi="Calibri"/>
                <w:sz w:val="18"/>
              </w:rPr>
              <w:t>Historique reconstructible</w:t>
            </w:r>
          </w:p>
        </w:tc>
        <w:tc>
          <w:tcPr>
            <w:tcW w:type="dxa" w:w="5960"/>
            <w:tcMar>
              <w:top w:w="80" w:type="dxa"/>
              <w:start w:w="120" w:type="dxa"/>
              <w:bottom w:w="80" w:type="dxa"/>
              <w:end w:w="120" w:type="dxa"/>
            </w:tcMar>
          </w:tcPr>
          <w:p>
            <w:r>
              <w:rPr>
                <w:rFonts w:ascii="Calibri" w:hAnsi="Calibri"/>
                <w:sz w:val="18"/>
              </w:rPr>
              <w:t>Durée de conservation des events et snapshots.</w:t>
            </w:r>
          </w:p>
        </w:tc>
      </w:tr>
      <w:tr>
        <w:tc>
          <w:tcPr>
            <w:tcW w:type="dxa" w:w="1000"/>
            <w:tcMar>
              <w:top w:w="80" w:type="dxa"/>
              <w:start w:w="120" w:type="dxa"/>
              <w:bottom w:w="80" w:type="dxa"/>
              <w:end w:w="120" w:type="dxa"/>
            </w:tcMar>
          </w:tcPr>
          <w:p>
            <w:r>
              <w:rPr>
                <w:rFonts w:ascii="Calibri" w:hAnsi="Calibri"/>
                <w:sz w:val="18"/>
              </w:rPr>
              <w:t>QO-24</w:t>
            </w:r>
          </w:p>
        </w:tc>
        <w:tc>
          <w:tcPr>
            <w:tcW w:type="dxa" w:w="2400"/>
            <w:tcMar>
              <w:top w:w="80" w:type="dxa"/>
              <w:start w:w="120" w:type="dxa"/>
              <w:bottom w:w="80" w:type="dxa"/>
              <w:end w:w="120" w:type="dxa"/>
            </w:tcMar>
          </w:tcPr>
          <w:p>
            <w:r>
              <w:rPr>
                <w:rFonts w:ascii="Calibri" w:hAnsi="Calibri"/>
                <w:sz w:val="18"/>
              </w:rPr>
              <w:t>Read store</w:t>
            </w:r>
          </w:p>
        </w:tc>
        <w:tc>
          <w:tcPr>
            <w:tcW w:type="dxa" w:w="5960"/>
            <w:tcMar>
              <w:top w:w="80" w:type="dxa"/>
              <w:start w:w="120" w:type="dxa"/>
              <w:bottom w:w="80" w:type="dxa"/>
              <w:end w:w="120" w:type="dxa"/>
            </w:tcMar>
          </w:tcPr>
          <w:p>
            <w:r>
              <w:rPr>
                <w:rFonts w:ascii="Calibri" w:hAnsi="Calibri"/>
                <w:sz w:val="18"/>
              </w:rPr>
              <w:t>Technologie de stockage des projections.</w:t>
            </w:r>
          </w:p>
        </w:tc>
      </w:tr>
      <w:tr>
        <w:tc>
          <w:tcPr>
            <w:tcW w:type="dxa" w:w="1000"/>
            <w:tcMar>
              <w:top w:w="80" w:type="dxa"/>
              <w:start w:w="120" w:type="dxa"/>
              <w:bottom w:w="80" w:type="dxa"/>
              <w:end w:w="120" w:type="dxa"/>
            </w:tcMar>
          </w:tcPr>
          <w:p>
            <w:r>
              <w:rPr>
                <w:rFonts w:ascii="Calibri" w:hAnsi="Calibri"/>
                <w:sz w:val="18"/>
              </w:rPr>
              <w:t>QO-25</w:t>
            </w:r>
          </w:p>
        </w:tc>
        <w:tc>
          <w:tcPr>
            <w:tcW w:type="dxa" w:w="2400"/>
            <w:tcMar>
              <w:top w:w="80" w:type="dxa"/>
              <w:start w:w="120" w:type="dxa"/>
              <w:bottom w:w="80" w:type="dxa"/>
              <w:end w:w="120" w:type="dxa"/>
            </w:tcMar>
          </w:tcPr>
          <w:p>
            <w:r>
              <w:rPr>
                <w:rFonts w:ascii="Calibri" w:hAnsi="Calibri"/>
                <w:sz w:val="18"/>
              </w:rPr>
              <w:t>Volumétrie</w:t>
            </w:r>
          </w:p>
        </w:tc>
        <w:tc>
          <w:tcPr>
            <w:tcW w:type="dxa" w:w="5960"/>
            <w:tcMar>
              <w:top w:w="80" w:type="dxa"/>
              <w:start w:w="120" w:type="dxa"/>
              <w:bottom w:w="80" w:type="dxa"/>
              <w:end w:w="120" w:type="dxa"/>
            </w:tcMar>
          </w:tcPr>
          <w:p>
            <w:r>
              <w:rPr>
                <w:rFonts w:ascii="Calibri" w:hAnsi="Calibri"/>
                <w:sz w:val="18"/>
              </w:rPr>
              <w:t>Limites exactes des requêtes et exports.</w:t>
            </w:r>
          </w:p>
        </w:tc>
      </w:tr>
      <w:tr>
        <w:tc>
          <w:tcPr>
            <w:tcW w:type="dxa" w:w="1000"/>
            <w:tcMar>
              <w:top w:w="80" w:type="dxa"/>
              <w:start w:w="120" w:type="dxa"/>
              <w:bottom w:w="80" w:type="dxa"/>
              <w:end w:w="120" w:type="dxa"/>
            </w:tcMar>
          </w:tcPr>
          <w:p>
            <w:r>
              <w:rPr>
                <w:rFonts w:ascii="Calibri" w:hAnsi="Calibri"/>
                <w:sz w:val="18"/>
              </w:rPr>
              <w:t>QO-26</w:t>
            </w:r>
          </w:p>
        </w:tc>
        <w:tc>
          <w:tcPr>
            <w:tcW w:type="dxa" w:w="2400"/>
            <w:tcMar>
              <w:top w:w="80" w:type="dxa"/>
              <w:start w:w="120" w:type="dxa"/>
              <w:bottom w:w="80" w:type="dxa"/>
              <w:end w:w="120" w:type="dxa"/>
            </w:tcMar>
          </w:tcPr>
          <w:p>
            <w:r>
              <w:rPr>
                <w:rFonts w:ascii="Calibri" w:hAnsi="Calibri"/>
                <w:sz w:val="18"/>
              </w:rPr>
              <w:t>Multi-devise</w:t>
            </w:r>
          </w:p>
        </w:tc>
        <w:tc>
          <w:tcPr>
            <w:tcW w:type="dxa" w:w="5960"/>
            <w:tcMar>
              <w:top w:w="80" w:type="dxa"/>
              <w:start w:w="120" w:type="dxa"/>
              <w:bottom w:w="80" w:type="dxa"/>
              <w:end w:w="120" w:type="dxa"/>
            </w:tcMar>
          </w:tcPr>
          <w:p>
            <w:r>
              <w:rPr>
                <w:rFonts w:ascii="Calibri" w:hAnsi="Calibri"/>
                <w:sz w:val="18"/>
              </w:rPr>
              <w:t>Politique et source des taux de conversion.</w:t>
            </w:r>
          </w:p>
        </w:tc>
      </w:tr>
      <w:tr>
        <w:tc>
          <w:tcPr>
            <w:tcW w:type="dxa" w:w="1000"/>
            <w:tcMar>
              <w:top w:w="80" w:type="dxa"/>
              <w:start w:w="120" w:type="dxa"/>
              <w:bottom w:w="80" w:type="dxa"/>
              <w:end w:w="120" w:type="dxa"/>
            </w:tcMar>
          </w:tcPr>
          <w:p>
            <w:r>
              <w:rPr>
                <w:rFonts w:ascii="Calibri" w:hAnsi="Calibri"/>
                <w:sz w:val="18"/>
              </w:rPr>
              <w:t>QO-27</w:t>
            </w:r>
          </w:p>
        </w:tc>
        <w:tc>
          <w:tcPr>
            <w:tcW w:type="dxa" w:w="2400"/>
            <w:tcMar>
              <w:top w:w="80" w:type="dxa"/>
              <w:start w:w="120" w:type="dxa"/>
              <w:bottom w:w="80" w:type="dxa"/>
              <w:end w:w="120" w:type="dxa"/>
            </w:tcMar>
          </w:tcPr>
          <w:p>
            <w:r>
              <w:rPr>
                <w:rFonts w:ascii="Calibri" w:hAnsi="Calibri"/>
                <w:sz w:val="18"/>
              </w:rPr>
              <w:t>Fuseau de consolidation</w:t>
            </w:r>
          </w:p>
        </w:tc>
        <w:tc>
          <w:tcPr>
            <w:tcW w:type="dxa" w:w="5960"/>
            <w:tcMar>
              <w:top w:w="80" w:type="dxa"/>
              <w:start w:w="120" w:type="dxa"/>
              <w:bottom w:w="80" w:type="dxa"/>
              <w:end w:w="120" w:type="dxa"/>
            </w:tcMar>
          </w:tcPr>
          <w:p>
            <w:r>
              <w:rPr>
                <w:rFonts w:ascii="Calibri" w:hAnsi="Calibri"/>
                <w:sz w:val="18"/>
              </w:rPr>
              <w:t>Fuseau de reporting au niveau organization.</w:t>
            </w:r>
          </w:p>
        </w:tc>
      </w:tr>
      <w:tr>
        <w:tc>
          <w:tcPr>
            <w:tcW w:type="dxa" w:w="1000"/>
            <w:tcMar>
              <w:top w:w="80" w:type="dxa"/>
              <w:start w:w="120" w:type="dxa"/>
              <w:bottom w:w="80" w:type="dxa"/>
              <w:end w:w="120" w:type="dxa"/>
            </w:tcMar>
          </w:tcPr>
          <w:p>
            <w:r>
              <w:rPr>
                <w:rFonts w:ascii="Calibri" w:hAnsi="Calibri"/>
                <w:sz w:val="18"/>
              </w:rPr>
              <w:t>QO-28</w:t>
            </w:r>
          </w:p>
        </w:tc>
        <w:tc>
          <w:tcPr>
            <w:tcW w:type="dxa" w:w="2400"/>
            <w:tcMar>
              <w:top w:w="80" w:type="dxa"/>
              <w:start w:w="120" w:type="dxa"/>
              <w:bottom w:w="80" w:type="dxa"/>
              <w:end w:w="120" w:type="dxa"/>
            </w:tcMar>
          </w:tcPr>
          <w:p>
            <w:r>
              <w:rPr>
                <w:rFonts w:ascii="Calibri" w:hAnsi="Calibri"/>
                <w:sz w:val="18"/>
              </w:rPr>
              <w:t>Visualisation</w:t>
            </w:r>
          </w:p>
        </w:tc>
        <w:tc>
          <w:tcPr>
            <w:tcW w:type="dxa" w:w="5960"/>
            <w:tcMar>
              <w:top w:w="80" w:type="dxa"/>
              <w:start w:w="120" w:type="dxa"/>
              <w:bottom w:w="80" w:type="dxa"/>
              <w:end w:w="120" w:type="dxa"/>
            </w:tcMar>
          </w:tcPr>
          <w:p>
            <w:r>
              <w:rPr>
                <w:rFonts w:ascii="Calibri" w:hAnsi="Calibri"/>
                <w:sz w:val="18"/>
              </w:rPr>
              <w:t>Outil de dashboards et degré de personnalisation.</w:t>
            </w:r>
          </w:p>
        </w:tc>
      </w:tr>
      <w:tr>
        <w:tc>
          <w:tcPr>
            <w:tcW w:type="dxa" w:w="1000"/>
            <w:tcMar>
              <w:top w:w="80" w:type="dxa"/>
              <w:start w:w="120" w:type="dxa"/>
              <w:bottom w:w="80" w:type="dxa"/>
              <w:end w:w="120" w:type="dxa"/>
            </w:tcMar>
          </w:tcPr>
          <w:p>
            <w:r>
              <w:rPr>
                <w:rFonts w:ascii="Calibri" w:hAnsi="Calibri"/>
                <w:sz w:val="18"/>
              </w:rPr>
              <w:t>QO-29</w:t>
            </w:r>
          </w:p>
        </w:tc>
        <w:tc>
          <w:tcPr>
            <w:tcW w:type="dxa" w:w="2400"/>
            <w:tcMar>
              <w:top w:w="80" w:type="dxa"/>
              <w:start w:w="120" w:type="dxa"/>
              <w:bottom w:w="80" w:type="dxa"/>
              <w:end w:w="120" w:type="dxa"/>
            </w:tcMar>
          </w:tcPr>
          <w:p>
            <w:r>
              <w:rPr>
                <w:rFonts w:ascii="Calibri" w:hAnsi="Calibri"/>
                <w:sz w:val="18"/>
              </w:rPr>
              <w:t>Rétention des exports</w:t>
            </w:r>
          </w:p>
        </w:tc>
        <w:tc>
          <w:tcPr>
            <w:tcW w:type="dxa" w:w="5960"/>
            <w:tcMar>
              <w:top w:w="80" w:type="dxa"/>
              <w:start w:w="120" w:type="dxa"/>
              <w:bottom w:w="80" w:type="dxa"/>
              <w:end w:w="120" w:type="dxa"/>
            </w:tcMar>
          </w:tcPr>
          <w:p>
            <w:r>
              <w:rPr>
                <w:rFonts w:ascii="Calibri" w:hAnsi="Calibri"/>
                <w:sz w:val="18"/>
              </w:rPr>
              <w:t>Durée selon type, sensibilité et juridiction.</w:t>
            </w:r>
          </w:p>
        </w:tc>
      </w:tr>
      <w:tr>
        <w:tc>
          <w:tcPr>
            <w:tcW w:type="dxa" w:w="1000"/>
            <w:tcMar>
              <w:top w:w="80" w:type="dxa"/>
              <w:start w:w="120" w:type="dxa"/>
              <w:bottom w:w="80" w:type="dxa"/>
              <w:end w:w="120" w:type="dxa"/>
            </w:tcMar>
          </w:tcPr>
          <w:p>
            <w:r>
              <w:rPr>
                <w:rFonts w:ascii="Calibri" w:hAnsi="Calibri"/>
                <w:sz w:val="18"/>
              </w:rPr>
              <w:t>QO-30</w:t>
            </w:r>
          </w:p>
        </w:tc>
        <w:tc>
          <w:tcPr>
            <w:tcW w:type="dxa" w:w="2400"/>
            <w:tcMar>
              <w:top w:w="80" w:type="dxa"/>
              <w:start w:w="120" w:type="dxa"/>
              <w:bottom w:w="80" w:type="dxa"/>
              <w:end w:w="120" w:type="dxa"/>
            </w:tcMar>
          </w:tcPr>
          <w:p>
            <w:r>
              <w:rPr>
                <w:rFonts w:ascii="Calibri" w:hAnsi="Calibri"/>
                <w:sz w:val="18"/>
              </w:rPr>
              <w:t>Durée offline</w:t>
            </w:r>
          </w:p>
        </w:tc>
        <w:tc>
          <w:tcPr>
            <w:tcW w:type="dxa" w:w="5960"/>
            <w:tcMar>
              <w:top w:w="80" w:type="dxa"/>
              <w:start w:w="120" w:type="dxa"/>
              <w:bottom w:w="80" w:type="dxa"/>
              <w:end w:w="120" w:type="dxa"/>
            </w:tcMar>
          </w:tcPr>
          <w:p>
            <w:r>
              <w:rPr>
                <w:rFonts w:ascii="Calibri" w:hAnsi="Calibri"/>
                <w:sz w:val="18"/>
              </w:rPr>
              <w:t>Durée maximale autorisée sans connexion.</w:t>
            </w:r>
          </w:p>
        </w:tc>
      </w:tr>
      <w:tr>
        <w:tc>
          <w:tcPr>
            <w:tcW w:type="dxa" w:w="1000"/>
            <w:tcMar>
              <w:top w:w="80" w:type="dxa"/>
              <w:start w:w="120" w:type="dxa"/>
              <w:bottom w:w="80" w:type="dxa"/>
              <w:end w:w="120" w:type="dxa"/>
            </w:tcMar>
          </w:tcPr>
          <w:p>
            <w:r>
              <w:rPr>
                <w:rFonts w:ascii="Calibri" w:hAnsi="Calibri"/>
                <w:sz w:val="18"/>
              </w:rPr>
              <w:t>QO-31</w:t>
            </w:r>
          </w:p>
        </w:tc>
        <w:tc>
          <w:tcPr>
            <w:tcW w:type="dxa" w:w="2400"/>
            <w:tcMar>
              <w:top w:w="80" w:type="dxa"/>
              <w:start w:w="120" w:type="dxa"/>
              <w:bottom w:w="80" w:type="dxa"/>
              <w:end w:w="120" w:type="dxa"/>
            </w:tcMar>
          </w:tcPr>
          <w:p>
            <w:r>
              <w:rPr>
                <w:rFonts w:ascii="Calibri" w:hAnsi="Calibri"/>
                <w:sz w:val="18"/>
              </w:rPr>
              <w:t>Grants</w:t>
            </w:r>
          </w:p>
        </w:tc>
        <w:tc>
          <w:tcPr>
            <w:tcW w:type="dxa" w:w="5960"/>
            <w:tcMar>
              <w:top w:w="80" w:type="dxa"/>
              <w:start w:w="120" w:type="dxa"/>
              <w:bottom w:w="80" w:type="dxa"/>
              <w:end w:w="120" w:type="dxa"/>
            </w:tcMar>
          </w:tcPr>
          <w:p>
            <w:r>
              <w:rPr>
                <w:rFonts w:ascii="Calibri" w:hAnsi="Calibri"/>
                <w:sz w:val="18"/>
              </w:rPr>
              <w:t>Durée des `OfflineAuthorizationGrant`.</w:t>
            </w:r>
          </w:p>
        </w:tc>
      </w:tr>
      <w:tr>
        <w:tc>
          <w:tcPr>
            <w:tcW w:type="dxa" w:w="1000"/>
            <w:tcMar>
              <w:top w:w="80" w:type="dxa"/>
              <w:start w:w="120" w:type="dxa"/>
              <w:bottom w:w="80" w:type="dxa"/>
              <w:end w:w="120" w:type="dxa"/>
            </w:tcMar>
          </w:tcPr>
          <w:p>
            <w:r>
              <w:rPr>
                <w:rFonts w:ascii="Calibri" w:hAnsi="Calibri"/>
                <w:sz w:val="18"/>
              </w:rPr>
              <w:t>QO-32</w:t>
            </w:r>
          </w:p>
        </w:tc>
        <w:tc>
          <w:tcPr>
            <w:tcW w:type="dxa" w:w="2400"/>
            <w:tcMar>
              <w:top w:w="80" w:type="dxa"/>
              <w:start w:w="120" w:type="dxa"/>
              <w:bottom w:w="80" w:type="dxa"/>
              <w:end w:w="120" w:type="dxa"/>
            </w:tcMar>
          </w:tcPr>
          <w:p>
            <w:r>
              <w:rPr>
                <w:rFonts w:ascii="Calibri" w:hAnsi="Calibri"/>
                <w:sz w:val="18"/>
              </w:rPr>
              <w:t>Stock local</w:t>
            </w:r>
          </w:p>
        </w:tc>
        <w:tc>
          <w:tcPr>
            <w:tcW w:type="dxa" w:w="5960"/>
            <w:tcMar>
              <w:top w:w="80" w:type="dxa"/>
              <w:start w:w="120" w:type="dxa"/>
              <w:bottom w:w="80" w:type="dxa"/>
              <w:end w:w="120" w:type="dxa"/>
            </w:tcMar>
          </w:tcPr>
          <w:p>
            <w:r>
              <w:rPr>
                <w:rFonts w:ascii="Calibri" w:hAnsi="Calibri"/>
                <w:sz w:val="18"/>
              </w:rPr>
              <w:t>Produits autorisés en `LOCAL_ESTIMATE`.</w:t>
            </w:r>
          </w:p>
        </w:tc>
      </w:tr>
      <w:tr>
        <w:tc>
          <w:tcPr>
            <w:tcW w:type="dxa" w:w="1000"/>
            <w:tcMar>
              <w:top w:w="80" w:type="dxa"/>
              <w:start w:w="120" w:type="dxa"/>
              <w:bottom w:w="80" w:type="dxa"/>
              <w:end w:w="120" w:type="dxa"/>
            </w:tcMar>
          </w:tcPr>
          <w:p>
            <w:r>
              <w:rPr>
                <w:rFonts w:ascii="Calibri" w:hAnsi="Calibri"/>
                <w:sz w:val="18"/>
              </w:rPr>
              <w:t>QO-33</w:t>
            </w:r>
          </w:p>
        </w:tc>
        <w:tc>
          <w:tcPr>
            <w:tcW w:type="dxa" w:w="2400"/>
            <w:tcMar>
              <w:top w:w="80" w:type="dxa"/>
              <w:start w:w="120" w:type="dxa"/>
              <w:bottom w:w="80" w:type="dxa"/>
              <w:end w:w="120" w:type="dxa"/>
            </w:tcMar>
          </w:tcPr>
          <w:p>
            <w:r>
              <w:rPr>
                <w:rFonts w:ascii="Calibri" w:hAnsi="Calibri"/>
                <w:sz w:val="18"/>
              </w:rPr>
              <w:t>Allowances</w:t>
            </w:r>
          </w:p>
        </w:tc>
        <w:tc>
          <w:tcPr>
            <w:tcW w:type="dxa" w:w="5960"/>
            <w:tcMar>
              <w:top w:w="80" w:type="dxa"/>
              <w:start w:w="120" w:type="dxa"/>
              <w:bottom w:w="80" w:type="dxa"/>
              <w:end w:w="120" w:type="dxa"/>
            </w:tcMar>
          </w:tcPr>
          <w:p>
            <w:r>
              <w:rPr>
                <w:rFonts w:ascii="Calibri" w:hAnsi="Calibri"/>
                <w:sz w:val="18"/>
              </w:rPr>
              <w:t>Calcul et redistribution des `DEVICE_ALLOWANCE`.</w:t>
            </w:r>
          </w:p>
        </w:tc>
      </w:tr>
      <w:tr>
        <w:tc>
          <w:tcPr>
            <w:tcW w:type="dxa" w:w="1000"/>
            <w:tcMar>
              <w:top w:w="80" w:type="dxa"/>
              <w:start w:w="120" w:type="dxa"/>
              <w:bottom w:w="80" w:type="dxa"/>
              <w:end w:w="120" w:type="dxa"/>
            </w:tcMar>
          </w:tcPr>
          <w:p>
            <w:r>
              <w:rPr>
                <w:rFonts w:ascii="Calibri" w:hAnsi="Calibri"/>
                <w:sz w:val="18"/>
              </w:rPr>
              <w:t>QO-34</w:t>
            </w:r>
          </w:p>
        </w:tc>
        <w:tc>
          <w:tcPr>
            <w:tcW w:type="dxa" w:w="2400"/>
            <w:tcMar>
              <w:top w:w="80" w:type="dxa"/>
              <w:start w:w="120" w:type="dxa"/>
              <w:bottom w:w="80" w:type="dxa"/>
              <w:end w:w="120" w:type="dxa"/>
            </w:tcMar>
          </w:tcPr>
          <w:p>
            <w:r>
              <w:rPr>
                <w:rFonts w:ascii="Calibri" w:hAnsi="Calibri"/>
                <w:sz w:val="18"/>
              </w:rPr>
              <w:t>Survente</w:t>
            </w:r>
          </w:p>
        </w:tc>
        <w:tc>
          <w:tcPr>
            <w:tcW w:type="dxa" w:w="5960"/>
            <w:tcMar>
              <w:top w:w="80" w:type="dxa"/>
              <w:start w:w="120" w:type="dxa"/>
              <w:bottom w:w="80" w:type="dxa"/>
              <w:end w:w="120" w:type="dxa"/>
            </w:tcMar>
          </w:tcPr>
          <w:p>
            <w:r>
              <w:rPr>
                <w:rFonts w:ascii="Calibri" w:hAnsi="Calibri"/>
                <w:sz w:val="18"/>
              </w:rPr>
              <w:t>Traitement métier définitif d’une survente offline.</w:t>
            </w:r>
          </w:p>
        </w:tc>
      </w:tr>
      <w:tr>
        <w:tc>
          <w:tcPr>
            <w:tcW w:type="dxa" w:w="1000"/>
            <w:tcMar>
              <w:top w:w="80" w:type="dxa"/>
              <w:start w:w="120" w:type="dxa"/>
              <w:bottom w:w="80" w:type="dxa"/>
              <w:end w:w="120" w:type="dxa"/>
            </w:tcMar>
          </w:tcPr>
          <w:p>
            <w:r>
              <w:rPr>
                <w:rFonts w:ascii="Calibri" w:hAnsi="Calibri"/>
                <w:sz w:val="18"/>
              </w:rPr>
              <w:t>QO-35</w:t>
            </w:r>
          </w:p>
        </w:tc>
        <w:tc>
          <w:tcPr>
            <w:tcW w:type="dxa" w:w="2400"/>
            <w:tcMar>
              <w:top w:w="80" w:type="dxa"/>
              <w:start w:w="120" w:type="dxa"/>
              <w:bottom w:w="80" w:type="dxa"/>
              <w:end w:w="120" w:type="dxa"/>
            </w:tcMar>
          </w:tcPr>
          <w:p>
            <w:r>
              <w:rPr>
                <w:rFonts w:ascii="Calibri" w:hAnsi="Calibri"/>
                <w:sz w:val="18"/>
              </w:rPr>
              <w:t>Cash offline</w:t>
            </w:r>
          </w:p>
        </w:tc>
        <w:tc>
          <w:tcPr>
            <w:tcW w:type="dxa" w:w="5960"/>
            <w:tcMar>
              <w:top w:w="80" w:type="dxa"/>
              <w:start w:w="120" w:type="dxa"/>
              <w:bottom w:w="80" w:type="dxa"/>
              <w:end w:w="120" w:type="dxa"/>
            </w:tcMar>
          </w:tcPr>
          <w:p>
            <w:r>
              <w:rPr>
                <w:rFonts w:ascii="Calibri" w:hAnsi="Calibri"/>
                <w:sz w:val="18"/>
              </w:rPr>
              <w:t>Mouvements manuels autorisés et plafonds.</w:t>
            </w:r>
          </w:p>
        </w:tc>
      </w:tr>
      <w:tr>
        <w:tc>
          <w:tcPr>
            <w:tcW w:type="dxa" w:w="1000"/>
            <w:tcMar>
              <w:top w:w="80" w:type="dxa"/>
              <w:start w:w="120" w:type="dxa"/>
              <w:bottom w:w="80" w:type="dxa"/>
              <w:end w:w="120" w:type="dxa"/>
            </w:tcMar>
          </w:tcPr>
          <w:p>
            <w:r>
              <w:rPr>
                <w:rFonts w:ascii="Calibri" w:hAnsi="Calibri"/>
                <w:sz w:val="18"/>
              </w:rPr>
              <w:t>QO-36</w:t>
            </w:r>
          </w:p>
        </w:tc>
        <w:tc>
          <w:tcPr>
            <w:tcW w:type="dxa" w:w="2400"/>
            <w:tcMar>
              <w:top w:w="80" w:type="dxa"/>
              <w:start w:w="120" w:type="dxa"/>
              <w:bottom w:w="80" w:type="dxa"/>
              <w:end w:w="120" w:type="dxa"/>
            </w:tcMar>
          </w:tcPr>
          <w:p>
            <w:r>
              <w:rPr>
                <w:rFonts w:ascii="Calibri" w:hAnsi="Calibri"/>
                <w:sz w:val="18"/>
              </w:rPr>
              <w:t>Attachments</w:t>
            </w:r>
          </w:p>
        </w:tc>
        <w:tc>
          <w:tcPr>
            <w:tcW w:type="dxa" w:w="5960"/>
            <w:tcMar>
              <w:top w:w="80" w:type="dxa"/>
              <w:start w:w="120" w:type="dxa"/>
              <w:bottom w:w="80" w:type="dxa"/>
              <w:end w:w="120" w:type="dxa"/>
            </w:tcMar>
          </w:tcPr>
          <w:p>
            <w:r>
              <w:rPr>
                <w:rFonts w:ascii="Calibri" w:hAnsi="Calibri"/>
                <w:sz w:val="18"/>
              </w:rPr>
              <w:t>Pièces justificatives et limites de taille.</w:t>
            </w:r>
          </w:p>
        </w:tc>
      </w:tr>
      <w:tr>
        <w:tc>
          <w:tcPr>
            <w:tcW w:type="dxa" w:w="1000"/>
            <w:tcMar>
              <w:top w:w="80" w:type="dxa"/>
              <w:start w:w="120" w:type="dxa"/>
              <w:bottom w:w="80" w:type="dxa"/>
              <w:end w:w="120" w:type="dxa"/>
            </w:tcMar>
          </w:tcPr>
          <w:p>
            <w:r>
              <w:rPr>
                <w:rFonts w:ascii="Calibri" w:hAnsi="Calibri"/>
                <w:sz w:val="18"/>
              </w:rPr>
              <w:t>QO-37</w:t>
            </w:r>
          </w:p>
        </w:tc>
        <w:tc>
          <w:tcPr>
            <w:tcW w:type="dxa" w:w="2400"/>
            <w:tcMar>
              <w:top w:w="80" w:type="dxa"/>
              <w:start w:w="120" w:type="dxa"/>
              <w:bottom w:w="80" w:type="dxa"/>
              <w:end w:w="120" w:type="dxa"/>
            </w:tcMar>
          </w:tcPr>
          <w:p>
            <w:r>
              <w:rPr>
                <w:rFonts w:ascii="Calibri" w:hAnsi="Calibri"/>
                <w:sz w:val="18"/>
              </w:rPr>
              <w:t>Cryptographie</w:t>
            </w:r>
          </w:p>
        </w:tc>
        <w:tc>
          <w:tcPr>
            <w:tcW w:type="dxa" w:w="5960"/>
            <w:tcMar>
              <w:top w:w="80" w:type="dxa"/>
              <w:start w:w="120" w:type="dxa"/>
              <w:bottom w:w="80" w:type="dxa"/>
              <w:end w:w="120" w:type="dxa"/>
            </w:tcMar>
          </w:tcPr>
          <w:p>
            <w:r>
              <w:rPr>
                <w:rFonts w:ascii="Calibri" w:hAnsi="Calibri"/>
                <w:sz w:val="18"/>
              </w:rPr>
              <w:t>Technologies selon les plateformes retenues.</w:t>
            </w:r>
          </w:p>
        </w:tc>
      </w:tr>
      <w:tr>
        <w:tc>
          <w:tcPr>
            <w:tcW w:type="dxa" w:w="1000"/>
            <w:tcMar>
              <w:top w:w="80" w:type="dxa"/>
              <w:start w:w="120" w:type="dxa"/>
              <w:bottom w:w="80" w:type="dxa"/>
              <w:end w:w="120" w:type="dxa"/>
            </w:tcMar>
          </w:tcPr>
          <w:p>
            <w:r>
              <w:rPr>
                <w:rFonts w:ascii="Calibri" w:hAnsi="Calibri"/>
                <w:sz w:val="18"/>
              </w:rPr>
              <w:t>QO-38</w:t>
            </w:r>
          </w:p>
        </w:tc>
        <w:tc>
          <w:tcPr>
            <w:tcW w:type="dxa" w:w="2400"/>
            <w:tcMar>
              <w:top w:w="80" w:type="dxa"/>
              <w:start w:w="120" w:type="dxa"/>
              <w:bottom w:w="80" w:type="dxa"/>
              <w:end w:w="120" w:type="dxa"/>
            </w:tcMar>
          </w:tcPr>
          <w:p>
            <w:r>
              <w:rPr>
                <w:rFonts w:ascii="Calibri" w:hAnsi="Calibri"/>
                <w:sz w:val="18"/>
              </w:rPr>
              <w:t>Attestation</w:t>
            </w:r>
          </w:p>
        </w:tc>
        <w:tc>
          <w:tcPr>
            <w:tcW w:type="dxa" w:w="5960"/>
            <w:tcMar>
              <w:top w:w="80" w:type="dxa"/>
              <w:start w:w="120" w:type="dxa"/>
              <w:bottom w:w="80" w:type="dxa"/>
              <w:end w:w="120" w:type="dxa"/>
            </w:tcMar>
          </w:tcPr>
          <w:p>
            <w:r>
              <w:rPr>
                <w:rFonts w:ascii="Calibri" w:hAnsi="Calibri"/>
                <w:sz w:val="18"/>
              </w:rPr>
              <w:t>Exigence d’attestation matérielle.</w:t>
            </w:r>
          </w:p>
        </w:tc>
      </w:tr>
      <w:tr>
        <w:tc>
          <w:tcPr>
            <w:tcW w:type="dxa" w:w="1000"/>
            <w:tcMar>
              <w:top w:w="80" w:type="dxa"/>
              <w:start w:w="120" w:type="dxa"/>
              <w:bottom w:w="80" w:type="dxa"/>
              <w:end w:w="120" w:type="dxa"/>
            </w:tcMar>
          </w:tcPr>
          <w:p>
            <w:r>
              <w:rPr>
                <w:rFonts w:ascii="Calibri" w:hAnsi="Calibri"/>
                <w:sz w:val="18"/>
              </w:rPr>
              <w:t>QO-39</w:t>
            </w:r>
          </w:p>
        </w:tc>
        <w:tc>
          <w:tcPr>
            <w:tcW w:type="dxa" w:w="2400"/>
            <w:tcMar>
              <w:top w:w="80" w:type="dxa"/>
              <w:start w:w="120" w:type="dxa"/>
              <w:bottom w:w="80" w:type="dxa"/>
              <w:end w:w="120" w:type="dxa"/>
            </w:tcMar>
          </w:tcPr>
          <w:p>
            <w:r>
              <w:rPr>
                <w:rFonts w:ascii="Calibri" w:hAnsi="Calibri"/>
                <w:sz w:val="18"/>
              </w:rPr>
              <w:t>Key rotation</w:t>
            </w:r>
          </w:p>
        </w:tc>
        <w:tc>
          <w:tcPr>
            <w:tcW w:type="dxa" w:w="5960"/>
            <w:tcMar>
              <w:top w:w="80" w:type="dxa"/>
              <w:start w:w="120" w:type="dxa"/>
              <w:bottom w:w="80" w:type="dxa"/>
              <w:end w:w="120" w:type="dxa"/>
            </w:tcMar>
          </w:tcPr>
          <w:p>
            <w:r>
              <w:rPr>
                <w:rFonts w:ascii="Calibri" w:hAnsi="Calibri"/>
                <w:sz w:val="18"/>
              </w:rPr>
              <w:t>Politique de rotation des clés.</w:t>
            </w:r>
          </w:p>
        </w:tc>
      </w:tr>
      <w:tr>
        <w:tc>
          <w:tcPr>
            <w:tcW w:type="dxa" w:w="1000"/>
            <w:tcMar>
              <w:top w:w="80" w:type="dxa"/>
              <w:start w:w="120" w:type="dxa"/>
              <w:bottom w:w="80" w:type="dxa"/>
              <w:end w:w="120" w:type="dxa"/>
            </w:tcMar>
          </w:tcPr>
          <w:p>
            <w:r>
              <w:rPr>
                <w:rFonts w:ascii="Calibri" w:hAnsi="Calibri"/>
                <w:sz w:val="18"/>
              </w:rPr>
              <w:t>QO-40</w:t>
            </w:r>
          </w:p>
        </w:tc>
        <w:tc>
          <w:tcPr>
            <w:tcW w:type="dxa" w:w="2400"/>
            <w:tcMar>
              <w:top w:w="80" w:type="dxa"/>
              <w:start w:w="120" w:type="dxa"/>
              <w:bottom w:w="80" w:type="dxa"/>
              <w:end w:w="120" w:type="dxa"/>
            </w:tcMar>
          </w:tcPr>
          <w:p>
            <w:r>
              <w:rPr>
                <w:rFonts w:ascii="Calibri" w:hAnsi="Calibri"/>
                <w:sz w:val="18"/>
              </w:rPr>
              <w:t>Rétention locale</w:t>
            </w:r>
          </w:p>
        </w:tc>
        <w:tc>
          <w:tcPr>
            <w:tcW w:type="dxa" w:w="5960"/>
            <w:tcMar>
              <w:top w:w="80" w:type="dxa"/>
              <w:start w:w="120" w:type="dxa"/>
              <w:bottom w:w="80" w:type="dxa"/>
              <w:end w:w="120" w:type="dxa"/>
            </w:tcMar>
          </w:tcPr>
          <w:p>
            <w:r>
              <w:rPr>
                <w:rFonts w:ascii="Calibri" w:hAnsi="Calibri"/>
                <w:sz w:val="18"/>
              </w:rPr>
              <w:t>Durées par type de donnée.</w:t>
            </w:r>
          </w:p>
        </w:tc>
      </w:tr>
      <w:tr>
        <w:tc>
          <w:tcPr>
            <w:tcW w:type="dxa" w:w="1000"/>
            <w:tcMar>
              <w:top w:w="80" w:type="dxa"/>
              <w:start w:w="120" w:type="dxa"/>
              <w:bottom w:w="80" w:type="dxa"/>
              <w:end w:w="120" w:type="dxa"/>
            </w:tcMar>
          </w:tcPr>
          <w:p>
            <w:r>
              <w:rPr>
                <w:rFonts w:ascii="Calibri" w:hAnsi="Calibri"/>
                <w:sz w:val="18"/>
              </w:rPr>
              <w:t>QO-41</w:t>
            </w:r>
          </w:p>
        </w:tc>
        <w:tc>
          <w:tcPr>
            <w:tcW w:type="dxa" w:w="2400"/>
            <w:tcMar>
              <w:top w:w="80" w:type="dxa"/>
              <w:start w:w="120" w:type="dxa"/>
              <w:bottom w:w="80" w:type="dxa"/>
              <w:end w:w="120" w:type="dxa"/>
            </w:tcMar>
          </w:tcPr>
          <w:p>
            <w:r>
              <w:rPr>
                <w:rFonts w:ascii="Calibri" w:hAnsi="Calibri"/>
                <w:sz w:val="18"/>
              </w:rPr>
              <w:t>Recovery package</w:t>
            </w:r>
          </w:p>
        </w:tc>
        <w:tc>
          <w:tcPr>
            <w:tcW w:type="dxa" w:w="5960"/>
            <w:tcMar>
              <w:top w:w="80" w:type="dxa"/>
              <w:start w:w="120" w:type="dxa"/>
              <w:bottom w:w="80" w:type="dxa"/>
              <w:end w:w="120" w:type="dxa"/>
            </w:tcMar>
          </w:tcPr>
          <w:p>
            <w:r>
              <w:rPr>
                <w:rFonts w:ascii="Calibri" w:hAnsi="Calibri"/>
                <w:sz w:val="18"/>
              </w:rPr>
              <w:t>Stratégie de sauvegarde et import.</w:t>
            </w:r>
          </w:p>
        </w:tc>
      </w:tr>
      <w:tr>
        <w:tc>
          <w:tcPr>
            <w:tcW w:type="dxa" w:w="1000"/>
            <w:tcMar>
              <w:top w:w="80" w:type="dxa"/>
              <w:start w:w="120" w:type="dxa"/>
              <w:bottom w:w="80" w:type="dxa"/>
              <w:end w:w="120" w:type="dxa"/>
            </w:tcMar>
          </w:tcPr>
          <w:p>
            <w:r>
              <w:rPr>
                <w:rFonts w:ascii="Calibri" w:hAnsi="Calibri"/>
                <w:sz w:val="18"/>
              </w:rPr>
              <w:t>QO-42</w:t>
            </w:r>
          </w:p>
        </w:tc>
        <w:tc>
          <w:tcPr>
            <w:tcW w:type="dxa" w:w="2400"/>
            <w:tcMar>
              <w:top w:w="80" w:type="dxa"/>
              <w:start w:w="120" w:type="dxa"/>
              <w:bottom w:w="80" w:type="dxa"/>
              <w:end w:w="120" w:type="dxa"/>
            </w:tcMar>
          </w:tcPr>
          <w:p>
            <w:r>
              <w:rPr>
                <w:rFonts w:ascii="Calibri" w:hAnsi="Calibri"/>
                <w:sz w:val="18"/>
              </w:rPr>
              <w:t>Retries</w:t>
            </w:r>
          </w:p>
        </w:tc>
        <w:tc>
          <w:tcPr>
            <w:tcW w:type="dxa" w:w="5960"/>
            <w:tcMar>
              <w:top w:w="80" w:type="dxa"/>
              <w:start w:w="120" w:type="dxa"/>
              <w:bottom w:w="80" w:type="dxa"/>
              <w:end w:w="120" w:type="dxa"/>
            </w:tcMar>
          </w:tcPr>
          <w:p>
            <w:r>
              <w:rPr>
                <w:rFonts w:ascii="Calibri" w:hAnsi="Calibri"/>
                <w:sz w:val="18"/>
              </w:rPr>
              <w:t>Seuils de retry et dead letters.</w:t>
            </w:r>
          </w:p>
        </w:tc>
      </w:tr>
      <w:tr>
        <w:tc>
          <w:tcPr>
            <w:tcW w:type="dxa" w:w="1000"/>
            <w:tcMar>
              <w:top w:w="80" w:type="dxa"/>
              <w:start w:w="120" w:type="dxa"/>
              <w:bottom w:w="80" w:type="dxa"/>
              <w:end w:w="120" w:type="dxa"/>
            </w:tcMar>
          </w:tcPr>
          <w:p>
            <w:r>
              <w:rPr>
                <w:rFonts w:ascii="Calibri" w:hAnsi="Calibri"/>
                <w:sz w:val="18"/>
              </w:rPr>
              <w:t>QO-43</w:t>
            </w:r>
          </w:p>
        </w:tc>
        <w:tc>
          <w:tcPr>
            <w:tcW w:type="dxa" w:w="2400"/>
            <w:tcMar>
              <w:top w:w="80" w:type="dxa"/>
              <w:start w:w="120" w:type="dxa"/>
              <w:bottom w:w="80" w:type="dxa"/>
              <w:end w:w="120" w:type="dxa"/>
            </w:tcMar>
          </w:tcPr>
          <w:p>
            <w:r>
              <w:rPr>
                <w:rFonts w:ascii="Calibri" w:hAnsi="Calibri"/>
                <w:sz w:val="18"/>
              </w:rPr>
              <w:t>SyncBatch</w:t>
            </w:r>
          </w:p>
        </w:tc>
        <w:tc>
          <w:tcPr>
            <w:tcW w:type="dxa" w:w="5960"/>
            <w:tcMar>
              <w:top w:w="80" w:type="dxa"/>
              <w:start w:w="120" w:type="dxa"/>
              <w:bottom w:w="80" w:type="dxa"/>
              <w:end w:w="120" w:type="dxa"/>
            </w:tcMar>
          </w:tcPr>
          <w:p>
            <w:r>
              <w:rPr>
                <w:rFonts w:ascii="Calibri" w:hAnsi="Calibri"/>
                <w:sz w:val="18"/>
              </w:rPr>
              <w:t>Limites de taille et cadence.</w:t>
            </w:r>
          </w:p>
        </w:tc>
      </w:tr>
      <w:tr>
        <w:tc>
          <w:tcPr>
            <w:tcW w:type="dxa" w:w="1000"/>
            <w:tcMar>
              <w:top w:w="80" w:type="dxa"/>
              <w:start w:w="120" w:type="dxa"/>
              <w:bottom w:w="80" w:type="dxa"/>
              <w:end w:w="120" w:type="dxa"/>
            </w:tcMar>
          </w:tcPr>
          <w:p>
            <w:r>
              <w:rPr>
                <w:rFonts w:ascii="Calibri" w:hAnsi="Calibri"/>
                <w:sz w:val="18"/>
              </w:rPr>
              <w:t>QO-44</w:t>
            </w:r>
          </w:p>
        </w:tc>
        <w:tc>
          <w:tcPr>
            <w:tcW w:type="dxa" w:w="2400"/>
            <w:tcMar>
              <w:top w:w="80" w:type="dxa"/>
              <w:start w:w="120" w:type="dxa"/>
              <w:bottom w:w="80" w:type="dxa"/>
              <w:end w:w="120" w:type="dxa"/>
            </w:tcMar>
          </w:tcPr>
          <w:p>
            <w:r>
              <w:rPr>
                <w:rFonts w:ascii="Calibri" w:hAnsi="Calibri"/>
                <w:sz w:val="18"/>
              </w:rPr>
              <w:t>Ouverture CashSession</w:t>
            </w:r>
          </w:p>
        </w:tc>
        <w:tc>
          <w:tcPr>
            <w:tcW w:type="dxa" w:w="5960"/>
            <w:tcMar>
              <w:top w:w="80" w:type="dxa"/>
              <w:start w:w="120" w:type="dxa"/>
              <w:bottom w:w="80" w:type="dxa"/>
              <w:end w:w="120" w:type="dxa"/>
            </w:tcMar>
          </w:tcPr>
          <w:p>
            <w:r>
              <w:rPr>
                <w:rFonts w:ascii="Calibri" w:hAnsi="Calibri"/>
                <w:sz w:val="18"/>
              </w:rPr>
              <w:t>Autorisation future d’une ouverture entièrement offline.</w:t>
            </w:r>
          </w:p>
        </w:tc>
      </w:tr>
      <w:tr>
        <w:tc>
          <w:tcPr>
            <w:tcW w:type="dxa" w:w="1000"/>
            <w:tcMar>
              <w:top w:w="80" w:type="dxa"/>
              <w:start w:w="120" w:type="dxa"/>
              <w:bottom w:w="80" w:type="dxa"/>
              <w:end w:w="120" w:type="dxa"/>
            </w:tcMar>
          </w:tcPr>
          <w:p>
            <w:r>
              <w:rPr>
                <w:rFonts w:ascii="Calibri" w:hAnsi="Calibri"/>
                <w:sz w:val="18"/>
              </w:rPr>
              <w:t>QO-45</w:t>
            </w:r>
          </w:p>
        </w:tc>
        <w:tc>
          <w:tcPr>
            <w:tcW w:type="dxa" w:w="2400"/>
            <w:tcMar>
              <w:top w:w="80" w:type="dxa"/>
              <w:start w:w="120" w:type="dxa"/>
              <w:bottom w:w="80" w:type="dxa"/>
              <w:end w:w="120" w:type="dxa"/>
            </w:tcMar>
          </w:tcPr>
          <w:p>
            <w:r>
              <w:t>Backend — RÉSOLUE v1.1</w:t>
            </w:r>
          </w:p>
        </w:tc>
        <w:tc>
          <w:tcPr>
            <w:tcW w:type="dxa" w:w="5960"/>
            <w:tcMar>
              <w:top w:w="80" w:type="dxa"/>
              <w:start w:w="120" w:type="dxa"/>
              <w:bottom w:w="80" w:type="dxa"/>
              <w:end w:w="120" w:type="dxa"/>
            </w:tcMar>
          </w:tcPr>
          <w:p>
            <w:r>
              <w:t>PHP + Symfony. Voir ADR technique 0002.</w:t>
            </w:r>
          </w:p>
        </w:tc>
      </w:tr>
      <w:tr>
        <w:tc>
          <w:tcPr>
            <w:tcW w:type="dxa" w:w="1000"/>
            <w:tcMar>
              <w:top w:w="80" w:type="dxa"/>
              <w:start w:w="120" w:type="dxa"/>
              <w:bottom w:w="80" w:type="dxa"/>
              <w:end w:w="120" w:type="dxa"/>
            </w:tcMar>
          </w:tcPr>
          <w:p>
            <w:r>
              <w:rPr>
                <w:rFonts w:ascii="Calibri" w:hAnsi="Calibri"/>
                <w:sz w:val="18"/>
              </w:rPr>
              <w:t>QO-46</w:t>
            </w:r>
          </w:p>
        </w:tc>
        <w:tc>
          <w:tcPr>
            <w:tcW w:type="dxa" w:w="2400"/>
            <w:tcMar>
              <w:top w:w="80" w:type="dxa"/>
              <w:start w:w="120" w:type="dxa"/>
              <w:bottom w:w="80" w:type="dxa"/>
              <w:end w:w="120" w:type="dxa"/>
            </w:tcMar>
          </w:tcPr>
          <w:p>
            <w:r>
              <w:t>Database — RÉSOLUE v1.1</w:t>
            </w:r>
          </w:p>
        </w:tc>
        <w:tc>
          <w:tcPr>
            <w:tcW w:type="dxa" w:w="5960"/>
            <w:tcMar>
              <w:top w:w="80" w:type="dxa"/>
              <w:start w:w="120" w:type="dxa"/>
              <w:bottom w:w="80" w:type="dxa"/>
              <w:end w:w="120" w:type="dxa"/>
            </w:tcMar>
          </w:tcPr>
          <w:p>
            <w:r>
              <w:t>PostgreSQL. Voir ADR technique 0003.</w:t>
            </w:r>
          </w:p>
        </w:tc>
      </w:tr>
      <w:tr>
        <w:tc>
          <w:tcPr>
            <w:tcW w:type="dxa" w:w="1000"/>
            <w:tcMar>
              <w:top w:w="80" w:type="dxa"/>
              <w:start w:w="120" w:type="dxa"/>
              <w:bottom w:w="80" w:type="dxa"/>
              <w:end w:w="120" w:type="dxa"/>
            </w:tcMar>
          </w:tcPr>
          <w:p>
            <w:r>
              <w:rPr>
                <w:rFonts w:ascii="Calibri" w:hAnsi="Calibri"/>
                <w:sz w:val="18"/>
              </w:rPr>
              <w:t>QO-47</w:t>
            </w:r>
          </w:p>
        </w:tc>
        <w:tc>
          <w:tcPr>
            <w:tcW w:type="dxa" w:w="2400"/>
            <w:tcMar>
              <w:top w:w="80" w:type="dxa"/>
              <w:start w:w="120" w:type="dxa"/>
              <w:bottom w:w="80" w:type="dxa"/>
              <w:end w:w="120" w:type="dxa"/>
            </w:tcMar>
          </w:tcPr>
          <w:p>
            <w:r>
              <w:t>Persistence — RÉSOLUE v1.1</w:t>
            </w:r>
          </w:p>
        </w:tc>
        <w:tc>
          <w:tcPr>
            <w:tcW w:type="dxa" w:w="5960"/>
            <w:tcMar>
              <w:top w:w="80" w:type="dxa"/>
              <w:start w:w="120" w:type="dxa"/>
              <w:bottom w:w="80" w:type="dxa"/>
              <w:end w:w="120" w:type="dxa"/>
            </w:tcMar>
          </w:tcPr>
          <w:p>
            <w:r>
              <w:t>Doctrine ORM + DBAL + Doctrine Migrations. Voir ADR technique 0004.</w:t>
            </w:r>
          </w:p>
        </w:tc>
      </w:tr>
      <w:tr>
        <w:tc>
          <w:tcPr>
            <w:tcW w:type="dxa" w:w="1000"/>
            <w:tcMar>
              <w:top w:w="80" w:type="dxa"/>
              <w:start w:w="120" w:type="dxa"/>
              <w:bottom w:w="80" w:type="dxa"/>
              <w:end w:w="120" w:type="dxa"/>
            </w:tcMar>
          </w:tcPr>
          <w:p>
            <w:r>
              <w:rPr>
                <w:rFonts w:ascii="Calibri" w:hAnsi="Calibri"/>
                <w:sz w:val="18"/>
              </w:rPr>
              <w:t>QO-48</w:t>
            </w:r>
          </w:p>
        </w:tc>
        <w:tc>
          <w:tcPr>
            <w:tcW w:type="dxa" w:w="2400"/>
            <w:tcMar>
              <w:top w:w="80" w:type="dxa"/>
              <w:start w:w="120" w:type="dxa"/>
              <w:bottom w:w="80" w:type="dxa"/>
              <w:end w:w="120" w:type="dxa"/>
            </w:tcMar>
          </w:tcPr>
          <w:p>
            <w:r>
              <w:t>API et Identity — RÉSOLUE MVP v1.1</w:t>
            </w:r>
          </w:p>
        </w:tc>
        <w:tc>
          <w:tcPr>
            <w:tcW w:type="dxa" w:w="5960"/>
            <w:tcMar>
              <w:top w:w="80" w:type="dxa"/>
              <w:start w:w="120" w:type="dxa"/>
              <w:bottom w:w="80" w:type="dxa"/>
              <w:end w:w="120" w:type="dxa"/>
            </w:tcMar>
          </w:tcPr>
          <w:p>
            <w:r>
              <w:t>REST + API Platform + OpenAPI ; Symfony Security + JWT et refresh tokens stateful avec rotation. Voir ADR techniques 0005 et 0006.</w:t>
            </w:r>
          </w:p>
        </w:tc>
      </w:tr>
      <w:tr>
        <w:tc>
          <w:tcPr>
            <w:tcW w:type="dxa" w:w="1000"/>
            <w:tcMar>
              <w:top w:w="80" w:type="dxa"/>
              <w:start w:w="120" w:type="dxa"/>
              <w:bottom w:w="80" w:type="dxa"/>
              <w:end w:w="120" w:type="dxa"/>
            </w:tcMar>
          </w:tcPr>
          <w:p>
            <w:r>
              <w:rPr>
                <w:rFonts w:ascii="Calibri" w:hAnsi="Calibri"/>
                <w:sz w:val="18"/>
              </w:rPr>
              <w:t>QO-49</w:t>
            </w:r>
          </w:p>
        </w:tc>
        <w:tc>
          <w:tcPr>
            <w:tcW w:type="dxa" w:w="2400"/>
            <w:tcMar>
              <w:top w:w="80" w:type="dxa"/>
              <w:start w:w="120" w:type="dxa"/>
              <w:bottom w:w="80" w:type="dxa"/>
              <w:end w:w="120" w:type="dxa"/>
            </w:tcMar>
          </w:tcPr>
          <w:p>
            <w:r>
              <w:t>Deployment</w:t>
            </w:r>
          </w:p>
        </w:tc>
        <w:tc>
          <w:tcPr>
            <w:tcW w:type="dxa" w:w="5960"/>
            <w:tcMar>
              <w:top w:w="80" w:type="dxa"/>
              <w:start w:w="120" w:type="dxa"/>
              <w:bottom w:w="80" w:type="dxa"/>
              <w:end w:w="120" w:type="dxa"/>
            </w:tcMar>
          </w:tcPr>
          <w:p>
            <w:r>
              <w:t>Docker et OpenTelemetry sont décidés. Render/Frankfurt et Grafana Cloud restent PROPOSÉS, sous validation du Spike G.</w:t>
            </w:r>
          </w:p>
        </w:tc>
      </w:tr>
      <w:tr>
        <w:tc>
          <w:tcPr>
            <w:tcW w:type="dxa" w:w="1000"/>
            <w:tcMar>
              <w:top w:w="80" w:type="dxa"/>
              <w:start w:w="120" w:type="dxa"/>
              <w:bottom w:w="80" w:type="dxa"/>
              <w:end w:w="120" w:type="dxa"/>
            </w:tcMar>
          </w:tcPr>
          <w:p>
            <w:r>
              <w:rPr>
                <w:rFonts w:ascii="Calibri" w:hAnsi="Calibri"/>
                <w:sz w:val="18"/>
              </w:rPr>
              <w:t>QO-50</w:t>
            </w:r>
          </w:p>
        </w:tc>
        <w:tc>
          <w:tcPr>
            <w:tcW w:type="dxa" w:w="2400"/>
            <w:tcMar>
              <w:top w:w="80" w:type="dxa"/>
              <w:start w:w="120" w:type="dxa"/>
              <w:bottom w:w="80" w:type="dxa"/>
              <w:end w:w="120" w:type="dxa"/>
            </w:tcMar>
          </w:tcPr>
          <w:p>
            <w:r>
              <w:t>POS — RÉSOLUE v1.1</w:t>
            </w:r>
          </w:p>
        </w:tc>
        <w:tc>
          <w:tcPr>
            <w:tcW w:type="dxa" w:w="5960"/>
            <w:tcMar>
              <w:top w:w="80" w:type="dxa"/>
              <w:start w:w="120" w:type="dxa"/>
              <w:bottom w:w="80" w:type="dxa"/>
              <w:end w:w="120" w:type="dxa"/>
            </w:tcMar>
          </w:tcPr>
          <w:p>
            <w:r>
              <w:t>React + TypeScript + Vite + Tauri ; Windows 10/11 x64 pour le MVP. SQLite pour le stockage opérationnel local. Voir ADR techniques 0010 et 0011.</w:t>
            </w:r>
          </w:p>
        </w:tc>
      </w:tr>
      <w:tr>
        <w:tc>
          <w:tcPr>
            <w:tcW w:type="dxa" w:w="1000"/>
            <w:tcMar>
              <w:top w:w="80" w:type="dxa"/>
              <w:start w:w="120" w:type="dxa"/>
              <w:bottom w:w="80" w:type="dxa"/>
              <w:end w:w="120" w:type="dxa"/>
            </w:tcMar>
          </w:tcPr>
          <w:p>
            <w:r>
              <w:rPr>
                <w:rFonts w:ascii="Calibri" w:hAnsi="Calibri"/>
                <w:sz w:val="18"/>
              </w:rPr>
              <w:t>QO-51</w:t>
            </w:r>
          </w:p>
        </w:tc>
        <w:tc>
          <w:tcPr>
            <w:tcW w:type="dxa" w:w="2400"/>
            <w:tcMar>
              <w:top w:w="80" w:type="dxa"/>
              <w:start w:w="120" w:type="dxa"/>
              <w:bottom w:w="80" w:type="dxa"/>
              <w:end w:w="120" w:type="dxa"/>
            </w:tcMar>
          </w:tcPr>
          <w:p>
            <w:r>
              <w:t>Identifiers — RÉSOLUE v1.1</w:t>
            </w:r>
          </w:p>
        </w:tc>
        <w:tc>
          <w:tcPr>
            <w:tcW w:type="dxa" w:w="5960"/>
            <w:tcMar>
              <w:top w:w="80" w:type="dxa"/>
              <w:start w:w="120" w:type="dxa"/>
              <w:bottom w:w="80" w:type="dxa"/>
              <w:end w:w="120" w:type="dxa"/>
            </w:tcMar>
          </w:tcPr>
          <w:p>
            <w:r>
              <w:t>UUID v7, génération applicative, abstraction Zandu dans SharedKernel et implémentation Symfony UID dans Platform. Voir ADR technique 0007.</w:t>
            </w:r>
          </w:p>
        </w:tc>
      </w:tr>
      <w:tr>
        <w:tc>
          <w:tcPr>
            <w:tcW w:type="dxa" w:w="1000"/>
            <w:tcMar>
              <w:top w:w="80" w:type="dxa"/>
              <w:start w:w="120" w:type="dxa"/>
              <w:bottom w:w="80" w:type="dxa"/>
              <w:end w:w="120" w:type="dxa"/>
            </w:tcMar>
          </w:tcPr>
          <w:p>
            <w:r>
              <w:rPr>
                <w:rFonts w:ascii="Calibri" w:hAnsi="Calibri"/>
                <w:sz w:val="18"/>
              </w:rPr>
              <w:t>QO-52</w:t>
            </w:r>
          </w:p>
        </w:tc>
        <w:tc>
          <w:tcPr>
            <w:tcW w:type="dxa" w:w="2400"/>
            <w:tcMar>
              <w:top w:w="80" w:type="dxa"/>
              <w:start w:w="120" w:type="dxa"/>
              <w:bottom w:w="80" w:type="dxa"/>
              <w:end w:w="120" w:type="dxa"/>
            </w:tcMar>
          </w:tcPr>
          <w:p>
            <w:r>
              <w:t>Quantity</w:t>
            </w:r>
          </w:p>
        </w:tc>
        <w:tc>
          <w:tcPr>
            <w:tcW w:type="dxa" w:w="5960"/>
            <w:tcMar>
              <w:top w:w="80" w:type="dxa"/>
              <w:start w:w="120" w:type="dxa"/>
              <w:bottom w:w="80" w:type="dxa"/>
              <w:end w:w="120" w:type="dxa"/>
            </w:tcMar>
          </w:tcPr>
          <w:p>
            <w:r>
              <w:t>Précision technique commune toujours OUVERTE ; à valider par Spike C sur les produits réels.</w:t>
            </w:r>
          </w:p>
        </w:tc>
      </w:tr>
      <w:tr>
        <w:tc>
          <w:tcPr>
            <w:tcW w:type="dxa" w:w="1000"/>
            <w:tcMar>
              <w:top w:w="80" w:type="dxa"/>
              <w:start w:w="120" w:type="dxa"/>
              <w:bottom w:w="80" w:type="dxa"/>
              <w:end w:w="120" w:type="dxa"/>
            </w:tcMar>
          </w:tcPr>
          <w:p>
            <w:r>
              <w:rPr>
                <w:rFonts w:ascii="Calibri" w:hAnsi="Calibri"/>
                <w:sz w:val="18"/>
              </w:rPr>
              <w:t>QO-53</w:t>
            </w:r>
          </w:p>
        </w:tc>
        <w:tc>
          <w:tcPr>
            <w:tcW w:type="dxa" w:w="2400"/>
            <w:tcMar>
              <w:top w:w="80" w:type="dxa"/>
              <w:start w:w="120" w:type="dxa"/>
              <w:bottom w:w="80" w:type="dxa"/>
              <w:end w:w="120" w:type="dxa"/>
            </w:tcMar>
          </w:tcPr>
          <w:p>
            <w:r>
              <w:rPr>
                <w:rFonts w:ascii="Calibri" w:hAnsi="Calibri"/>
                <w:sz w:val="18"/>
              </w:rPr>
              <w:t>Fiscalité</w:t>
            </w:r>
          </w:p>
        </w:tc>
        <w:tc>
          <w:tcPr>
            <w:tcW w:type="dxa" w:w="5960"/>
            <w:tcMar>
              <w:top w:w="80" w:type="dxa"/>
              <w:start w:w="120" w:type="dxa"/>
              <w:bottom w:w="80" w:type="dxa"/>
              <w:end w:w="120" w:type="dxa"/>
            </w:tcMar>
          </w:tcPr>
          <w:p>
            <w:r>
              <w:rPr>
                <w:rFonts w:ascii="Calibri" w:hAnsi="Calibri"/>
                <w:sz w:val="18"/>
              </w:rPr>
              <w:t>Règles réglementaires de la juridiction pilote.</w:t>
            </w:r>
          </w:p>
        </w:tc>
      </w:tr>
      <w:tr>
        <w:tc>
          <w:tcPr>
            <w:tcW w:type="dxa" w:w="1000"/>
            <w:tcMar>
              <w:top w:w="80" w:type="dxa"/>
              <w:start w:w="120" w:type="dxa"/>
              <w:bottom w:w="80" w:type="dxa"/>
              <w:end w:w="120" w:type="dxa"/>
            </w:tcMar>
          </w:tcPr>
          <w:p>
            <w:r>
              <w:rPr>
                <w:rFonts w:ascii="Calibri" w:hAnsi="Calibri"/>
                <w:sz w:val="18"/>
              </w:rPr>
              <w:t>QO-54</w:t>
            </w:r>
          </w:p>
        </w:tc>
        <w:tc>
          <w:tcPr>
            <w:tcW w:type="dxa" w:w="2400"/>
            <w:tcMar>
              <w:top w:w="80" w:type="dxa"/>
              <w:start w:w="120" w:type="dxa"/>
              <w:bottom w:w="80" w:type="dxa"/>
              <w:end w:w="120" w:type="dxa"/>
            </w:tcMar>
          </w:tcPr>
          <w:p>
            <w:r>
              <w:rPr>
                <w:rFonts w:ascii="Calibri" w:hAnsi="Calibri"/>
                <w:sz w:val="18"/>
              </w:rPr>
              <w:t>RPO/RTO</w:t>
            </w:r>
          </w:p>
        </w:tc>
        <w:tc>
          <w:tcPr>
            <w:tcW w:type="dxa" w:w="5960"/>
            <w:tcMar>
              <w:top w:w="80" w:type="dxa"/>
              <w:start w:w="120" w:type="dxa"/>
              <w:bottom w:w="80" w:type="dxa"/>
              <w:end w:w="120" w:type="dxa"/>
            </w:tcMar>
          </w:tcPr>
          <w:p>
            <w:r>
              <w:rPr>
                <w:rFonts w:ascii="Calibri" w:hAnsi="Calibri"/>
                <w:sz w:val="18"/>
              </w:rPr>
              <w:t>Objectifs métier de perte et reprise.</w:t>
            </w:r>
          </w:p>
        </w:tc>
      </w:tr>
    </w:tbl>
    <w:p>
      <w:pPr>
        <w:spacing w:after="0"/>
      </w:pPr>
    </w:p>
    <w:p>
      <w:pPr>
        <w:pStyle w:val="Heading1"/>
      </w:pPr>
      <w:r>
        <w:t>33. Roadmap documentaire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shd w:fill="E9F5EC"/>
            <w:vAlign w:val="center"/>
          </w:tcPr>
          <w:p>
            <w:pPr>
              <w:jc w:val="center"/>
            </w:pPr>
            <w:r>
              <w:rPr>
                <w:rFonts w:ascii="Calibri" w:hAnsi="Calibri"/>
                <w:b/>
                <w:color w:val="1F4D78"/>
                <w:sz w:val="18"/>
              </w:rPr>
              <w:t>DÉCIDÉ</w:t>
            </w:r>
          </w:p>
        </w:tc>
        <w:tc>
          <w:tcPr>
            <w:tcW w:type="dxa" w:w="7460"/>
            <w:tcMar>
              <w:top w:w="80" w:type="dxa"/>
              <w:start w:w="120" w:type="dxa"/>
              <w:bottom w:w="80" w:type="dxa"/>
              <w:end w:w="120" w:type="dxa"/>
            </w:tcMar>
            <w:shd w:fill="FAFAFA"/>
            <w:vAlign w:val="center"/>
          </w:tcPr>
          <w:p>
            <w:r>
              <w:rPr>
                <w:rFonts w:ascii="Calibri" w:hAnsi="Calibri"/>
                <w:sz w:val="20"/>
              </w:rPr>
              <w:t>Le document évolue par versions : concevoir, challenger, décider, figer la section, puis passer au sous-domaine suivant.</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1200"/>
        <w:gridCol w:w="4560"/>
        <w:gridCol w:w="3600"/>
      </w:tblGrid>
      <w:tr>
        <w:trPr>
          <w:tblHeader w:val="true"/>
        </w:trPr>
        <w:tc>
          <w:tcPr>
            <w:tcW w:type="dxa" w:w="1200"/>
            <w:tcMar>
              <w:top w:w="80" w:type="dxa"/>
              <w:start w:w="120" w:type="dxa"/>
              <w:bottom w:w="80" w:type="dxa"/>
              <w:end w:w="120" w:type="dxa"/>
            </w:tcMar>
            <w:shd w:fill="F2F4F7"/>
          </w:tcPr>
          <w:p>
            <w:r>
              <w:rPr>
                <w:rFonts w:ascii="Calibri" w:hAnsi="Calibri"/>
                <w:b/>
                <w:color w:val="1F4D78"/>
                <w:sz w:val="19"/>
              </w:rPr>
              <w:t>Version</w:t>
            </w:r>
          </w:p>
        </w:tc>
        <w:tc>
          <w:tcPr>
            <w:tcW w:type="dxa" w:w="4560"/>
            <w:tcMar>
              <w:top w:w="80" w:type="dxa"/>
              <w:start w:w="120" w:type="dxa"/>
              <w:bottom w:w="80" w:type="dxa"/>
              <w:end w:w="120" w:type="dxa"/>
            </w:tcMar>
            <w:shd w:fill="F2F4F7"/>
          </w:tcPr>
          <w:p>
            <w:r>
              <w:rPr>
                <w:rFonts w:ascii="Calibri" w:hAnsi="Calibri"/>
                <w:b/>
                <w:color w:val="1F4D78"/>
                <w:sz w:val="19"/>
              </w:rPr>
              <w:t>Périmètre documentaire</w:t>
            </w:r>
          </w:p>
        </w:tc>
        <w:tc>
          <w:tcPr>
            <w:tcW w:type="dxa" w:w="3600"/>
            <w:tcMar>
              <w:top w:w="80" w:type="dxa"/>
              <w:start w:w="120" w:type="dxa"/>
              <w:bottom w:w="80" w:type="dxa"/>
              <w:end w:w="120" w:type="dxa"/>
            </w:tcMar>
            <w:shd w:fill="F2F4F7"/>
          </w:tcPr>
          <w:p>
            <w:r>
              <w:rPr>
                <w:rFonts w:ascii="Calibri" w:hAnsi="Calibri"/>
                <w:b/>
                <w:color w:val="1F4D78"/>
                <w:sz w:val="19"/>
              </w:rPr>
              <w:t>Résultat attendu</w:t>
            </w:r>
          </w:p>
        </w:tc>
      </w:tr>
      <w:tr>
        <w:tc>
          <w:tcPr>
            <w:tcW w:type="dxa" w:w="1200"/>
            <w:tcMar>
              <w:top w:w="80" w:type="dxa"/>
              <w:start w:w="120" w:type="dxa"/>
              <w:bottom w:w="80" w:type="dxa"/>
              <w:end w:w="120" w:type="dxa"/>
            </w:tcMar>
          </w:tcPr>
          <w:p>
            <w:r>
              <w:rPr>
                <w:rFonts w:ascii="Calibri" w:hAnsi="Calibri"/>
                <w:sz w:val="18"/>
              </w:rPr>
              <w:t>v0.1</w:t>
            </w:r>
          </w:p>
        </w:tc>
        <w:tc>
          <w:tcPr>
            <w:tcW w:type="dxa" w:w="4560"/>
            <w:tcMar>
              <w:top w:w="80" w:type="dxa"/>
              <w:start w:w="120" w:type="dxa"/>
              <w:bottom w:w="80" w:type="dxa"/>
              <w:end w:w="120" w:type="dxa"/>
            </w:tcMar>
          </w:tcPr>
          <w:p>
            <w:r>
              <w:rPr>
                <w:rFonts w:ascii="Calibri" w:hAnsi="Calibri"/>
                <w:sz w:val="18"/>
              </w:rPr>
              <w:t>Architecture globale, Sales, Cash Management, Inventory et Stock.</w:t>
            </w:r>
          </w:p>
        </w:tc>
        <w:tc>
          <w:tcPr>
            <w:tcW w:type="dxa" w:w="3600"/>
            <w:tcMar>
              <w:top w:w="80" w:type="dxa"/>
              <w:start w:w="120" w:type="dxa"/>
              <w:bottom w:w="80" w:type="dxa"/>
              <w:end w:w="120" w:type="dxa"/>
            </w:tcMar>
          </w:tcPr>
          <w:p>
            <w:r>
              <w:rPr>
                <w:rFonts w:ascii="Calibri" w:hAnsi="Calibri"/>
                <w:sz w:val="18"/>
              </w:rPr>
              <w:t>Baseline historique.</w:t>
            </w:r>
          </w:p>
        </w:tc>
      </w:tr>
      <w:tr>
        <w:tc>
          <w:tcPr>
            <w:tcW w:type="dxa" w:w="1200"/>
            <w:tcMar>
              <w:top w:w="80" w:type="dxa"/>
              <w:start w:w="120" w:type="dxa"/>
              <w:bottom w:w="80" w:type="dxa"/>
              <w:end w:w="120" w:type="dxa"/>
            </w:tcMar>
          </w:tcPr>
          <w:p>
            <w:r>
              <w:rPr>
                <w:rFonts w:ascii="Calibri" w:hAnsi="Calibri"/>
                <w:sz w:val="18"/>
              </w:rPr>
              <w:t>v0.2</w:t>
            </w:r>
          </w:p>
        </w:tc>
        <w:tc>
          <w:tcPr>
            <w:tcW w:type="dxa" w:w="4560"/>
            <w:tcMar>
              <w:top w:w="80" w:type="dxa"/>
              <w:start w:w="120" w:type="dxa"/>
              <w:bottom w:w="80" w:type="dxa"/>
              <w:end w:w="120" w:type="dxa"/>
            </w:tcMar>
          </w:tcPr>
          <w:p>
            <w:r>
              <w:rPr>
                <w:rFonts w:ascii="Calibri" w:hAnsi="Calibri"/>
                <w:sz w:val="18"/>
              </w:rPr>
              <w:t>`StockTransfer`.</w:t>
            </w:r>
          </w:p>
        </w:tc>
        <w:tc>
          <w:tcPr>
            <w:tcW w:type="dxa" w:w="3600"/>
            <w:tcMar>
              <w:top w:w="80" w:type="dxa"/>
              <w:start w:w="120" w:type="dxa"/>
              <w:bottom w:w="80" w:type="dxa"/>
              <w:end w:w="120" w:type="dxa"/>
            </w:tcMar>
          </w:tcPr>
          <w:p>
            <w:r>
              <w:rPr>
                <w:rFonts w:ascii="Calibri" w:hAnsi="Calibri"/>
                <w:sz w:val="18"/>
              </w:rPr>
              <w:t>Décisions intégrées dans la v0.3.</w:t>
            </w:r>
          </w:p>
        </w:tc>
      </w:tr>
      <w:tr>
        <w:tc>
          <w:tcPr>
            <w:tcW w:type="dxa" w:w="1200"/>
            <w:tcMar>
              <w:top w:w="80" w:type="dxa"/>
              <w:start w:w="120" w:type="dxa"/>
              <w:bottom w:w="80" w:type="dxa"/>
              <w:end w:w="120" w:type="dxa"/>
            </w:tcMar>
          </w:tcPr>
          <w:p>
            <w:r>
              <w:rPr>
                <w:rFonts w:ascii="Calibri" w:hAnsi="Calibri"/>
                <w:sz w:val="18"/>
              </w:rPr>
              <w:t>v0.3</w:t>
            </w:r>
          </w:p>
        </w:tc>
        <w:tc>
          <w:tcPr>
            <w:tcW w:type="dxa" w:w="4560"/>
            <w:tcMar>
              <w:top w:w="80" w:type="dxa"/>
              <w:start w:w="120" w:type="dxa"/>
              <w:bottom w:w="80" w:type="dxa"/>
              <w:end w:w="120" w:type="dxa"/>
            </w:tcMar>
          </w:tcPr>
          <w:p>
            <w:r>
              <w:rPr>
                <w:rFonts w:ascii="Calibri" w:hAnsi="Calibri"/>
                <w:sz w:val="18"/>
              </w:rPr>
              <w:t>`StockCount` et consolidation de `StockTransfer`.</w:t>
            </w:r>
          </w:p>
        </w:tc>
        <w:tc>
          <w:tcPr>
            <w:tcW w:type="dxa" w:w="3600"/>
            <w:tcMar>
              <w:top w:w="80" w:type="dxa"/>
              <w:start w:w="120" w:type="dxa"/>
              <w:bottom w:w="80" w:type="dxa"/>
              <w:end w:w="120" w:type="dxa"/>
            </w:tcMar>
          </w:tcPr>
          <w:p>
            <w:r>
              <w:rPr>
                <w:rFonts w:ascii="Calibri" w:hAnsi="Calibri"/>
                <w:sz w:val="18"/>
              </w:rPr>
              <w:t>Baseline historique.</w:t>
            </w:r>
          </w:p>
        </w:tc>
      </w:tr>
      <w:tr>
        <w:tc>
          <w:tcPr>
            <w:tcW w:type="dxa" w:w="1200"/>
            <w:tcMar>
              <w:top w:w="80" w:type="dxa"/>
              <w:start w:w="120" w:type="dxa"/>
              <w:bottom w:w="80" w:type="dxa"/>
              <w:end w:w="120" w:type="dxa"/>
            </w:tcMar>
          </w:tcPr>
          <w:p>
            <w:r>
              <w:rPr>
                <w:rFonts w:ascii="Calibri" w:hAnsi="Calibri"/>
                <w:sz w:val="18"/>
              </w:rPr>
              <w:t>v0.4</w:t>
            </w:r>
          </w:p>
        </w:tc>
        <w:tc>
          <w:tcPr>
            <w:tcW w:type="dxa" w:w="4560"/>
            <w:tcMar>
              <w:top w:w="80" w:type="dxa"/>
              <w:start w:w="120" w:type="dxa"/>
              <w:bottom w:w="80" w:type="dxa"/>
              <w:end w:w="120" w:type="dxa"/>
            </w:tcMar>
          </w:tcPr>
          <w:p>
            <w:r>
              <w:rPr>
                <w:rFonts w:ascii="Calibri" w:hAnsi="Calibri"/>
                <w:sz w:val="18"/>
              </w:rPr>
              <w:t>`Purchasing`, réceptions, retours et corrections fournisseurs.</w:t>
            </w:r>
          </w:p>
        </w:tc>
        <w:tc>
          <w:tcPr>
            <w:tcW w:type="dxa" w:w="3600"/>
            <w:tcMar>
              <w:top w:w="80" w:type="dxa"/>
              <w:start w:w="120" w:type="dxa"/>
              <w:bottom w:w="80" w:type="dxa"/>
              <w:end w:w="120" w:type="dxa"/>
            </w:tcMar>
          </w:tcPr>
          <w:p>
            <w:r>
              <w:rPr>
                <w:rFonts w:ascii="Calibri" w:hAnsi="Calibri"/>
                <w:sz w:val="18"/>
              </w:rPr>
              <w:t>Baseline historique.</w:t>
            </w:r>
          </w:p>
        </w:tc>
      </w:tr>
      <w:tr>
        <w:tc>
          <w:tcPr>
            <w:tcW w:type="dxa" w:w="1200"/>
            <w:tcMar>
              <w:top w:w="80" w:type="dxa"/>
              <w:start w:w="120" w:type="dxa"/>
              <w:bottom w:w="80" w:type="dxa"/>
              <w:end w:w="120" w:type="dxa"/>
            </w:tcMar>
          </w:tcPr>
          <w:p>
            <w:r>
              <w:rPr>
                <w:rFonts w:ascii="Calibri" w:hAnsi="Calibri"/>
                <w:sz w:val="18"/>
              </w:rPr>
              <w:t>v0.5</w:t>
            </w:r>
          </w:p>
        </w:tc>
        <w:tc>
          <w:tcPr>
            <w:tcW w:type="dxa" w:w="4560"/>
            <w:tcMar>
              <w:top w:w="80" w:type="dxa"/>
              <w:start w:w="120" w:type="dxa"/>
              <w:bottom w:w="80" w:type="dxa"/>
              <w:end w:w="120" w:type="dxa"/>
            </w:tcMar>
          </w:tcPr>
          <w:p>
            <w:r>
              <w:rPr>
                <w:rFonts w:ascii="Calibri" w:hAnsi="Calibri"/>
                <w:sz w:val="18"/>
              </w:rPr>
              <w:t>`Identity &amp; Access`, `Organization`, `Store` et audit transversal.</w:t>
            </w:r>
          </w:p>
        </w:tc>
        <w:tc>
          <w:tcPr>
            <w:tcW w:type="dxa" w:w="3600"/>
            <w:tcMar>
              <w:top w:w="80" w:type="dxa"/>
              <w:start w:w="120" w:type="dxa"/>
              <w:bottom w:w="80" w:type="dxa"/>
              <w:end w:w="120" w:type="dxa"/>
            </w:tcMar>
          </w:tcPr>
          <w:p>
            <w:r>
              <w:rPr>
                <w:rFonts w:ascii="Calibri" w:hAnsi="Calibri"/>
                <w:sz w:val="18"/>
              </w:rPr>
              <w:t>Baseline historique.</w:t>
            </w:r>
          </w:p>
        </w:tc>
      </w:tr>
      <w:tr>
        <w:tc>
          <w:tcPr>
            <w:tcW w:type="dxa" w:w="1200"/>
            <w:tcMar>
              <w:top w:w="80" w:type="dxa"/>
              <w:start w:w="120" w:type="dxa"/>
              <w:bottom w:w="80" w:type="dxa"/>
              <w:end w:w="120" w:type="dxa"/>
            </w:tcMar>
          </w:tcPr>
          <w:p>
            <w:r>
              <w:rPr>
                <w:rFonts w:ascii="Calibri" w:hAnsi="Calibri"/>
                <w:sz w:val="18"/>
              </w:rPr>
              <w:t>v0.6</w:t>
            </w:r>
          </w:p>
        </w:tc>
        <w:tc>
          <w:tcPr>
            <w:tcW w:type="dxa" w:w="4560"/>
            <w:tcMar>
              <w:top w:w="80" w:type="dxa"/>
              <w:start w:w="120" w:type="dxa"/>
              <w:bottom w:w="80" w:type="dxa"/>
              <w:end w:w="120" w:type="dxa"/>
            </w:tcMar>
          </w:tcPr>
          <w:p>
            <w:r>
              <w:rPr>
                <w:rFonts w:ascii="Calibri" w:hAnsi="Calibri"/>
                <w:sz w:val="18"/>
              </w:rPr>
              <w:t>`Catalog`, unités, packaging, pricing, taxes, remises et costing.</w:t>
            </w:r>
          </w:p>
        </w:tc>
        <w:tc>
          <w:tcPr>
            <w:tcW w:type="dxa" w:w="3600"/>
            <w:tcMar>
              <w:top w:w="80" w:type="dxa"/>
              <w:start w:w="120" w:type="dxa"/>
              <w:bottom w:w="80" w:type="dxa"/>
              <w:end w:w="120" w:type="dxa"/>
            </w:tcMar>
          </w:tcPr>
          <w:p>
            <w:r>
              <w:rPr>
                <w:rFonts w:ascii="Calibri" w:hAnsi="Calibri"/>
                <w:sz w:val="18"/>
              </w:rPr>
              <w:t>Baseline historique.</w:t>
            </w:r>
          </w:p>
        </w:tc>
      </w:tr>
      <w:tr>
        <w:tc>
          <w:tcPr>
            <w:tcW w:type="dxa" w:w="1200"/>
            <w:tcMar>
              <w:top w:w="80" w:type="dxa"/>
              <w:start w:w="120" w:type="dxa"/>
              <w:bottom w:w="80" w:type="dxa"/>
              <w:end w:w="120" w:type="dxa"/>
            </w:tcMar>
          </w:tcPr>
          <w:p>
            <w:r>
              <w:rPr>
                <w:rFonts w:ascii="Calibri" w:hAnsi="Calibri"/>
                <w:sz w:val="18"/>
              </w:rPr>
              <w:t>v0.7</w:t>
            </w:r>
          </w:p>
        </w:tc>
        <w:tc>
          <w:tcPr>
            <w:tcW w:type="dxa" w:w="4560"/>
            <w:tcMar>
              <w:top w:w="80" w:type="dxa"/>
              <w:start w:w="120" w:type="dxa"/>
              <w:bottom w:w="80" w:type="dxa"/>
              <w:end w:w="120" w:type="dxa"/>
            </w:tcMar>
          </w:tcPr>
          <w:p>
            <w:r>
              <w:rPr>
                <w:rFonts w:ascii="Calibri" w:hAnsi="Calibri"/>
                <w:sz w:val="18"/>
              </w:rPr>
              <w:t>`Customer`, crédit/dette, paiements et `StockReservation`.</w:t>
            </w:r>
          </w:p>
        </w:tc>
        <w:tc>
          <w:tcPr>
            <w:tcW w:type="dxa" w:w="3600"/>
            <w:tcMar>
              <w:top w:w="80" w:type="dxa"/>
              <w:start w:w="120" w:type="dxa"/>
              <w:bottom w:w="80" w:type="dxa"/>
              <w:end w:w="120" w:type="dxa"/>
            </w:tcMar>
          </w:tcPr>
          <w:p>
            <w:r>
              <w:rPr>
                <w:rFonts w:ascii="Calibri" w:hAnsi="Calibri"/>
                <w:sz w:val="18"/>
              </w:rPr>
              <w:t>Baseline historique.</w:t>
            </w:r>
          </w:p>
        </w:tc>
      </w:tr>
      <w:tr>
        <w:tc>
          <w:tcPr>
            <w:tcW w:type="dxa" w:w="1200"/>
            <w:tcMar>
              <w:top w:w="80" w:type="dxa"/>
              <w:start w:w="120" w:type="dxa"/>
              <w:bottom w:w="80" w:type="dxa"/>
              <w:end w:w="120" w:type="dxa"/>
            </w:tcMar>
          </w:tcPr>
          <w:p>
            <w:r>
              <w:rPr>
                <w:rFonts w:ascii="Calibri" w:hAnsi="Calibri"/>
                <w:sz w:val="18"/>
              </w:rPr>
              <w:t>v0.8</w:t>
            </w:r>
          </w:p>
        </w:tc>
        <w:tc>
          <w:tcPr>
            <w:tcW w:type="dxa" w:w="4560"/>
            <w:tcMar>
              <w:top w:w="80" w:type="dxa"/>
              <w:start w:w="120" w:type="dxa"/>
              <w:bottom w:w="80" w:type="dxa"/>
              <w:end w:w="120" w:type="dxa"/>
            </w:tcMar>
          </w:tcPr>
          <w:p>
            <w:r>
              <w:rPr>
                <w:rFonts w:ascii="Calibri" w:hAnsi="Calibri"/>
                <w:sz w:val="18"/>
              </w:rPr>
              <w:t>`Reporting`, projections, indicateurs, requêtes et exports.</w:t>
            </w:r>
          </w:p>
        </w:tc>
        <w:tc>
          <w:tcPr>
            <w:tcW w:type="dxa" w:w="3600"/>
            <w:tcMar>
              <w:top w:w="80" w:type="dxa"/>
              <w:start w:w="120" w:type="dxa"/>
              <w:bottom w:w="80" w:type="dxa"/>
              <w:end w:w="120" w:type="dxa"/>
            </w:tcMar>
          </w:tcPr>
          <w:p>
            <w:r>
              <w:rPr>
                <w:rFonts w:ascii="Calibri" w:hAnsi="Calibri"/>
                <w:sz w:val="18"/>
              </w:rPr>
              <w:t>Baseline historique.</w:t>
            </w:r>
          </w:p>
        </w:tc>
      </w:tr>
      <w:tr>
        <w:tc>
          <w:tcPr>
            <w:tcW w:type="dxa" w:w="1200"/>
            <w:tcMar>
              <w:top w:w="80" w:type="dxa"/>
              <w:start w:w="120" w:type="dxa"/>
              <w:bottom w:w="80" w:type="dxa"/>
              <w:end w:w="120" w:type="dxa"/>
            </w:tcMar>
          </w:tcPr>
          <w:p>
            <w:r>
              <w:rPr>
                <w:rFonts w:ascii="Calibri" w:hAnsi="Calibri"/>
                <w:sz w:val="18"/>
              </w:rPr>
              <w:t>v0.9</w:t>
            </w:r>
          </w:p>
        </w:tc>
        <w:tc>
          <w:tcPr>
            <w:tcW w:type="dxa" w:w="4560"/>
            <w:tcMar>
              <w:top w:w="80" w:type="dxa"/>
              <w:start w:w="120" w:type="dxa"/>
              <w:bottom w:w="80" w:type="dxa"/>
              <w:end w:w="120" w:type="dxa"/>
            </w:tcMar>
          </w:tcPr>
          <w:p>
            <w:r>
              <w:rPr>
                <w:rFonts w:ascii="Calibri" w:hAnsi="Calibri"/>
                <w:sz w:val="18"/>
              </w:rPr>
              <w:t>Offline, synchronisation, sécurité terminal et reprise.</w:t>
            </w:r>
          </w:p>
        </w:tc>
        <w:tc>
          <w:tcPr>
            <w:tcW w:type="dxa" w:w="3600"/>
            <w:tcMar>
              <w:top w:w="80" w:type="dxa"/>
              <w:start w:w="120" w:type="dxa"/>
              <w:bottom w:w="80" w:type="dxa"/>
              <w:end w:w="120" w:type="dxa"/>
            </w:tcMar>
          </w:tcPr>
          <w:p>
            <w:r>
              <w:rPr>
                <w:rFonts w:ascii="Calibri" w:hAnsi="Calibri"/>
                <w:sz w:val="18"/>
              </w:rPr>
              <w:t>Baseline historique.</w:t>
            </w:r>
          </w:p>
        </w:tc>
      </w:tr>
      <w:tr>
        <w:tc>
          <w:tcPr>
            <w:tcW w:type="dxa" w:w="1200"/>
            <w:tcMar>
              <w:top w:w="80" w:type="dxa"/>
              <w:start w:w="120" w:type="dxa"/>
              <w:bottom w:w="80" w:type="dxa"/>
              <w:end w:w="120" w:type="dxa"/>
            </w:tcMar>
          </w:tcPr>
          <w:p>
            <w:r>
              <w:rPr>
                <w:rFonts w:ascii="Calibri" w:hAnsi="Calibri"/>
                <w:sz w:val="18"/>
              </w:rPr>
              <w:t>v1.0</w:t>
            </w:r>
          </w:p>
        </w:tc>
        <w:tc>
          <w:tcPr>
            <w:tcW w:type="dxa" w:w="4560"/>
            <w:tcMar>
              <w:top w:w="80" w:type="dxa"/>
              <w:start w:w="120" w:type="dxa"/>
              <w:bottom w:w="80" w:type="dxa"/>
              <w:end w:w="120" w:type="dxa"/>
            </w:tcMar>
          </w:tcPr>
          <w:p>
            <w:r>
              <w:rPr>
                <w:rFonts w:ascii="Calibri" w:hAnsi="Calibri"/>
                <w:sz w:val="18"/>
              </w:rPr>
              <w:t>Conventions, tests, exploitation, roadmap et gates.</w:t>
            </w:r>
          </w:p>
        </w:tc>
        <w:tc>
          <w:tcPr>
            <w:tcW w:type="dxa" w:w="3600"/>
            <w:tcMar>
              <w:top w:w="80" w:type="dxa"/>
              <w:start w:w="120" w:type="dxa"/>
              <w:bottom w:w="80" w:type="dxa"/>
              <w:end w:w="120" w:type="dxa"/>
            </w:tcMar>
          </w:tcPr>
          <w:p>
            <w:r>
              <w:rPr>
                <w:rFonts w:ascii="Calibri" w:hAnsi="Calibri"/>
                <w:sz w:val="18"/>
              </w:rPr>
              <w:t>Baseline finale de conception; stack à décider avant Lot 0.</w:t>
            </w:r>
          </w:p>
        </w:tc>
      </w:tr>
    </w:tbl>
    <w:p>
      <w:pPr>
        <w:spacing w:after="0"/>
      </w:pPr>
    </w:p>
    <w:p>
      <w:pPr>
        <w:pStyle w:val="Heading2"/>
      </w:pPr>
      <w:r>
        <w:t>33.1 Règle d’entretien</w:t>
      </w:r>
    </w:p>
    <w:p>
      <w:pPr>
        <w:pStyle w:val="ListBullet"/>
        <w:spacing w:after="80"/>
      </w:pPr>
      <w:r>
        <w:rPr>
          <w:rFonts w:ascii="Calibri" w:hAnsi="Calibri"/>
        </w:rPr>
        <w:t>Toute modification d’un élément DÉCIDÉ crée ou met à jour une entrée ADR.</w:t>
      </w:r>
    </w:p>
    <w:p>
      <w:pPr>
        <w:pStyle w:val="ListBullet"/>
        <w:spacing w:after="80"/>
      </w:pPr>
      <w:r>
        <w:rPr>
          <w:rFonts w:ascii="Calibri" w:hAnsi="Calibri"/>
        </w:rPr>
        <w:t>Chaque section porte un statut explicite.</w:t>
      </w:r>
    </w:p>
    <w:p>
      <w:pPr>
        <w:pStyle w:val="ListBullet"/>
        <w:spacing w:after="80"/>
      </w:pPr>
      <w:r>
        <w:rPr>
          <w:rFonts w:ascii="Calibri" w:hAnsi="Calibri"/>
        </w:rPr>
        <w:t>Les noms de code restent en anglais; la prose et les explications restent en français.</w:t>
      </w:r>
    </w:p>
    <w:p>
      <w:pPr>
        <w:pStyle w:val="ListBullet"/>
        <w:spacing w:after="80"/>
      </w:pPr>
      <w:r>
        <w:rPr>
          <w:rFonts w:ascii="Calibri" w:hAnsi="Calibri"/>
        </w:rPr>
        <w:t>Les questions non tranchées restent visibles et ne sont pas transformées silencieusement en décisions.</w:t>
      </w:r>
    </w:p>
    <w:p>
      <w:pPr>
        <w:pStyle w:val="ListBullet"/>
        <w:spacing w:after="80"/>
      </w:pPr>
      <w:r>
        <w:rPr>
          <w:rFonts w:ascii="Calibri" w:hAnsi="Calibri"/>
        </w:rPr>
        <w:t>Le document est versionné avec le code ou dans un référentiel d’architecture contrôlé.</w:t>
      </w:r>
    </w:p>
    <w:p>
      <w:pPr>
        <w:pStyle w:val="Heading1"/>
      </w:pPr>
      <w:r>
        <w:t>Annexe A — Ubiquitous Language minimal</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start w:w="120" w:type="dxa"/>
              <w:bottom w:w="80" w:type="dxa"/>
              <w:end w:w="120" w:type="dxa"/>
            </w:tcMar>
            <w:shd w:fill="F2F4F7"/>
          </w:tcPr>
          <w:p>
            <w:r>
              <w:rPr>
                <w:rFonts w:ascii="Calibri" w:hAnsi="Calibri"/>
                <w:b/>
                <w:color w:val="1F4D78"/>
                <w:sz w:val="19"/>
              </w:rPr>
              <w:t>Terme</w:t>
            </w:r>
          </w:p>
        </w:tc>
        <w:tc>
          <w:tcPr>
            <w:tcW w:type="dxa" w:w="6860"/>
            <w:tcMar>
              <w:top w:w="80" w:type="dxa"/>
              <w:start w:w="120" w:type="dxa"/>
              <w:bottom w:w="80" w:type="dxa"/>
              <w:end w:w="120" w:type="dxa"/>
            </w:tcMar>
            <w:shd w:fill="F2F4F7"/>
          </w:tcPr>
          <w:p>
            <w:r>
              <w:rPr>
                <w:rFonts w:ascii="Calibri" w:hAnsi="Calibri"/>
                <w:b/>
                <w:color w:val="1F4D78"/>
                <w:sz w:val="19"/>
              </w:rPr>
              <w:t>Définition dans Zandu</w:t>
            </w:r>
          </w:p>
        </w:tc>
      </w:tr>
      <w:tr>
        <w:tc>
          <w:tcPr>
            <w:tcW w:type="dxa" w:w="2500"/>
            <w:tcMar>
              <w:top w:w="80" w:type="dxa"/>
              <w:start w:w="120" w:type="dxa"/>
              <w:bottom w:w="80" w:type="dxa"/>
              <w:end w:w="120" w:type="dxa"/>
            </w:tcMar>
          </w:tcPr>
          <w:p>
            <w:r>
              <w:rPr>
                <w:rFonts w:ascii="Calibri" w:hAnsi="Calibri"/>
                <w:sz w:val="18"/>
              </w:rPr>
              <w:t>`Sale`</w:t>
            </w:r>
          </w:p>
        </w:tc>
        <w:tc>
          <w:tcPr>
            <w:tcW w:type="dxa" w:w="6860"/>
            <w:tcMar>
              <w:top w:w="80" w:type="dxa"/>
              <w:start w:w="120" w:type="dxa"/>
              <w:bottom w:w="80" w:type="dxa"/>
              <w:end w:w="120" w:type="dxa"/>
            </w:tcMar>
          </w:tcPr>
          <w:p>
            <w:r>
              <w:rPr>
                <w:rFonts w:ascii="Calibri" w:hAnsi="Calibri"/>
                <w:sz w:val="18"/>
              </w:rPr>
              <w:t>Transaction commerciale avec le client.</w:t>
            </w:r>
          </w:p>
        </w:tc>
      </w:tr>
      <w:tr>
        <w:tc>
          <w:tcPr>
            <w:tcW w:type="dxa" w:w="2500"/>
            <w:tcMar>
              <w:top w:w="80" w:type="dxa"/>
              <w:start w:w="120" w:type="dxa"/>
              <w:bottom w:w="80" w:type="dxa"/>
              <w:end w:w="120" w:type="dxa"/>
            </w:tcMar>
          </w:tcPr>
          <w:p>
            <w:r>
              <w:rPr>
                <w:rFonts w:ascii="Calibri" w:hAnsi="Calibri"/>
                <w:sz w:val="18"/>
              </w:rPr>
              <w:t>`RefundSale`</w:t>
            </w:r>
          </w:p>
        </w:tc>
        <w:tc>
          <w:tcPr>
            <w:tcW w:type="dxa" w:w="6860"/>
            <w:tcMar>
              <w:top w:w="80" w:type="dxa"/>
              <w:start w:w="120" w:type="dxa"/>
              <w:bottom w:w="80" w:type="dxa"/>
              <w:end w:w="120" w:type="dxa"/>
            </w:tcMar>
          </w:tcPr>
          <w:p>
            <w:r>
              <w:rPr>
                <w:rFonts w:ascii="Calibri" w:hAnsi="Calibri"/>
                <w:sz w:val="18"/>
              </w:rPr>
              <w:t>Remboursement financier total ou partiel.</w:t>
            </w:r>
          </w:p>
        </w:tc>
      </w:tr>
      <w:tr>
        <w:tc>
          <w:tcPr>
            <w:tcW w:type="dxa" w:w="2500"/>
            <w:tcMar>
              <w:top w:w="80" w:type="dxa"/>
              <w:start w:w="120" w:type="dxa"/>
              <w:bottom w:w="80" w:type="dxa"/>
              <w:end w:w="120" w:type="dxa"/>
            </w:tcMar>
          </w:tcPr>
          <w:p>
            <w:r>
              <w:rPr>
                <w:rFonts w:ascii="Calibri" w:hAnsi="Calibri"/>
                <w:sz w:val="18"/>
              </w:rPr>
              <w:t>`ReturnSale`</w:t>
            </w:r>
          </w:p>
        </w:tc>
        <w:tc>
          <w:tcPr>
            <w:tcW w:type="dxa" w:w="6860"/>
            <w:tcMar>
              <w:top w:w="80" w:type="dxa"/>
              <w:start w:w="120" w:type="dxa"/>
              <w:bottom w:w="80" w:type="dxa"/>
              <w:end w:w="120" w:type="dxa"/>
            </w:tcMar>
          </w:tcPr>
          <w:p>
            <w:r>
              <w:rPr>
                <w:rFonts w:ascii="Calibri" w:hAnsi="Calibri"/>
                <w:sz w:val="18"/>
              </w:rPr>
              <w:t>Retour physique d’un ou plusieurs articles.</w:t>
            </w:r>
          </w:p>
        </w:tc>
      </w:tr>
      <w:tr>
        <w:tc>
          <w:tcPr>
            <w:tcW w:type="dxa" w:w="2500"/>
            <w:tcMar>
              <w:top w:w="80" w:type="dxa"/>
              <w:start w:w="120" w:type="dxa"/>
              <w:bottom w:w="80" w:type="dxa"/>
              <w:end w:w="120" w:type="dxa"/>
            </w:tcMar>
          </w:tcPr>
          <w:p>
            <w:r>
              <w:rPr>
                <w:rFonts w:ascii="Calibri" w:hAnsi="Calibri"/>
                <w:sz w:val="18"/>
              </w:rPr>
              <w:t>`CashRegister`</w:t>
            </w:r>
          </w:p>
        </w:tc>
        <w:tc>
          <w:tcPr>
            <w:tcW w:type="dxa" w:w="6860"/>
            <w:tcMar>
              <w:top w:w="80" w:type="dxa"/>
              <w:start w:w="120" w:type="dxa"/>
              <w:bottom w:w="80" w:type="dxa"/>
              <w:end w:w="120" w:type="dxa"/>
            </w:tcMar>
          </w:tcPr>
          <w:p>
            <w:r>
              <w:rPr>
                <w:rFonts w:ascii="Calibri" w:hAnsi="Calibri"/>
                <w:sz w:val="18"/>
              </w:rPr>
              <w:t>Caisse durable, physique ou logique.</w:t>
            </w:r>
          </w:p>
        </w:tc>
      </w:tr>
      <w:tr>
        <w:tc>
          <w:tcPr>
            <w:tcW w:type="dxa" w:w="2500"/>
            <w:tcMar>
              <w:top w:w="80" w:type="dxa"/>
              <w:start w:w="120" w:type="dxa"/>
              <w:bottom w:w="80" w:type="dxa"/>
              <w:end w:w="120" w:type="dxa"/>
            </w:tcMar>
          </w:tcPr>
          <w:p>
            <w:r>
              <w:rPr>
                <w:rFonts w:ascii="Calibri" w:hAnsi="Calibri"/>
                <w:sz w:val="18"/>
              </w:rPr>
              <w:t>`CashSession`</w:t>
            </w:r>
          </w:p>
        </w:tc>
        <w:tc>
          <w:tcPr>
            <w:tcW w:type="dxa" w:w="6860"/>
            <w:tcMar>
              <w:top w:w="80" w:type="dxa"/>
              <w:start w:w="120" w:type="dxa"/>
              <w:bottom w:w="80" w:type="dxa"/>
              <w:end w:w="120" w:type="dxa"/>
            </w:tcMar>
          </w:tcPr>
          <w:p>
            <w:r>
              <w:rPr>
                <w:rFonts w:ascii="Calibri" w:hAnsi="Calibri"/>
                <w:sz w:val="18"/>
              </w:rPr>
              <w:t>Période de responsabilité d’un caissier sur un register.</w:t>
            </w:r>
          </w:p>
        </w:tc>
      </w:tr>
      <w:tr>
        <w:tc>
          <w:tcPr>
            <w:tcW w:type="dxa" w:w="2500"/>
            <w:tcMar>
              <w:top w:w="80" w:type="dxa"/>
              <w:start w:w="120" w:type="dxa"/>
              <w:bottom w:w="80" w:type="dxa"/>
              <w:end w:w="120" w:type="dxa"/>
            </w:tcMar>
          </w:tcPr>
          <w:p>
            <w:r>
              <w:rPr>
                <w:rFonts w:ascii="Calibri" w:hAnsi="Calibri"/>
                <w:sz w:val="18"/>
              </w:rPr>
              <w:t>`CashMovement`</w:t>
            </w:r>
          </w:p>
        </w:tc>
        <w:tc>
          <w:tcPr>
            <w:tcW w:type="dxa" w:w="6860"/>
            <w:tcMar>
              <w:top w:w="80" w:type="dxa"/>
              <w:start w:w="120" w:type="dxa"/>
              <w:bottom w:w="80" w:type="dxa"/>
              <w:end w:w="120" w:type="dxa"/>
            </w:tcMar>
          </w:tcPr>
          <w:p>
            <w:r>
              <w:rPr>
                <w:rFonts w:ascii="Calibri" w:hAnsi="Calibri"/>
                <w:sz w:val="18"/>
              </w:rPr>
              <w:t>Entrée ou sortie d’espèces immuable.</w:t>
            </w:r>
          </w:p>
        </w:tc>
      </w:tr>
      <w:tr>
        <w:tc>
          <w:tcPr>
            <w:tcW w:type="dxa" w:w="2500"/>
            <w:tcMar>
              <w:top w:w="80" w:type="dxa"/>
              <w:start w:w="120" w:type="dxa"/>
              <w:bottom w:w="80" w:type="dxa"/>
              <w:end w:w="120" w:type="dxa"/>
            </w:tcMar>
          </w:tcPr>
          <w:p>
            <w:r>
              <w:rPr>
                <w:rFonts w:ascii="Calibri" w:hAnsi="Calibri"/>
                <w:sz w:val="18"/>
              </w:rPr>
              <w:t>`Stock`</w:t>
            </w:r>
          </w:p>
        </w:tc>
        <w:tc>
          <w:tcPr>
            <w:tcW w:type="dxa" w:w="6860"/>
            <w:tcMar>
              <w:top w:w="80" w:type="dxa"/>
              <w:start w:w="120" w:type="dxa"/>
              <w:bottom w:w="80" w:type="dxa"/>
              <w:end w:w="120" w:type="dxa"/>
            </w:tcMar>
          </w:tcPr>
          <w:p>
            <w:r>
              <w:rPr>
                <w:rFonts w:ascii="Calibri" w:hAnsi="Calibri"/>
                <w:sz w:val="18"/>
              </w:rPr>
              <w:t>Quantité courante d’un produit dans un store.</w:t>
            </w:r>
          </w:p>
        </w:tc>
      </w:tr>
      <w:tr>
        <w:tc>
          <w:tcPr>
            <w:tcW w:type="dxa" w:w="2500"/>
            <w:tcMar>
              <w:top w:w="80" w:type="dxa"/>
              <w:start w:w="120" w:type="dxa"/>
              <w:bottom w:w="80" w:type="dxa"/>
              <w:end w:w="120" w:type="dxa"/>
            </w:tcMar>
          </w:tcPr>
          <w:p>
            <w:r>
              <w:rPr>
                <w:rFonts w:ascii="Calibri" w:hAnsi="Calibri"/>
                <w:sz w:val="18"/>
              </w:rPr>
              <w:t>`StockMovement`</w:t>
            </w:r>
          </w:p>
        </w:tc>
        <w:tc>
          <w:tcPr>
            <w:tcW w:type="dxa" w:w="6860"/>
            <w:tcMar>
              <w:top w:w="80" w:type="dxa"/>
              <w:start w:w="120" w:type="dxa"/>
              <w:bottom w:w="80" w:type="dxa"/>
              <w:end w:w="120" w:type="dxa"/>
            </w:tcMar>
          </w:tcPr>
          <w:p>
            <w:r>
              <w:rPr>
                <w:rFonts w:ascii="Calibri" w:hAnsi="Calibri"/>
                <w:sz w:val="18"/>
              </w:rPr>
              <w:t>Trace immuable expliquant une variation de stock.</w:t>
            </w:r>
          </w:p>
        </w:tc>
      </w:tr>
      <w:tr>
        <w:tc>
          <w:tcPr>
            <w:tcW w:type="dxa" w:w="2500"/>
            <w:tcMar>
              <w:top w:w="80" w:type="dxa"/>
              <w:start w:w="120" w:type="dxa"/>
              <w:bottom w:w="80" w:type="dxa"/>
              <w:end w:w="120" w:type="dxa"/>
            </w:tcMar>
          </w:tcPr>
          <w:p>
            <w:r>
              <w:rPr>
                <w:rFonts w:ascii="Calibri" w:hAnsi="Calibri"/>
                <w:sz w:val="18"/>
              </w:rPr>
              <w:t>`StockCount`</w:t>
            </w:r>
          </w:p>
        </w:tc>
        <w:tc>
          <w:tcPr>
            <w:tcW w:type="dxa" w:w="6860"/>
            <w:tcMar>
              <w:top w:w="80" w:type="dxa"/>
              <w:start w:w="120" w:type="dxa"/>
              <w:bottom w:w="80" w:type="dxa"/>
              <w:end w:w="120" w:type="dxa"/>
            </w:tcMar>
          </w:tcPr>
          <w:p>
            <w:r>
              <w:rPr>
                <w:rFonts w:ascii="Calibri" w:hAnsi="Calibri"/>
                <w:sz w:val="18"/>
              </w:rPr>
              <w:t>Processus de comptage physique et de réconciliation.</w:t>
            </w:r>
          </w:p>
        </w:tc>
      </w:tr>
      <w:tr>
        <w:tc>
          <w:tcPr>
            <w:tcW w:type="dxa" w:w="2500"/>
            <w:tcMar>
              <w:top w:w="80" w:type="dxa"/>
              <w:start w:w="120" w:type="dxa"/>
              <w:bottom w:w="80" w:type="dxa"/>
              <w:end w:w="120" w:type="dxa"/>
            </w:tcMar>
          </w:tcPr>
          <w:p>
            <w:r>
              <w:rPr>
                <w:rFonts w:ascii="Calibri" w:hAnsi="Calibri"/>
                <w:sz w:val="18"/>
              </w:rPr>
              <w:t>`StockTransfer`</w:t>
            </w:r>
          </w:p>
        </w:tc>
        <w:tc>
          <w:tcPr>
            <w:tcW w:type="dxa" w:w="6860"/>
            <w:tcMar>
              <w:top w:w="80" w:type="dxa"/>
              <w:start w:w="120" w:type="dxa"/>
              <w:bottom w:w="80" w:type="dxa"/>
              <w:end w:w="120" w:type="dxa"/>
            </w:tcMar>
          </w:tcPr>
          <w:p>
            <w:r>
              <w:rPr>
                <w:rFonts w:ascii="Calibri" w:hAnsi="Calibri"/>
                <w:sz w:val="18"/>
              </w:rPr>
              <w:t>Flux de marchandises entre deux stores avec transit.</w:t>
            </w:r>
          </w:p>
        </w:tc>
      </w:tr>
      <w:tr>
        <w:tc>
          <w:tcPr>
            <w:tcW w:type="dxa" w:w="2500"/>
            <w:tcMar>
              <w:top w:w="80" w:type="dxa"/>
              <w:start w:w="120" w:type="dxa"/>
              <w:bottom w:w="80" w:type="dxa"/>
              <w:end w:w="120" w:type="dxa"/>
            </w:tcMar>
          </w:tcPr>
          <w:p>
            <w:r>
              <w:rPr>
                <w:rFonts w:ascii="Calibri" w:hAnsi="Calibri"/>
                <w:sz w:val="18"/>
              </w:rPr>
              <w:t>`OutboxMessage`</w:t>
            </w:r>
          </w:p>
        </w:tc>
        <w:tc>
          <w:tcPr>
            <w:tcW w:type="dxa" w:w="6860"/>
            <w:tcMar>
              <w:top w:w="80" w:type="dxa"/>
              <w:start w:w="120" w:type="dxa"/>
              <w:bottom w:w="80" w:type="dxa"/>
              <w:end w:w="120" w:type="dxa"/>
            </w:tcMar>
          </w:tcPr>
          <w:p>
            <w:r>
              <w:rPr>
                <w:rFonts w:ascii="Calibri" w:hAnsi="Calibri"/>
                <w:sz w:val="18"/>
              </w:rPr>
              <w:t>Message persisté dans la transaction métier puis publié de manière fiable.</w:t>
            </w:r>
          </w:p>
        </w:tc>
      </w:tr>
    </w:tbl>
    <w:p>
      <w:pPr>
        <w:spacing w:after="0"/>
      </w:pPr>
    </w:p>
    <w:p>
      <w:r>
        <w:br w:type="page"/>
      </w:r>
    </w:p>
    <w:p>
      <w:pPr>
        <w:pStyle w:val="Heading1"/>
      </w:pPr>
      <w:r>
        <w:t>34. Architecture technique consolidée — v1.1</w:t>
      </w:r>
    </w:p>
    <w:p>
      <w:r>
        <w:rPr>
          <w:b/>
        </w:rPr>
        <w:t>DÉCIDÉ</w:t>
      </w:r>
    </w:p>
    <w:p>
      <w:r>
        <w:t>Cette section consolide les décisions techniques prises après la baseline v1.0. Elle ne remplace pas les décisions DDD existantes : elle précise leur implémentation technique. Les raisons, compromis et alternatives sont documentés dans les ADR techniques 0001 à 0013.</w:t>
      </w:r>
    </w:p>
    <w:p>
      <w:pPr>
        <w:pStyle w:val="Heading2"/>
      </w:pPr>
      <w:r>
        <w:t>34.1 Structure du code backend</w:t>
      </w:r>
    </w:p>
    <w:p>
      <w:pPr/>
      <w:r>
        <w:rPr>
          <w:b/>
        </w:rPr>
        <w:t>DÉCIDÉ</w:t>
      </w:r>
    </w:p>
    <w:p>
      <w:r>
        <w:t>Le backend utilise PHP et Symfony dans un modular monolith. Le répertoire src/ contient Modules/, SharedKernel/ et Platform/. Chaque bounded context conserve ses couches Domain, Application, Infrastructure et Presentation. Les échanges synchrones cross-context passent par des Application Contracts explicites.</w:t>
      </w:r>
    </w:p>
    <w:p>
      <w:pPr>
        <w:pStyle w:val="Heading2"/>
      </w:pPr>
      <w:r>
        <w:t>34.2 API et authentication</w:t>
      </w:r>
    </w:p>
    <w:p>
      <w:pPr/>
      <w:r>
        <w:rPr>
          <w:b/>
        </w:rPr>
        <w:t>DÉCIDÉ</w:t>
      </w:r>
    </w:p>
    <w:p>
      <w:r>
        <w:t>L’API principale utilise REST, API Platform et OpenAPI. Les opérations métier significatives restent intentionnelles et ne sont pas réduites à du CRUD générique. Pour le MVP, l’authentication utilise Symfony Security, LexikJWTAuthenticationBundle, des access tokens courts et des refresh tokens stateful, révocables et rotés. L’authorization métier reste dans Zandu.</w:t>
      </w:r>
    </w:p>
    <w:p>
      <w:pPr>
        <w:pStyle w:val="Heading2"/>
      </w:pPr>
      <w:r>
        <w:t>34.3 Base de données et persistence</w:t>
      </w:r>
    </w:p>
    <w:p>
      <w:pPr/>
      <w:r>
        <w:rPr>
          <w:b/>
        </w:rPr>
        <w:t>DÉCIDÉ</w:t>
      </w:r>
    </w:p>
    <w:p>
      <w:r>
        <w:t>PostgreSQL constitue la source de vérité transactionnelle centrale. La persistence suit la règle « ORM first, not ORM only » : Doctrine ORM pour la persistence courante des aggregates, Doctrine DBAL ou SQL explicite pour les chemins spécialisés, et Doctrine Migrations pour les évolutions de schéma. Les migrations suivent expand-and-contract.</w:t>
      </w:r>
    </w:p>
    <w:p>
      <w:pPr>
        <w:pStyle w:val="Heading2"/>
      </w:pPr>
      <w:r>
        <w:t>34.4 Identifiants</w:t>
      </w:r>
    </w:p>
    <w:p>
      <w:pPr/>
      <w:r>
        <w:rPr>
          <w:b/>
        </w:rPr>
        <w:t>DÉCIDÉ</w:t>
      </w:r>
    </w:p>
    <w:p>
      <w:r>
        <w:t>Le format standard des identifiants internes est UUID v7. La génération est principalement applicative et PostgreSQL utilise le type uuid natif. SharedKernel expose les abstractions Uuid, UuidFactory et IdGenerator ; Symfony UID est une implémentation située dans Platform. Les identifiants métier restent typés, par exemple ProductId, SaleId et OrganizationId.</w:t>
      </w:r>
    </w:p>
    <w:p>
      <w:pPr>
        <w:pStyle w:val="Heading2"/>
      </w:pPr>
      <w:r>
        <w:t>34.5 Money, Quantity et décimaux exacts</w:t>
      </w:r>
    </w:p>
    <w:p>
      <w:pPr/>
      <w:r>
        <w:rPr>
          <w:b/>
        </w:rPr>
        <w:t>DÉCIDÉ sur le principe</w:t>
      </w:r>
    </w:p>
    <w:p>
      <w:r>
        <w:t>Money, Quantity, TaxRate, ConversionFactor et InventoryCost n’utilisent jamais float. SharedKernel expose une abstraction Decimal ; l’implémentation MVP utilise brick/math. Les décimaux métier transitent dans les contrats JSON sous forme de chaînes. Toute perte de précision exige une politique d’arrondi explicite.</w:t>
      </w:r>
    </w:p>
    <w:p>
      <w:r>
        <w:rPr>
          <w:b/>
        </w:rPr>
        <w:t xml:space="preserve">QUESTION OUVERTE — </w:t>
      </w:r>
      <w:r>
        <w:t>le NUMERIC(p,s) final, la scale technique commune de Quantity, la précision intermédiaire du costing et les règles fiscales d’arrondi restent à valider par Spike C.</w:t>
      </w:r>
    </w:p>
    <w:p>
      <w:pPr>
        <w:pStyle w:val="Heading2"/>
      </w:pPr>
      <w:r>
        <w:t>34.6 Frontend Web et POS</w:t>
      </w:r>
    </w:p>
    <w:p>
      <w:pPr/>
      <w:r>
        <w:rPr>
          <w:b/>
        </w:rPr>
        <w:t>DÉCIDÉ</w:t>
      </w:r>
    </w:p>
    <w:p>
      <w:r>
        <w:t>Le back-office utilise TypeScript, React et Next.js. Le POS utilise TypeScript, React, Vite et Tauri, avec Windows 10/11 x64 comme cible MVP. Symfony reste l’autorité métier ; ni Next.js ni Tauri ne constituent un second backend métier.</w:t>
      </w:r>
    </w:p>
    <w:p>
      <w:pPr>
        <w:pStyle w:val="Heading2"/>
      </w:pPr>
      <w:r>
        <w:t>34.7 Stockage local et offline</w:t>
      </w:r>
    </w:p>
    <w:p>
      <w:pPr/>
      <w:r>
        <w:rPr>
          <w:b/>
        </w:rPr>
        <w:t>DÉCIDÉ</w:t>
      </w:r>
    </w:p>
    <w:p>
      <w:r>
        <w:t>SQLite constitue le stockage opérationnel local du POS. SQLite n’est pas une réplique de PostgreSQL. Le serveur reste autoritatif ; le POS conserve des projections locales, OfflineCommand, LocalOperationLedger, SyncState et des estimations opérationnelles. La synchronisation est applicative, idempotente et reprend les règles offline déjà définies par la baseline.</w:t>
      </w:r>
    </w:p>
    <w:p>
      <w:r>
        <w:rPr>
          <w:b/>
        </w:rPr>
        <w:t xml:space="preserve">QUESTIONS OUVERTES — </w:t>
      </w:r>
      <w:r>
        <w:t>chiffrement SQLite, stockage et rotation des clés, durée offline, allowances, survente offline, rétention locale et autres politiques déjà inscrites au registre.</w:t>
      </w:r>
    </w:p>
    <w:p>
      <w:pPr>
        <w:pStyle w:val="Heading2"/>
      </w:pPr>
      <w:r>
        <w:t>34.8 Déploiement et observabilité</w:t>
      </w:r>
    </w:p>
    <w:p>
      <w:pPr/>
      <w:r>
        <w:rPr>
          <w:b/>
        </w:rPr>
        <w:t>DÉCIDÉ</w:t>
      </w:r>
    </w:p>
    <w:p>
      <w:r>
        <w:t>Le backend est packagé sous forme d’image Docker immuable. Un même artifact peut exécuter les rôles API, Worker, Scheduled Job et Migration. OpenTelemetry constitue le standard d’instrumentation pour logs structurés, métriques et traces.</w:t>
      </w:r>
    </w:p>
    <w:p>
      <w:r>
        <w:rPr>
          <w:b/>
        </w:rPr>
        <w:t xml:space="preserve">PROPOSÉ — </w:t>
      </w:r>
      <w:r>
        <w:t>Render, région candidate Frankfurt, comme plateforme de déploiement initiale, sous réserve d’un test de latence représentatif. Grafana Cloud via OTLP comme backend d’observabilité initial, sous validation du Spike G.</w:t>
      </w:r>
    </w:p>
    <w:p>
      <w:pPr>
        <w:pStyle w:val="Heading2"/>
      </w:pPr>
      <w:r>
        <w:t>34.9 ADR techniques</w:t>
      </w:r>
    </w:p>
    <w:p>
      <w:r>
        <w:t>Les décisions techniques sont détaillées dans docs/architecture/adr/. Les ADR techniques 0001 à 0013 couvrent respectivement le modular monolith, Symfony, PostgreSQL, Doctrine, API Platform, JWT, UUID v7, décimaux exacts, frontend Web, runtime POS, SQLite, Docker et OpenTelemetry.</w:t>
      </w:r>
    </w:p>
    <w:p>
      <w:pPr>
        <w:pStyle w:val="Heading2"/>
      </w:pPr>
      <w:r>
        <w:t>34.10 Spikes et séquencement du Lot 0</w:t>
      </w:r>
    </w:p>
    <w:p>
      <w:pPr/>
      <w:r>
        <w:rPr>
          <w:b/>
        </w:rPr>
        <w:t>DÉCIDÉ</w:t>
      </w:r>
    </w:p>
    <w:p>
      <w:r>
        <w:t>Le Lot 0 construit le socle technique nécessaire à l’exécution des spikes. Un spike doit être réussi avant le lot métier qu’il conditionne. Chaque spike significatif produit du code expérimental reproductible, des tests, des résultats, une conclusion et, si nécessaire, une mise à jour d’ADR ou la résolution d’une QUESTION OUVERTE.</w:t>
      </w:r>
    </w:p>
    <w:p>
      <w:pPr>
        <w:pStyle w:val="ListBullet"/>
      </w:pPr>
      <w:r>
        <w:t>Spike A — transaction CompleteSale complète et rollback injecté.</w:t>
      </w:r>
    </w:p>
    <w:p>
      <w:pPr>
        <w:pStyle w:val="ListBullet"/>
      </w:pPr>
      <w:r>
        <w:t>Spike B — outbox, redelivery, multi-worker safety et idempotence consommateur.</w:t>
      </w:r>
    </w:p>
    <w:p>
      <w:pPr>
        <w:pStyle w:val="ListBullet"/>
      </w:pPr>
      <w:r>
        <w:t>Spike C — Decimal, Money, Quantity, conversions, taxes, remises et résidus.</w:t>
      </w:r>
    </w:p>
    <w:p>
      <w:pPr>
        <w:pStyle w:val="ListBullet"/>
      </w:pPr>
      <w:r>
        <w:t>Spike E — concurrence Stock : optimistic locking versus conditional update.</w:t>
      </w:r>
    </w:p>
    <w:p>
      <w:pPr>
        <w:pStyle w:val="ListBullet"/>
      </w:pPr>
      <w:r>
        <w:t>Spike G — Docker, staging, migrations, workers, health checks, OpenTelemetry et restauration de backup.</w:t>
      </w:r>
    </w:p>
    <w:p>
      <w:pPr>
        <w:pStyle w:val="Heading2"/>
      </w:pPr>
      <w:r>
        <w:t>34.11 Registre de décision v1.1</w:t>
      </w:r>
    </w:p>
    <w:tbl>
      <w:tblPr>
        <w:tblStyle w:val="TableGrid"/>
        <w:tblW w:type="auto" w:w="0"/>
        <w:tblLook w:firstColumn="1" w:firstRow="1" w:lastColumn="0" w:lastRow="0" w:noHBand="0" w:noVBand="1" w:val="04A0"/>
      </w:tblPr>
      <w:tblGrid>
        <w:gridCol w:w="3120"/>
        <w:gridCol w:w="3120"/>
        <w:gridCol w:w="3120"/>
      </w:tblGrid>
      <w:tr>
        <w:tc>
          <w:tcPr>
            <w:tcW w:type="dxa" w:w="3120"/>
          </w:tcPr>
          <w:p>
            <w:r>
              <w:t>Sujet</w:t>
            </w:r>
          </w:p>
        </w:tc>
        <w:tc>
          <w:tcPr>
            <w:tcW w:type="dxa" w:w="3120"/>
          </w:tcPr>
          <w:p>
            <w:r>
              <w:t>Statut v1.1</w:t>
            </w:r>
          </w:p>
        </w:tc>
        <w:tc>
          <w:tcPr>
            <w:tcW w:type="dxa" w:w="3120"/>
          </w:tcPr>
          <w:p>
            <w:r>
              <w:t>Décision / suite</w:t>
            </w:r>
          </w:p>
        </w:tc>
      </w:tr>
      <w:tr>
        <w:tc>
          <w:tcPr>
            <w:tcW w:type="dxa" w:w="3120"/>
          </w:tcPr>
          <w:p>
            <w:r>
              <w:t>Backend</w:t>
            </w:r>
          </w:p>
        </w:tc>
        <w:tc>
          <w:tcPr>
            <w:tcW w:type="dxa" w:w="3120"/>
          </w:tcPr>
          <w:p>
            <w:r>
              <w:t>DÉCIDÉ</w:t>
            </w:r>
          </w:p>
        </w:tc>
        <w:tc>
          <w:tcPr>
            <w:tcW w:type="dxa" w:w="3120"/>
          </w:tcPr>
          <w:p>
            <w:r>
              <w:t>PHP + Symfony</w:t>
            </w:r>
          </w:p>
        </w:tc>
      </w:tr>
      <w:tr>
        <w:tc>
          <w:tcPr>
            <w:tcW w:type="dxa" w:w="3120"/>
          </w:tcPr>
          <w:p>
            <w:r>
              <w:t>Database</w:t>
            </w:r>
          </w:p>
        </w:tc>
        <w:tc>
          <w:tcPr>
            <w:tcW w:type="dxa" w:w="3120"/>
          </w:tcPr>
          <w:p>
            <w:r>
              <w:t>DÉCIDÉ</w:t>
            </w:r>
          </w:p>
        </w:tc>
        <w:tc>
          <w:tcPr>
            <w:tcW w:type="dxa" w:w="3120"/>
          </w:tcPr>
          <w:p>
            <w:r>
              <w:t>PostgreSQL</w:t>
            </w:r>
          </w:p>
        </w:tc>
      </w:tr>
      <w:tr>
        <w:tc>
          <w:tcPr>
            <w:tcW w:type="dxa" w:w="3120"/>
          </w:tcPr>
          <w:p>
            <w:r>
              <w:t>Persistence</w:t>
            </w:r>
          </w:p>
        </w:tc>
        <w:tc>
          <w:tcPr>
            <w:tcW w:type="dxa" w:w="3120"/>
          </w:tcPr>
          <w:p>
            <w:r>
              <w:t>DÉCIDÉ</w:t>
            </w:r>
          </w:p>
        </w:tc>
        <w:tc>
          <w:tcPr>
            <w:tcW w:type="dxa" w:w="3120"/>
          </w:tcPr>
          <w:p>
            <w:r>
              <w:t>Doctrine ORM + DBAL + Doctrine Migrations</w:t>
            </w:r>
          </w:p>
        </w:tc>
      </w:tr>
      <w:tr>
        <w:tc>
          <w:tcPr>
            <w:tcW w:type="dxa" w:w="3120"/>
          </w:tcPr>
          <w:p>
            <w:r>
              <w:t>API</w:t>
            </w:r>
          </w:p>
        </w:tc>
        <w:tc>
          <w:tcPr>
            <w:tcW w:type="dxa" w:w="3120"/>
          </w:tcPr>
          <w:p>
            <w:r>
              <w:t>DÉCIDÉ</w:t>
            </w:r>
          </w:p>
        </w:tc>
        <w:tc>
          <w:tcPr>
            <w:tcW w:type="dxa" w:w="3120"/>
          </w:tcPr>
          <w:p>
            <w:r>
              <w:t>REST + API Platform + OpenAPI</w:t>
            </w:r>
          </w:p>
        </w:tc>
      </w:tr>
      <w:tr>
        <w:tc>
          <w:tcPr>
            <w:tcW w:type="dxa" w:w="3120"/>
          </w:tcPr>
          <w:p>
            <w:r>
              <w:t>Authentication MVP</w:t>
            </w:r>
          </w:p>
        </w:tc>
        <w:tc>
          <w:tcPr>
            <w:tcW w:type="dxa" w:w="3120"/>
          </w:tcPr>
          <w:p>
            <w:r>
              <w:t>DÉCIDÉ</w:t>
            </w:r>
          </w:p>
        </w:tc>
        <w:tc>
          <w:tcPr>
            <w:tcW w:type="dxa" w:w="3120"/>
          </w:tcPr>
          <w:p>
            <w:r>
              <w:t>Symfony Security + JWT + refresh rotation</w:t>
            </w:r>
          </w:p>
        </w:tc>
      </w:tr>
      <w:tr>
        <w:tc>
          <w:tcPr>
            <w:tcW w:type="dxa" w:w="3120"/>
          </w:tcPr>
          <w:p>
            <w:r>
              <w:t>Identifiers</w:t>
            </w:r>
          </w:p>
        </w:tc>
        <w:tc>
          <w:tcPr>
            <w:tcW w:type="dxa" w:w="3120"/>
          </w:tcPr>
          <w:p>
            <w:r>
              <w:t>DÉCIDÉ</w:t>
            </w:r>
          </w:p>
        </w:tc>
        <w:tc>
          <w:tcPr>
            <w:tcW w:type="dxa" w:w="3120"/>
          </w:tcPr>
          <w:p>
            <w:r>
              <w:t>UUID v7 + abstraction Zandu</w:t>
            </w:r>
          </w:p>
        </w:tc>
      </w:tr>
      <w:tr>
        <w:tc>
          <w:tcPr>
            <w:tcW w:type="dxa" w:w="3120"/>
          </w:tcPr>
          <w:p>
            <w:r>
              <w:t>Exact decimals</w:t>
            </w:r>
          </w:p>
        </w:tc>
        <w:tc>
          <w:tcPr>
            <w:tcW w:type="dxa" w:w="3120"/>
          </w:tcPr>
          <w:p>
            <w:r>
              <w:t>DÉCIDÉ</w:t>
            </w:r>
          </w:p>
        </w:tc>
        <w:tc>
          <w:tcPr>
            <w:tcW w:type="dxa" w:w="3120"/>
          </w:tcPr>
          <w:p>
            <w:r>
              <w:t>Decimal abstraction + brick/math</w:t>
            </w:r>
          </w:p>
        </w:tc>
      </w:tr>
      <w:tr>
        <w:tc>
          <w:tcPr>
            <w:tcW w:type="dxa" w:w="3120"/>
          </w:tcPr>
          <w:p>
            <w:r>
              <w:t>Web</w:t>
            </w:r>
          </w:p>
        </w:tc>
        <w:tc>
          <w:tcPr>
            <w:tcW w:type="dxa" w:w="3120"/>
          </w:tcPr>
          <w:p>
            <w:r>
              <w:t>DÉCIDÉ</w:t>
            </w:r>
          </w:p>
        </w:tc>
        <w:tc>
          <w:tcPr>
            <w:tcW w:type="dxa" w:w="3120"/>
          </w:tcPr>
          <w:p>
            <w:r>
              <w:t>Next.js + React + TypeScript</w:t>
            </w:r>
          </w:p>
        </w:tc>
      </w:tr>
      <w:tr>
        <w:tc>
          <w:tcPr>
            <w:tcW w:type="dxa" w:w="3120"/>
          </w:tcPr>
          <w:p>
            <w:r>
              <w:t>POS</w:t>
            </w:r>
          </w:p>
        </w:tc>
        <w:tc>
          <w:tcPr>
            <w:tcW w:type="dxa" w:w="3120"/>
          </w:tcPr>
          <w:p>
            <w:r>
              <w:t>DÉCIDÉ</w:t>
            </w:r>
          </w:p>
        </w:tc>
        <w:tc>
          <w:tcPr>
            <w:tcW w:type="dxa" w:w="3120"/>
          </w:tcPr>
          <w:p>
            <w:r>
              <w:t>React + Vite + Tauri ; Windows 10/11 x64</w:t>
            </w:r>
          </w:p>
        </w:tc>
      </w:tr>
      <w:tr>
        <w:tc>
          <w:tcPr>
            <w:tcW w:type="dxa" w:w="3120"/>
          </w:tcPr>
          <w:p>
            <w:r>
              <w:t>POS local storage</w:t>
            </w:r>
          </w:p>
        </w:tc>
        <w:tc>
          <w:tcPr>
            <w:tcW w:type="dxa" w:w="3120"/>
          </w:tcPr>
          <w:p>
            <w:r>
              <w:t>DÉCIDÉ</w:t>
            </w:r>
          </w:p>
        </w:tc>
        <w:tc>
          <w:tcPr>
            <w:tcW w:type="dxa" w:w="3120"/>
          </w:tcPr>
          <w:p>
            <w:r>
              <w:t>SQLite</w:t>
            </w:r>
          </w:p>
        </w:tc>
      </w:tr>
      <w:tr>
        <w:tc>
          <w:tcPr>
            <w:tcW w:type="dxa" w:w="3120"/>
          </w:tcPr>
          <w:p>
            <w:r>
              <w:t>Deployment artifact</w:t>
            </w:r>
          </w:p>
        </w:tc>
        <w:tc>
          <w:tcPr>
            <w:tcW w:type="dxa" w:w="3120"/>
          </w:tcPr>
          <w:p>
            <w:r>
              <w:t>DÉCIDÉ</w:t>
            </w:r>
          </w:p>
        </w:tc>
        <w:tc>
          <w:tcPr>
            <w:tcW w:type="dxa" w:w="3120"/>
          </w:tcPr>
          <w:p>
            <w:r>
              <w:t>Docker</w:t>
            </w:r>
          </w:p>
        </w:tc>
      </w:tr>
      <w:tr>
        <w:tc>
          <w:tcPr>
            <w:tcW w:type="dxa" w:w="3120"/>
          </w:tcPr>
          <w:p>
            <w:r>
              <w:t>Deployment platform</w:t>
            </w:r>
          </w:p>
        </w:tc>
        <w:tc>
          <w:tcPr>
            <w:tcW w:type="dxa" w:w="3120"/>
          </w:tcPr>
          <w:p>
            <w:r>
              <w:t>PROPOSÉ</w:t>
            </w:r>
          </w:p>
        </w:tc>
        <w:tc>
          <w:tcPr>
            <w:tcW w:type="dxa" w:w="3120"/>
          </w:tcPr>
          <w:p>
            <w:r>
              <w:t>Render / Frankfurt ; test de latence requis</w:t>
            </w:r>
          </w:p>
        </w:tc>
      </w:tr>
      <w:tr>
        <w:tc>
          <w:tcPr>
            <w:tcW w:type="dxa" w:w="3120"/>
          </w:tcPr>
          <w:p>
            <w:r>
              <w:t>Observability standard</w:t>
            </w:r>
          </w:p>
        </w:tc>
        <w:tc>
          <w:tcPr>
            <w:tcW w:type="dxa" w:w="3120"/>
          </w:tcPr>
          <w:p>
            <w:r>
              <w:t>DÉCIDÉ</w:t>
            </w:r>
          </w:p>
        </w:tc>
        <w:tc>
          <w:tcPr>
            <w:tcW w:type="dxa" w:w="3120"/>
          </w:tcPr>
          <w:p>
            <w:r>
              <w:t>OpenTelemetry</w:t>
            </w:r>
          </w:p>
        </w:tc>
      </w:tr>
      <w:tr>
        <w:tc>
          <w:tcPr>
            <w:tcW w:type="dxa" w:w="3120"/>
          </w:tcPr>
          <w:p>
            <w:r>
              <w:t>Observability backend</w:t>
            </w:r>
          </w:p>
        </w:tc>
        <w:tc>
          <w:tcPr>
            <w:tcW w:type="dxa" w:w="3120"/>
          </w:tcPr>
          <w:p>
            <w:r>
              <w:t>PROPOSÉ</w:t>
            </w:r>
          </w:p>
        </w:tc>
        <w:tc>
          <w:tcPr>
            <w:tcW w:type="dxa" w:w="3120"/>
          </w:tcPr>
          <w:p>
            <w:r>
              <w:t>Grafana Cloud via OTLP</w:t>
            </w:r>
          </w:p>
        </w:tc>
      </w:tr>
      <w:tr>
        <w:tc>
          <w:tcPr>
            <w:tcW w:type="dxa" w:w="3120"/>
          </w:tcPr>
          <w:p>
            <w:r>
              <w:t>Money / Quantity precision</w:t>
            </w:r>
          </w:p>
        </w:tc>
        <w:tc>
          <w:tcPr>
            <w:tcW w:type="dxa" w:w="3120"/>
          </w:tcPr>
          <w:p>
            <w:r>
              <w:t>QUESTION OUVERTE</w:t>
            </w:r>
          </w:p>
        </w:tc>
        <w:tc>
          <w:tcPr>
            <w:tcW w:type="dxa" w:w="3120"/>
          </w:tcPr>
          <w:p>
            <w:r>
              <w:t>Spike C</w:t>
            </w:r>
          </w:p>
        </w:tc>
      </w:tr>
      <w:tr>
        <w:tc>
          <w:tcPr>
            <w:tcW w:type="dxa" w:w="3120"/>
          </w:tcPr>
          <w:p>
            <w:r>
              <w:t>POS encryption / key rotation</w:t>
            </w:r>
          </w:p>
        </w:tc>
        <w:tc>
          <w:tcPr>
            <w:tcW w:type="dxa" w:w="3120"/>
          </w:tcPr>
          <w:p>
            <w:r>
              <w:t>QUESTION OUVERTE</w:t>
            </w:r>
          </w:p>
        </w:tc>
        <w:tc>
          <w:tcPr>
            <w:tcW w:type="dxa" w:w="3120"/>
          </w:tcPr>
          <w:p>
            <w:r>
              <w:t>Spike sécurité/offline</w:t>
            </w:r>
          </w:p>
        </w:tc>
      </w:tr>
    </w:tbl>
    <w:p>
      <w:pPr>
        <w:pStyle w:val="Heading2"/>
      </w:pPr>
      <w:r>
        <w:t>34.12 Changelog v1.1</w:t>
      </w:r>
    </w:p>
    <w:p>
      <w:r>
        <w:t>La v1.1 conserve les décisions DDD de la v1.0 et ajoute la sélection technique préparatoire au Lot 0. Les QO-45, QO-46, QO-47, QO-48, QO-50 et QO-51 sont considérées résolues. QO-49 reste partiellement ouverte pour le fournisseur de déploiement et le backend d’observabilité. QO-52 reste ouverte pour la précision technique de Quantity.</w:t>
      </w:r>
    </w:p>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6"/>
      </w:rPr>
      <w:t xml:space="preserve">Version 1.1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6"/>
      </w:rPr>
      <w:t>ZANDU SALES MANAGER  |  ARCHITECTURE DDD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line="240" w:lineRule="auto"/>
      <w:ind w:left="259" w:right="14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Zandu Sales Manager — Spécification d’architecture DDD v1.0</dc:title>
  <dc:subject>Baseline d’architecture Domain-Driven Design</dc:subject>
  <dc:creator>Zandu</dc:creator>
  <cp:keywords>DDD, modular monolith, implementation roadmap, testing, operations, offline, Sales, Inventory, Payments</cp:keywords>
  <dc:description>generated by python-docx</dc:description>
  <cp:lastModifiedBy/>
  <cp:revision>1</cp:revision>
  <dcterms:created xsi:type="dcterms:W3CDTF">2013-12-23T23:15:00Z</dcterms:created>
  <dcterms:modified xsi:type="dcterms:W3CDTF">2013-12-23T23:15:00Z</dcterms:modified>
  <cp:category/>
</cp:coreProperties>
</file>