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6848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637185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637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167"/>
        <w:rPr>
          <w:rFonts w:ascii="Times New Roman"/>
          <w:b w:val="0"/>
        </w:rPr>
      </w:pPr>
    </w:p>
    <w:p>
      <w:pPr>
        <w:pStyle w:val="BodyText"/>
        <w:spacing w:line="237" w:lineRule="auto" w:before="1"/>
        <w:ind w:left="57" w:right="225"/>
      </w:pPr>
      <w:r>
        <w:rPr/>
        <w:t>This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certify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above-captioned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settled</w:t>
      </w:r>
      <w:r>
        <w:rPr>
          <w:spacing w:val="-6"/>
        </w:rPr>
        <w:t> </w:t>
      </w:r>
      <w:r>
        <w:rPr/>
        <w:t>before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Lupong Tagapamayapa and is hereby certified for filing with the appropriate court.</w:t>
      </w:r>
    </w:p>
    <w:sectPr>
      <w:type w:val="continuous"/>
      <w:pgSz w:w="11920" w:h="16840"/>
      <w:pgMar w:top="920" w:bottom="280" w:left="1133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Cert File Action Court</dc:title>
  <dcterms:created xsi:type="dcterms:W3CDTF">2026-03-02T04:29:13Z</dcterms:created>
  <dcterms:modified xsi:type="dcterms:W3CDTF">2026-03-02T04:29:13Z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