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GEO MCP Server</w:t>
      </w:r>
    </w:p>
    <w:p>
      <w:pPr>
        <w:spacing w:after="100"/>
      </w:pPr>
      <w:r>
        <w:rPr>
          <w:b/>
          <w:bCs/>
          <w:sz w:val="28"/>
          <w:szCs w:val="28"/>
        </w:rPr>
        <w:t xml:space="preserve">Next Gates Developer Plan</w:t>
      </w:r>
    </w:p>
    <w:p>
      <w:pPr>
        <w:spacing w:after="100"/>
      </w:pPr>
      <w:r>
        <w:rPr>
          <w:b w:val="false"/>
          <w:bCs w:val="false"/>
          <w:sz w:val="20"/>
          <w:szCs w:val="20"/>
        </w:rPr>
        <w:t xml:space="preserve">18 September 2026 | Gates D and E handoff</w:t>
      </w:r>
    </w:p>
    <w:p>
      <w:pPr>
        <w:spacing w:after="100"/>
      </w:pPr>
      <w:r>
        <w:rPr>
          <w:b w:val="false"/>
          <w:bCs w:val="false"/>
          <w:sz w:val="20"/>
          <w:szCs w:val="20"/>
        </w:rPr>
        <w:t xml:space="preserve">Gates A-C are complete. The next developer should productionise the existing server for shared remote use, prove the real hosted topology, then run separately authorised live canaries. Do not redesign the workflow or weaken its human controls.</w:t>
      </w:r>
    </w:p>
    <w:p>
      <w:pPr>
        <w:pStyle w:val="Heading1"/>
        <w:keepNext/>
      </w:pPr>
      <w:r>
        <w:t xml:space="preserve">Planning Framework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646"/>
      </w:tblGrid>
      <w:tr>
        <w:trPr>
          <w:cantSplit/>
          <w:tblHeader/>
        </w:trPr>
        <w:tc>
          <w:tcPr>
            <w:tcW w:type="dxa" w:w="18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Section</w:t>
            </w:r>
          </w:p>
        </w:tc>
        <w:tc>
          <w:tcPr>
            <w:tcW w:type="dxa" w:w="43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Description</w:t>
            </w:r>
          </w:p>
        </w:tc>
        <w:tc>
          <w:tcPr>
            <w:tcW w:type="dxa" w:w="36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Notes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Startle</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The local HTTP p95 is 82 ms, but that does not prove remote identity, storage or live completion performance.</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Repeat the workload through the actual hosted topology.</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WIIFM</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 shared MCP endpoint gives local and hosted agents the governed GEO workflow already used by humans.</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Agents gain tools without gaining human approval rights.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Needs and Challenges</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 use needs real identity, PostgreSQL, durable artifacts, secure browser sessions, worker isolation and observability.</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The loopback bearer setup is development-only.</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Define Questions</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Can the same server preserve isolation and responsiveness remotely, then complete one- and three-profile live runs with exact accounting?</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Gate D proves remote readiness. Gate E proves live acceptance.</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Cornerstone</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Productionise the existing bounded asynchronous workflow instead of creating long-running MCP calls or a second orchestration engine.</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REST, UI and MCP continue to share one service and job model.</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Supporting Evidence 1</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All 20 tools work over real stdio and Streamable HTTP clients.</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Submission returns durable job IDs and discovery starts no provider work.</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Supporting Evidence 2</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Lease, replay, checkpoint, queue, migration and export races have regression tests.</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The final local suite passed 526 tests.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Supporting Evidence 3</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Five-client, 1,000-run local performance passes every payload and latency gate.</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Catalogue 17,970 bytes; maximum response 4,982 bytes.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Repeat Cornerstone</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The remaining route is operational hardening and measured acceptance.</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Preserve human approval, evidence semantics and provider accounting.</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Conclusion and next steps</w:t>
            </w:r>
          </w:p>
        </w:tc>
        <w:tc>
          <w:tcPr>
            <w:tcW w:type="dxa" w:w="43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Complete an approved non-production Gate D deployment, then request separate authority for Gate E.</w:t>
            </w:r>
          </w:p>
        </w:tc>
        <w:tc>
          <w:tcPr>
            <w:tcW w:type="dxa" w:w="36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Stop if isolation, migrations, remote p95 or live completion experience fails.</w:t>
            </w:r>
          </w:p>
        </w:tc>
      </w:tr>
    </w:tbl>
    <w:p>
      <w:pPr>
        <w:spacing w:after="100"/>
      </w:pPr>
      <w:r>
        <w:rPr>
          <w:b w:val="false"/>
          <w:bCs w:val="false"/>
          <w:sz w:val="20"/>
          <w:szCs w:val="20"/>
        </w:rPr>
        <w:t xml:space="preserve"/>
      </w:r>
    </w:p>
    <w:p>
      <w:r>
        <w:br w:type="page"/>
      </w:r>
    </w:p>
    <w:p>
      <w:pPr>
        <w:pStyle w:val="Heading1"/>
        <w:keepNext/>
      </w:pPr>
      <w:r>
        <w:t xml:space="preserve">Current Baseline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5446"/>
      </w:tblGrid>
      <w:tr>
        <w:trPr>
          <w:cantSplit/>
          <w:tblHeader/>
        </w:trPr>
        <w:tc>
          <w:tcPr>
            <w:tcW w:type="dxa" w:w="22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Gate</w:t>
            </w:r>
          </w:p>
        </w:tc>
        <w:tc>
          <w:tcPr>
            <w:tcW w:type="dxa" w:w="21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Status</w:t>
            </w:r>
          </w:p>
        </w:tc>
        <w:tc>
          <w:tcPr>
            <w:tcW w:type="dxa" w:w="54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Evidence</w:t>
            </w:r>
          </w:p>
        </w:tc>
      </w:tr>
      <w:tr>
        <w:trPr>
          <w:cantSplit/>
          <w:tblHeader w:val="false"/>
        </w:trPr>
        <w:tc>
          <w:tcPr>
            <w:tcW w:type="dxa" w:w="2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 SDK and contract</w:t>
            </w:r>
          </w:p>
        </w:tc>
        <w:tc>
          <w:tcPr>
            <w:tcW w:type="dxa" w:w="21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Complete</w:t>
            </w:r>
          </w:p>
        </w:tc>
        <w:tc>
          <w:tcPr>
            <w:tcW w:type="dxa" w:w="54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mcp==2.2.0, 20 tools, real stdio and HTTP clients, structured results.</w:t>
            </w:r>
          </w:p>
        </w:tc>
      </w:tr>
      <w:tr>
        <w:trPr>
          <w:cantSplit/>
          <w:tblHeader w:val="false"/>
        </w:trPr>
        <w:tc>
          <w:tcPr>
            <w:tcW w:type="dxa" w:w="2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B. Governance parity</w:t>
            </w:r>
          </w:p>
        </w:tc>
        <w:tc>
          <w:tcPr>
            <w:tcW w:type="dxa" w:w="21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Complete locally</w:t>
            </w:r>
          </w:p>
        </w:tc>
        <w:tc>
          <w:tcPr>
            <w:tcW w:type="dxa" w:w="54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Six stages, human query approval, agent stage authorisation, owner isolation and 23-operation mock flow.</w:t>
            </w:r>
          </w:p>
        </w:tc>
      </w:tr>
      <w:tr>
        <w:trPr>
          <w:cantSplit/>
          <w:tblHeader w:val="false"/>
        </w:trPr>
        <w:tc>
          <w:tcPr>
            <w:tcW w:type="dxa" w:w="2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 Local performance</w:t>
            </w:r>
          </w:p>
        </w:tc>
        <w:tc>
          <w:tcPr>
            <w:tcW w:type="dxa" w:w="21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Complete</w:t>
            </w:r>
          </w:p>
        </w:tc>
        <w:tc>
          <w:tcPr>
            <w:tcW w:type="dxa" w:w="54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Five clients per transport, 1,000 saved runs, one active job and 200 calls per transport.</w:t>
            </w:r>
          </w:p>
        </w:tc>
      </w:tr>
      <w:tr>
        <w:trPr>
          <w:cantSplit/>
          <w:tblHeader w:val="false"/>
        </w:trPr>
        <w:tc>
          <w:tcPr>
            <w:tcW w:type="dxa" w:w="2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 Remote readiness</w:t>
            </w:r>
          </w:p>
        </w:tc>
        <w:tc>
          <w:tcPr>
            <w:tcW w:type="dxa" w:w="21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Not started</w:t>
            </w:r>
          </w:p>
        </w:tc>
        <w:tc>
          <w:tcPr>
            <w:tcW w:type="dxa" w:w="54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Needs approved hosting, Entra/OAuth, PostgreSQL, durable artifacts, web security and remote proof.</w:t>
            </w:r>
          </w:p>
        </w:tc>
      </w:tr>
      <w:tr>
        <w:trPr>
          <w:cantSplit/>
          <w:tblHeader w:val="false"/>
        </w:trPr>
        <w:tc>
          <w:tcPr>
            <w:tcW w:type="dxa" w:w="2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 Live canary</w:t>
            </w:r>
          </w:p>
        </w:tc>
        <w:tc>
          <w:tcPr>
            <w:tcW w:type="dxa" w:w="21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Blocked</w:t>
            </w:r>
          </w:p>
        </w:tc>
        <w:tc>
          <w:tcPr>
            <w:tcW w:type="dxa" w:w="54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Needs Gate D pass plus explicit URL, roster, operation allowance, cost and retention approval.</w:t>
            </w:r>
          </w:p>
        </w:tc>
      </w:tr>
    </w:tbl>
    <w:p>
      <w:pPr>
        <w:spacing w:after="100"/>
      </w:pPr>
      <w:r>
        <w:rPr>
          <w:b w:val="false"/>
          <w:bCs w:val="false"/>
          <w:sz w:val="20"/>
          <w:szCs w:val="20"/>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946"/>
      </w:tblGrid>
      <w:tr>
        <w:trPr>
          <w:cantSplit/>
          <w:tblHeader/>
        </w:trPr>
        <w:tc>
          <w:tcPr>
            <w:tcW w:type="dxa" w:w="26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Measure</w:t>
            </w:r>
          </w:p>
        </w:tc>
        <w:tc>
          <w:tcPr>
            <w:tcW w:type="dxa" w:w="18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stdio</w:t>
            </w:r>
          </w:p>
        </w:tc>
        <w:tc>
          <w:tcPr>
            <w:tcW w:type="dxa" w:w="24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Streamable HTTP</w:t>
            </w:r>
          </w:p>
        </w:tc>
        <w:tc>
          <w:tcPr>
            <w:tcW w:type="dxa" w:w="29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Target</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Warm p95</w:t>
            </w:r>
          </w:p>
        </w:tc>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15 ms</w:t>
            </w:r>
          </w:p>
        </w:tc>
        <w:tc>
          <w:tcPr>
            <w:tcW w:type="dxa" w:w="24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82 ms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At most 2 seconds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Maximum duration</w:t>
            </w:r>
          </w:p>
        </w:tc>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126 ms</w:t>
            </w:r>
          </w:p>
        </w:tc>
        <w:tc>
          <w:tcPr>
            <w:tcW w:type="dxa" w:w="24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100 ms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Reported separately</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Maximum response</w:t>
            </w:r>
          </w:p>
        </w:tc>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4,972 bytes</w:t>
            </w:r>
          </w:p>
        </w:tc>
        <w:tc>
          <w:tcPr>
            <w:tcW w:type="dxa" w:w="24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4,982 bytes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Default at most 16 KiB</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Catalogue</w:t>
            </w:r>
          </w:p>
        </w:tc>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17,970 bytes</w:t>
            </w:r>
          </w:p>
        </w:tc>
        <w:tc>
          <w:tcPr>
            <w:tcW w:type="dxa" w:w="24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17,970 bytes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At most 32 KiB</w:t>
            </w:r>
          </w:p>
        </w:tc>
      </w:tr>
    </w:tbl>
    <w:p>
      <w:pPr>
        <w:spacing w:after="100"/>
      </w:pPr>
      <w:r>
        <w:rPr>
          <w:b w:val="false"/>
          <w:bCs w:val="false"/>
          <w:sz w:val="20"/>
          <w:szCs w:val="20"/>
        </w:rPr>
        <w:t xml:space="preserve"/>
      </w:r>
    </w:p>
    <w:p>
      <w:pPr>
        <w:pStyle w:val="Heading1"/>
        <w:keepNext/>
      </w:pPr>
      <w:r>
        <w:t xml:space="preserve">Safety Boundaries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Preserve</w:t>
            </w:r>
          </w:p>
        </w:tc>
        <w:tc>
          <w:tcPr>
            <w:tcW w:type="dxa" w:w="71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Required behaviour</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Human authority</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Exact-query approval and legacy draft decisions remain human-only.</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Agent execution</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Paid stages require owner/principal/run/revision/policy-bound human authorisation.</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Admission</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One active job, 20 globally queued jobs and four queued jobs per owner.</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Provider accounting</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Claim and charge before dispatch; no automatic retry; ambiguous attempts remain charged.</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Evidence</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Checkpoint validated output; retain provenance and failed-call coverage.</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Exports</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Freeze the main ZIP; version companion outputs; never send ZIP bytes or storage keys to the model.</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Live switch</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Keep GEO_MCP_ALLOW_LIVE false until Gate D passes and Gate E is authorised.</w:t>
            </w:r>
          </w:p>
        </w:tc>
      </w:tr>
    </w:tbl>
    <w:p>
      <w:pPr>
        <w:spacing w:after="100"/>
      </w:pPr>
      <w:r>
        <w:rPr>
          <w:b w:val="false"/>
          <w:bCs w:val="false"/>
          <w:sz w:val="20"/>
          <w:szCs w:val="20"/>
        </w:rPr>
        <w:t xml:space="preserve"/>
      </w:r>
    </w:p>
    <w:p>
      <w:r>
        <w:br w:type="page"/>
      </w:r>
    </w:p>
    <w:p>
      <w:pPr>
        <w:pStyle w:val="Heading1"/>
        <w:keepNext/>
      </w:pPr>
      <w:r>
        <w:t xml:space="preserve">Gate D: Remote Deployment Readiness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750"/>
        <w:gridCol w:w="3196"/>
      </w:tblGrid>
      <w:tr>
        <w:trPr>
          <w:cantSplit/>
          <w:tblHeader/>
        </w:trPr>
        <w:tc>
          <w:tcPr>
            <w:tcW w:type="dxa" w:w="18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Phase</w:t>
            </w:r>
          </w:p>
        </w:tc>
        <w:tc>
          <w:tcPr>
            <w:tcW w:type="dxa" w:w="475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Work</w:t>
            </w:r>
          </w:p>
        </w:tc>
        <w:tc>
          <w:tcPr>
            <w:tcW w:type="dxa" w:w="319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Completion evidence</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D0 Decisions</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Confirm hosting, region, Foundry consumer, Entra tenant/audience/scopes, PostgreSQL, artifact storage, network, providers and owners.</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Approved architecture and ownership record before provisioning.</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D1 Data</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Inject PostgreSQL and durable ArtifactStorage configuration; exercise migrations 0004/0005 plus multi-instance races.</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PostgreSQL integration tests, migration rehearsal, backup/restore and unchanged hashes.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D2 Identity</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Use MCP SDK TokenVerifier/AuthSettings with Entra. Map delegated users and explicitly delegated app identities to owners.</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Identity matrix for wrong owner, tenant, audience, expiry and missing scopes.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D3 Human web</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Implement approved human sign-in, secure cookies, CSRF and explicit Host/Origin policy.</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Negative CSRF tests, human/agent route separation and browser parity.</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D4 Runtime</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Deploy API and worker separately; use managed identity; add safe logs, traces, heartbeats and graceful replacement.</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Restart/reconnect, lease recovery and no discovery side effects.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D5 Remote proof</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Repeat five-client, 1,000-run, 200-call workload through real HTTPS and authentication.</w:t>
            </w:r>
          </w:p>
        </w:tc>
        <w:tc>
          <w:tcPr>
            <w:tcW w:type="dxa" w:w="31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 p95 and payload report plus queue-race evidence.</w:t>
            </w:r>
          </w:p>
        </w:tc>
      </w:tr>
    </w:tbl>
    <w:p>
      <w:pPr>
        <w:spacing w:after="100"/>
      </w:pPr>
      <w:r>
        <w:rPr>
          <w:b w:val="false"/>
          <w:bCs w:val="false"/>
          <w:sz w:val="20"/>
          <w:szCs w:val="20"/>
        </w:rPr>
        <w:t xml:space="preserve"/>
      </w:r>
    </w:p>
    <w:p>
      <w:pPr>
        <w:spacing w:after="100"/>
      </w:pPr>
      <w:r>
        <w:rPr>
          <w:b w:val="false"/>
          <w:bCs w:val="false"/>
          <w:sz w:val="20"/>
          <w:szCs w:val="20"/>
        </w:rPr>
        <w:t xml:space="preserve">Recommended starting topology: Azure Container Apps with one API application and one separately managed worker, subject to platform-owner approval. Do not provision a default when tenant, region, ingress, retention or ownership is unresolved.</w:t>
      </w:r>
    </w:p>
    <w:p>
      <w:pPr>
        <w:pStyle w:val="Heading1"/>
        <w:keepNext/>
      </w:pPr>
      <w:r>
        <w:t xml:space="preserve">Gate D Acceptance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Target</w:t>
            </w:r>
          </w:p>
        </w:tc>
        <w:tc>
          <w:tcPr>
            <w:tcW w:type="dxa" w:w="71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Required result</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Warm p95</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At most 2 seconds including authentication, serialisation and remote network.</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Payloads</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Default at most 16 KiB; progress at most 8 KiB; details at most 64 KiB with continuation.</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Catalogue</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At most 32 KiB or the target client's stricter limit.</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Isolation</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No cross-owner tool, resource, cursor, cache, artifact, cancellation or protocol-session access.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Queue</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One active, 20 globally queued and four per owner under concurrent REST and MCP submissions.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Read cost</w:t>
            </w:r>
          </w:p>
        </w:tc>
        <w:tc>
          <w:tcPr>
            <w:tcW w:type="dxa" w:w="71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Zero provider calls from discovery, status, results, evidence, reports or exports.</w:t>
            </w:r>
          </w:p>
        </w:tc>
      </w:tr>
    </w:tbl>
    <w:p>
      <w:pPr>
        <w:spacing w:after="100"/>
      </w:pPr>
      <w:r>
        <w:rPr>
          <w:b w:val="false"/>
          <w:bCs w:val="false"/>
          <w:sz w:val="20"/>
          <w:szCs w:val="20"/>
        </w:rPr>
        <w:t xml:space="preserve"/>
      </w:r>
    </w:p>
    <w:p>
      <w:r>
        <w:br w:type="page"/>
      </w:r>
    </w:p>
    <w:p>
      <w:pPr>
        <w:pStyle w:val="Heading1"/>
        <w:keepNext/>
      </w:pPr>
      <w:r>
        <w:t xml:space="preserve">Gate E: Separately Authorised Live Canary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946"/>
      </w:tblGrid>
      <w:tr>
        <w:trPr>
          <w:cantSplit/>
          <w:tblHeader/>
        </w:trPr>
        <w:tc>
          <w:tcPr>
            <w:tcW w:type="dxa" w:w="18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Phase</w:t>
            </w:r>
          </w:p>
        </w:tc>
        <w:tc>
          <w:tcPr>
            <w:tcW w:type="dxa" w:w="50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Procedure</w:t>
            </w:r>
          </w:p>
        </w:tc>
        <w:tc>
          <w:tcPr>
            <w:tcW w:type="dxa" w:w="29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Stop rule</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E0 Authority</w:t>
            </w:r>
          </w:p>
        </w:tc>
        <w:tc>
          <w:tcPr>
            <w:tcW w:type="dxa" w:w="50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Record URL/domain, locale, roster, deployments, operation allowance, maximum cost, retention, time window and operator.</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Do not reuse or mutate consumed grants.</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E1 One profile</w:t>
            </w:r>
          </w:p>
        </w:tc>
        <w:tc>
          <w:tcPr>
            <w:tcW w:type="dxa" w:w="50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Run preparation plus five searches and five evaluations. Expected score-only ceiling: 13 operations.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Stop if access, accounting, evidence semantics, handoff or completion time is unsatisfactory.</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E2 Three profiles</w:t>
            </w:r>
          </w:p>
        </w:tc>
        <w:tc>
          <w:tcPr>
            <w:tcW w:type="dxa" w:w="50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Reuse five ordered packets across 15 isolated evaluations. Expected score-only ceiling: 23 operations.</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Do not claim three-profile readiness unless every deployment is verified.</w:t>
            </w:r>
          </w:p>
        </w:tc>
      </w:tr>
      <w:tr>
        <w:trPr>
          <w:cantSplit/>
          <w:tblHeader w:val="false"/>
        </w:trPr>
        <w:tc>
          <w:tcPr>
            <w:tcW w:type="dxa" w:w="18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E3 Decision</w:t>
            </w:r>
          </w:p>
        </w:tc>
        <w:tc>
          <w:tcPr>
            <w:tcW w:type="dxa" w:w="50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Compare control and provider latency, token use, errors, charged counts, coverage and output parity.</w:t>
            </w:r>
          </w:p>
        </w:tc>
        <w:tc>
          <w:tcPr>
            <w:tcW w:type="dxa" w:w="29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Choose shared, narrowed, read-only or stopped mode. Fast submission alone is not success.</w:t>
            </w:r>
          </w:p>
        </w:tc>
      </w:tr>
    </w:tbl>
    <w:p>
      <w:pPr>
        <w:spacing w:after="100"/>
      </w:pPr>
      <w:r>
        <w:rPr>
          <w:b w:val="false"/>
          <w:bCs w:val="false"/>
          <w:sz w:val="20"/>
          <w:szCs w:val="20"/>
        </w:rPr>
        <w:t xml:space="preserve"/>
      </w:r>
    </w:p>
    <w:p>
      <w:pPr>
        <w:pStyle w:val="Heading1"/>
        <w:keepNext/>
      </w:pPr>
      <w:r>
        <w:t xml:space="preserve">Developer Work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750"/>
        <w:gridCol w:w="2396"/>
      </w:tblGrid>
      <w:tr>
        <w:trPr>
          <w:cantSplit/>
          <w:tblHeader/>
        </w:trPr>
        <w:tc>
          <w:tcPr>
            <w:tcW w:type="dxa" w:w="26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ID</w:t>
            </w:r>
          </w:p>
        </w:tc>
        <w:tc>
          <w:tcPr>
            <w:tcW w:type="dxa" w:w="475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Work</w:t>
            </w:r>
          </w:p>
        </w:tc>
        <w:tc>
          <w:tcPr>
            <w:tcW w:type="dxa" w:w="239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Depends on</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remote-decisions</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Approve hosting, identity, data, network, provider and ownership decisions.</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Current Gates A-C</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postgres-artifacts</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Implement PostgreSQL and durable artifacts.</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remote-decisions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entra-mcp-auth</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Implement MCP OAuth/Entra validation and delegation.</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remote-decisions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human-web-auth</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Implement secure human sessions and CSRF.</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remote-decisions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hosted-worker</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Deploy the separately managed owner/policy-aware worker.</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postgres-artifacts</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remote-observability</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Add safe logs, traces and dashboards.</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hosted-worker; entra-mcp-auth</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remote-gate-c</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Repeat performance, payload and admission proof remotely.</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All Gate D work</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live-one-profile</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Run the authorised 13-operation canary.</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Gate D; live authority</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live-three-profile</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Run the authorised 23-operation canary.</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One-profile acceptance</w:t>
            </w:r>
          </w:p>
        </w:tc>
      </w:tr>
      <w:tr>
        <w:trPr>
          <w:cantSplit/>
          <w:tblHeader w:val="false"/>
        </w:trPr>
        <w:tc>
          <w:tcPr>
            <w:tcW w:type="dxa" w:w="26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release-decision</w:t>
            </w:r>
          </w:p>
        </w:tc>
        <w:tc>
          <w:tcPr>
            <w:tcW w:type="dxa" w:w="475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Select shared, narrowed, read-only or stopped mode.</w:t>
            </w:r>
          </w:p>
        </w:tc>
        <w:tc>
          <w:tcPr>
            <w:tcW w:type="dxa" w:w="239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Canary evidence</w:t>
            </w:r>
          </w:p>
        </w:tc>
      </w:tr>
    </w:tbl>
    <w:p>
      <w:pPr>
        <w:spacing w:after="100"/>
      </w:pPr>
      <w:r>
        <w:rPr>
          <w:b w:val="false"/>
          <w:bCs w:val="false"/>
          <w:sz w:val="20"/>
          <w:szCs w:val="20"/>
        </w:rPr>
        <w:t xml:space="preserve"/>
      </w:r>
    </w:p>
    <w:p>
      <w:r>
        <w:br w:type="page"/>
      </w:r>
    </w:p>
    <w:p>
      <w:pPr>
        <w:pStyle w:val="Heading1"/>
        <w:keepNext/>
      </w:pPr>
      <w:r>
        <w:t xml:space="preserve">First Day for the Next Developer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8546"/>
      </w:tblGrid>
      <w:tr>
        <w:trPr>
          <w:cantSplit/>
          <w:tblHeader/>
        </w:trPr>
        <w:tc>
          <w:tcPr>
            <w:tcW w:type="dxa" w:w="1200"/>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Step</w:t>
            </w:r>
          </w:p>
        </w:tc>
        <w:tc>
          <w:tcPr>
            <w:tcW w:type="dxa" w:w="8546"/>
            <w:tcBorders>
              <w:top w:val="single" w:color="CBD5E1" w:sz="3"/>
              <w:left w:val="single" w:color="CBD5E1" w:sz="3"/>
              <w:bottom w:val="single" w:color="CBD5E1" w:sz="3"/>
              <w:right w:val="single" w:color="CBD5E1" w:sz="3"/>
            </w:tcBorders>
            <w:shd w:fill="E2E8F0" w:val="clear"/>
            <w:tcMar>
              <w:top w:type="dxa" w:w="80"/>
              <w:left w:type="dxa" w:w="100"/>
              <w:bottom w:type="dxa" w:w="80"/>
              <w:right w:type="dxa" w:w="100"/>
            </w:tcMar>
          </w:tcPr>
          <w:p>
            <w:pPr>
              <w:spacing w:after="40"/>
            </w:pPr>
            <w:r>
              <w:rPr>
                <w:b/>
                <w:bCs/>
                <w:sz w:val="18"/>
                <w:szCs w:val="18"/>
              </w:rPr>
              <w:t xml:space="preserve">Action</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1</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Read geo-agent-mcp-next-gates-plan.md, geo-agent/AGENTS.md and geo-agent/README.md.</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2</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Confirm the branch contains the MCP implementation commit and the worktree is clean.</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3</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Install the pinned project in geo-agent/.venv and run all 526 tests.</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4</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Run the browser harness and tests/measure_mcp_performance.py before infrastructure changes.</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5</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Inspect mcp_server.py, measurement_service.py, agent_access.py, persistence.py, worker.py, api.py and live_runtime.py.</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6</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Obtain the Gate D decisions before provisioning any Azure resource.</w:t>
            </w:r>
          </w:p>
        </w:tc>
      </w:tr>
      <w:tr>
        <w:trPr>
          <w:cantSplit/>
          <w:tblHeader w:val="false"/>
        </w:trPr>
        <w:tc>
          <w:tcPr>
            <w:tcW w:type="dxa" w:w="1200"/>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7</w:t>
            </w:r>
          </w:p>
        </w:tc>
        <w:tc>
          <w:tcPr>
            <w:tcW w:type="dxa" w:w="8546"/>
            <w:tcBorders>
              <w:top w:val="single" w:color="CBD5E1" w:sz="3"/>
              <w:left w:val="single" w:color="CBD5E1" w:sz="3"/>
              <w:bottom w:val="single" w:color="CBD5E1" w:sz="3"/>
              <w:right w:val="single" w:color="CBD5E1" w:sz="3"/>
            </w:tcBorders>
            <w:shd w:fill="FFFFFF" w:val="clear"/>
            <w:tcMar>
              <w:top w:type="dxa" w:w="80"/>
              <w:left w:type="dxa" w:w="100"/>
              <w:bottom w:type="dxa" w:w="80"/>
              <w:right w:type="dxa" w:w="100"/>
            </w:tcMar>
          </w:tcPr>
          <w:p>
            <w:pPr>
              <w:spacing w:after="40"/>
            </w:pPr>
            <w:r>
              <w:rPr>
                <w:b w:val="false"/>
                <w:bCs w:val="false"/>
                <w:sz w:val="18"/>
                <w:szCs w:val="18"/>
              </w:rPr>
              <w:t xml:space="preserve">Keep GEO_MCP_ALLOW_LIVE false until Gate D passes and Gate E is separately authorised.</w:t>
            </w:r>
          </w:p>
        </w:tc>
      </w:tr>
    </w:tbl>
    <w:p>
      <w:pPr>
        <w:spacing w:after="100"/>
      </w:pPr>
      <w:r>
        <w:rPr>
          <w:b w:val="false"/>
          <w:bCs w:val="false"/>
          <w:sz w:val="20"/>
          <w:szCs w:val="20"/>
        </w:rPr>
        <w:t xml:space="preserve"/>
      </w:r>
    </w:p>
    <w:p>
      <w:pPr>
        <w:pStyle w:val="Heading1"/>
        <w:keepNext/>
      </w:pPr>
      <w:r>
        <w:t xml:space="preserve">Source Links</w:t>
      </w:r>
    </w:p>
    <w:p>
      <w:pPr>
        <w:spacing w:after="80"/>
      </w:pPr>
      <w:hyperlink w:history="1" r:id="rIdeptsigsz0tihn2s61r31l">
        <w:r>
          <w:rPr>
            <w:rStyle w:val="Hyperlink"/>
          </w:rPr>
          <w:t xml:space="preserve">Authoritative Markdown handoff</w:t>
        </w:r>
      </w:hyperlink>
    </w:p>
    <w:p>
      <w:pPr>
        <w:spacing w:after="80"/>
      </w:pPr>
      <w:hyperlink w:history="1" r:id="rIds47yeuys7af5xp1j-6bf8">
        <w:r>
          <w:rPr>
            <w:rStyle w:val="Hyperlink"/>
          </w:rPr>
          <w:t xml:space="preserve">GEO agent README</w:t>
        </w:r>
      </w:hyperlink>
    </w:p>
    <w:p>
      <w:pPr>
        <w:spacing w:after="80"/>
      </w:pPr>
      <w:hyperlink w:history="1" r:id="rIdkqryqoruuig0wzwybainz">
        <w:r>
          <w:rPr>
            <w:rStyle w:val="Hyperlink"/>
          </w:rPr>
          <w:t xml:space="preserve">MCP server</w:t>
        </w:r>
      </w:hyperlink>
    </w:p>
    <w:p>
      <w:pPr>
        <w:spacing w:after="80"/>
      </w:pPr>
      <w:hyperlink w:history="1" r:id="rId9lrdfockt1hgwzqssd1ce">
        <w:r>
          <w:rPr>
            <w:rStyle w:val="Hyperlink"/>
          </w:rPr>
          <w:t xml:space="preserve">Shared application service</w:t>
        </w:r>
      </w:hyperlink>
    </w:p>
    <w:p>
      <w:pPr>
        <w:spacing w:after="80"/>
      </w:pPr>
      <w:hyperlink w:history="1" r:id="rIdjwjdlhkes-0s_qrc6qlro">
        <w:r>
          <w:rPr>
            <w:rStyle w:val="Hyperlink"/>
          </w:rPr>
          <w:t xml:space="preserve">Persistence and lifecycle</w:t>
        </w:r>
      </w:hyperlink>
    </w:p>
    <w:p>
      <w:pPr>
        <w:spacing w:after="80"/>
      </w:pPr>
      <w:hyperlink w:history="1" r:id="rIdtehkd__jjhgq2yy2wdmfa">
        <w:r>
          <w:rPr>
            <w:rStyle w:val="Hyperlink"/>
          </w:rPr>
          <w:t xml:space="preserve">Local performance baseline</w:t>
        </w:r>
      </w:hyperlink>
    </w:p>
    <w:p>
      <w:pPr>
        <w:spacing w:after="80"/>
      </w:pPr>
      <w:hyperlink w:history="1" r:id="rIdbtzad0zibgp44cznbplys">
        <w:r>
          <w:rPr>
            <w:rStyle w:val="Hyperlink"/>
          </w:rPr>
          <w:t xml:space="preserve">Official Python MCP SDK</w:t>
        </w:r>
      </w:hyperlink>
    </w:p>
    <w:p>
      <w:pPr>
        <w:spacing w:after="80"/>
      </w:pPr>
      <w:hyperlink w:history="1" r:id="rIdlsbdgqigkkjxpyp8sou6m">
        <w:r>
          <w:rPr>
            <w:rStyle w:val="Hyperlink"/>
          </w:rPr>
          <w:t xml:space="preserve">Microsoft Foundry MCP guidance</w:t>
        </w:r>
      </w:hyperlink>
    </w:p>
    <w:p>
      <w:pPr>
        <w:spacing w:after="100"/>
      </w:pPr>
      <w:r>
        <w:rPr>
          <w:b w:val="false"/>
          <w:bCs w:val="false"/>
          <w:sz w:val="20"/>
          <w:szCs w:val="20"/>
        </w:rPr>
        <w:t xml:space="preserve">Recommendation: proceed with Gate D only after the platform owner approves the target environment and identity model. Do not provision live provider capacity or enable live MCP until Gate D has passed and Gate E has separate written authorisation.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75569"/>
        <w:sz w:val="17"/>
        <w:szCs w:val="17"/>
      </w:rPr>
      <w:t xml:space="preserve">Gates D-E | Page </w:t>
    </w:r>
    <w:r>
      <w:rPr>
        <w:color w:val="47556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1"/>
      </w:pBdr>
    </w:pPr>
    <w:r>
      <w:rPr>
        <w:color w:val="475569"/>
        <w:sz w:val="17"/>
        <w:szCs w:val="17"/>
      </w:rPr>
      <w:t xml:space="preserve">GEO MCP Server | Developer Handoff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40"/>
    </w:pPr>
    <w:rPr>
      <w:rFonts w:ascii="Arial" w:cs="Arial" w:eastAsia="Arial" w:hAnsi="Arial"/>
      <w:b/>
      <w:bCs/>
      <w:color w:val="000000"/>
      <w:sz w:val="40"/>
      <w:szCs w:val="40"/>
    </w:rPr>
  </w:style>
  <w:style w:type="paragraph" w:styleId="Heading1">
    <w:name w:val="Heading 1"/>
    <w:basedOn w:val="Normal"/>
    <w:next w:val="Normal"/>
    <w:qFormat/>
    <w:pPr>
      <w:spacing w:after="100" w:before="160"/>
      <w:outlineLvl w:val="0"/>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ptsigsz0tihn2s61r31l" Type="http://schemas.openxmlformats.org/officeDocument/2006/relationships/hyperlink" Target="https://github.com/johnmcgarvey8/Hackathon2026/blob/agents/mcp-agent-tool-exposure-assessment/geo-agent-mcp-next-gates-plan.md" TargetMode="External"/><Relationship Id="rIds47yeuys7af5xp1j-6bf8" Type="http://schemas.openxmlformats.org/officeDocument/2006/relationships/hyperlink" Target="https://github.com/johnmcgarvey8/Hackathon2026/blob/agents/mcp-agent-tool-exposure-assessment/geo-agent/README.md" TargetMode="External"/><Relationship Id="rIdkqryqoruuig0wzwybainz" Type="http://schemas.openxmlformats.org/officeDocument/2006/relationships/hyperlink" Target="https://github.com/johnmcgarvey8/Hackathon2026/blob/agents/mcp-agent-tool-exposure-assessment/geo-agent/src/geo_agent/mcp_server.py" TargetMode="External"/><Relationship Id="rId9lrdfockt1hgwzqssd1ce" Type="http://schemas.openxmlformats.org/officeDocument/2006/relationships/hyperlink" Target="https://github.com/johnmcgarvey8/Hackathon2026/blob/agents/mcp-agent-tool-exposure-assessment/geo-agent/src/geo_agent/measurement_service.py" TargetMode="External"/><Relationship Id="rIdjwjdlhkes-0s_qrc6qlro" Type="http://schemas.openxmlformats.org/officeDocument/2006/relationships/hyperlink" Target="https://github.com/johnmcgarvey8/Hackathon2026/blob/agents/mcp-agent-tool-exposure-assessment/geo-agent/src/geo_agent/persistence.py" TargetMode="External"/><Relationship Id="rIdtehkd__jjhgq2yy2wdmfa" Type="http://schemas.openxmlformats.org/officeDocument/2006/relationships/hyperlink" Target="https://github.com/johnmcgarvey8/Hackathon2026/blob/agents/mcp-agent-tool-exposure-assessment/geo-agent/docs/mcp-local-performance-baseline.json" TargetMode="External"/><Relationship Id="rIdbtzad0zibgp44cznbplys" Type="http://schemas.openxmlformats.org/officeDocument/2006/relationships/hyperlink" Target="https://github.com/modelcontextprotocol/python-sdk" TargetMode="External"/><Relationship Id="rIdlsbdgqigkkjxpyp8sou6m" Type="http://schemas.openxmlformats.org/officeDocument/2006/relationships/hyperlink" Target="https://learn.microsoft.com/azure/foundry/agents/how-to/tools/model-context-protocol"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 MCP Server: Next Gates Developer Plan</dc:title>
  <dc:subject>Developer handoff for remote readiness and live acceptance</dc:subject>
  <dc:creator>Copilot</dc:creator>
  <cp:lastModifiedBy>Un-named</cp:lastModifiedBy>
  <cp:revision>1</cp:revision>
  <dcterms:created xsi:type="dcterms:W3CDTF">2026-09-18T10:13:21.793Z</dcterms:created>
  <dcterms:modified xsi:type="dcterms:W3CDTF">2026-09-18T10:13:21.795Z</dcterms:modified>
</cp:coreProperties>
</file>

<file path=docProps/custom.xml><?xml version="1.0" encoding="utf-8"?>
<Properties xmlns="http://schemas.openxmlformats.org/officeDocument/2006/custom-properties" xmlns:vt="http://schemas.openxmlformats.org/officeDocument/2006/docPropsVTypes"/>
</file>