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GEO MCP Server</w:t>
      </w:r>
    </w:p>
    <w:p>
      <w:pPr>
        <w:spacing w:after="100"/>
      </w:pPr>
      <w:r>
        <w:rPr>
          <w:b/>
          <w:bCs/>
          <w:sz w:val="28"/>
          <w:szCs w:val="28"/>
        </w:rPr>
        <w:t xml:space="preserve">Next Gates Developer Plan</w:t>
      </w: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30 September 2026 | Gate C.5, D and E handoff</w:t>
      </w: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The automated VS Code path completes the 23-operation synthetic journey, reconnects after restart and sits on a 612-test green baseline. Close the interactive Copilot trust check before Gate D. Do not redesign the workflow or weaken its human controls.</w:t>
      </w:r>
    </w:p>
    <w:p>
      <w:pPr>
        <w:pStyle w:val="Heading1"/>
        <w:keepNext/>
      </w:pPr>
      <w:r>
        <w:t xml:space="preserve">Planning Framework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00"/>
        <w:gridCol w:w="3646"/>
      </w:tblGrid>
      <w:tr>
        <w:trPr>
          <w:cantSplit/>
          <w:tblHeader/>
        </w:trPr>
        <w:tc>
          <w:tcPr>
            <w:tcW w:type="dxa" w:w="1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2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Section</w:t>
            </w:r>
          </w:p>
        </w:tc>
        <w:tc>
          <w:tcPr>
            <w:tcW w:type="dxa" w:w="43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2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6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2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Startle</w:t>
            </w:r>
          </w:p>
        </w:tc>
        <w:tc>
          <w:tcPr>
            <w:tcW w:type="dxa" w:w="43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automated Copilot-equivalent flow passes on a 612-test green baseline; only the interactive VS Code trust and Copilot check remains in Gate C.5.</w:t>
            </w:r>
          </w:p>
        </w:tc>
        <w:tc>
          <w:tcPr>
            <w:tcW w:type="dxa" w:w="36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Repeat the workload through the actual hosted topology.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WIIFM</w:t>
            </w:r>
          </w:p>
        </w:tc>
        <w:tc>
          <w:tcPr>
            <w:tcW w:type="dxa" w:w="43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 shared MCP endpoint gives local and hosted agents the governed GEO workflow already used by humans.</w:t>
            </w:r>
          </w:p>
        </w:tc>
        <w:tc>
          <w:tcPr>
            <w:tcW w:type="dxa" w:w="36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Agents gain tools without gaining human approval rights.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Needs and Challenges</w:t>
            </w:r>
          </w:p>
        </w:tc>
        <w:tc>
          <w:tcPr>
            <w:tcW w:type="dxa" w:w="43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Remote use needs real identity, PostgreSQL, durable artifacts, secure browser sessions, worker isolation and observability.</w:t>
            </w:r>
          </w:p>
        </w:tc>
        <w:tc>
          <w:tcPr>
            <w:tcW w:type="dxa" w:w="36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loopback bearer setup is development-only.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Define Questions</w:t>
            </w:r>
          </w:p>
        </w:tc>
        <w:tc>
          <w:tcPr>
            <w:tcW w:type="dxa" w:w="43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Can the same server preserve isolation and responsiveness remotely, then complete one- and three-profile live runs with exact accounting?</w:t>
            </w:r>
          </w:p>
        </w:tc>
        <w:tc>
          <w:tcPr>
            <w:tcW w:type="dxa" w:w="36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Gate C.5 closes local usability. Gate D proves remote readiness. Gate E proves live acceptance.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Cornerstone</w:t>
            </w:r>
          </w:p>
        </w:tc>
        <w:tc>
          <w:tcPr>
            <w:tcW w:type="dxa" w:w="43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Finish and stabilise the existing bounded asynchronous workflow before productionising it.</w:t>
            </w:r>
          </w:p>
        </w:tc>
        <w:tc>
          <w:tcPr>
            <w:tcW w:type="dxa" w:w="36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REST, UI and MCP continue to share one service and job model.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Supporting Evidence 1</w:t>
            </w:r>
          </w:p>
        </w:tc>
        <w:tc>
          <w:tcPr>
            <w:tcW w:type="dxa" w:w="43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20 tools work over real stdio and Streamable HTTP clients.</w:t>
            </w:r>
          </w:p>
        </w:tc>
        <w:tc>
          <w:tcPr>
            <w:tcW w:type="dxa" w:w="36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Submission returns durable job IDs and discovery starts no provider work.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Supporting Evidence 2</w:t>
            </w:r>
          </w:p>
        </w:tc>
        <w:tc>
          <w:tcPr>
            <w:tcW w:type="dxa" w:w="43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Lease, replay, checkpoint, queue, migration and export races have regression tests.</w:t>
            </w:r>
          </w:p>
        </w:tc>
        <w:tc>
          <w:tcPr>
            <w:tcW w:type="dxa" w:w="36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58 MCP and human-handoff tests pass; the complete repository suite passes 612 tests with 18 existing serialization warnings.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Supporting Evidence 3</w:t>
            </w:r>
          </w:p>
        </w:tc>
        <w:tc>
          <w:tcPr>
            <w:tcW w:type="dxa" w:w="43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Five-client, 1,000-run local performance passes every payload and latency gate.</w:t>
            </w:r>
          </w:p>
        </w:tc>
        <w:tc>
          <w:tcPr>
            <w:tcW w:type="dxa" w:w="36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Stdio p95 19 ms; HTTP p95 117 ms; catalogue 17,970 bytes; maximum response 4,982 bytes.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Repeat Cornerstone</w:t>
            </w:r>
          </w:p>
        </w:tc>
        <w:tc>
          <w:tcPr>
            <w:tcW w:type="dxa" w:w="43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Close the interactive local check, then harden the same workflow for shared use.</w:t>
            </w:r>
          </w:p>
        </w:tc>
        <w:tc>
          <w:tcPr>
            <w:tcW w:type="dxa" w:w="36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Preserve human approval, evidence semantics and provider accounting.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Conclusion and next steps</w:t>
            </w:r>
          </w:p>
        </w:tc>
        <w:tc>
          <w:tcPr>
            <w:tcW w:type="dxa" w:w="43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 the interactive Gate C.5 check before an approved Gate D deployment.</w:t>
            </w:r>
          </w:p>
        </w:tc>
        <w:tc>
          <w:tcPr>
            <w:tcW w:type="dxa" w:w="36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Stop if isolation, migrations, remote p95 or live completion experience fails.</w:t>
            </w:r>
          </w:p>
        </w:tc>
      </w:tr>
    </w:tbl>
    <w:p>
      <w:pPr>
        <w:spacing w:after="100"/>
      </w:pPr>
      <w:r>
        <w:rPr>
          <w:b w:val="false"/>
          <w:bCs w:val="fals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keepNext/>
      </w:pPr>
      <w:r>
        <w:t xml:space="preserve">Current Baseline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5446"/>
      </w:tblGrid>
      <w:tr>
        <w:trPr>
          <w:cantSplit/>
          <w:tblHeader/>
        </w:trPr>
        <w:tc>
          <w:tcPr>
            <w:tcW w:type="dxa" w:w="2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2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Gate</w:t>
            </w:r>
          </w:p>
        </w:tc>
        <w:tc>
          <w:tcPr>
            <w:tcW w:type="dxa" w:w="21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2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54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2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Evidence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A. SDK and contract</w:t>
            </w:r>
          </w:p>
        </w:tc>
        <w:tc>
          <w:tcPr>
            <w:tcW w:type="dxa" w:w="21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</w:t>
            </w:r>
          </w:p>
        </w:tc>
        <w:tc>
          <w:tcPr>
            <w:tcW w:type="dxa" w:w="54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mcp==2.2.0, 20 tools, real stdio and HTTP clients, structured results.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B. Governance parity</w:t>
            </w:r>
          </w:p>
        </w:tc>
        <w:tc>
          <w:tcPr>
            <w:tcW w:type="dxa" w:w="21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 locally</w:t>
            </w:r>
          </w:p>
        </w:tc>
        <w:tc>
          <w:tcPr>
            <w:tcW w:type="dxa" w:w="54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Six stages, human query approval, agent stage authorisation, owner isolation and 23-operation mock flow.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C/C.5 Local performance and VS Code</w:t>
            </w:r>
          </w:p>
        </w:tc>
        <w:tc>
          <w:tcPr>
            <w:tcW w:type="dxa" w:w="21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Automated proof complete; interactive pending</w:t>
            </w:r>
          </w:p>
        </w:tc>
        <w:tc>
          <w:tcPr>
            <w:tcW w:type="dxa" w:w="54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20-tool workspace discovery, full synthetic handoff, restart proof, five clients, 1,000 runs and 200 calls per transport.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D. Remote readiness</w:t>
            </w:r>
          </w:p>
        </w:tc>
        <w:tc>
          <w:tcPr>
            <w:tcW w:type="dxa" w:w="21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54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Needs approved hosting, Entra/OAuth, PostgreSQL, durable artifacts, web security and remote proof.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E. Live canary</w:t>
            </w:r>
          </w:p>
        </w:tc>
        <w:tc>
          <w:tcPr>
            <w:tcW w:type="dxa" w:w="21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Blocked</w:t>
            </w:r>
          </w:p>
        </w:tc>
        <w:tc>
          <w:tcPr>
            <w:tcW w:type="dxa" w:w="54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Needs Gate D pass plus explicit URL, roster, operation allowance, cost and retention approval.</w:t>
            </w:r>
          </w:p>
        </w:tc>
      </w:tr>
    </w:tbl>
    <w:p>
      <w:pPr>
        <w:spacing w:after="100"/>
      </w:pPr>
      <w:r>
        <w:rPr>
          <w:b w:val="false"/>
          <w:bCs w:val="false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400"/>
        <w:gridCol w:w="2946"/>
      </w:tblGrid>
      <w:tr>
        <w:trPr>
          <w:cantSplit/>
          <w:tblHeader/>
        </w:trPr>
        <w:tc>
          <w:tcPr>
            <w:tcW w:type="dxa" w:w="2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2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Measure</w:t>
            </w:r>
          </w:p>
        </w:tc>
        <w:tc>
          <w:tcPr>
            <w:tcW w:type="dxa" w:w="1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2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stdio</w:t>
            </w:r>
          </w:p>
        </w:tc>
        <w:tc>
          <w:tcPr>
            <w:tcW w:type="dxa" w:w="24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2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Streamable HTTP</w:t>
            </w:r>
          </w:p>
        </w:tc>
        <w:tc>
          <w:tcPr>
            <w:tcW w:type="dxa" w:w="29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2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Target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Warm p95</w:t>
            </w:r>
          </w:p>
        </w:tc>
        <w:tc>
          <w:tcPr>
            <w:tcW w:type="dxa" w:w="1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19 ms</w:t>
            </w:r>
          </w:p>
        </w:tc>
        <w:tc>
          <w:tcPr>
            <w:tcW w:type="dxa" w:w="24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117 ms</w:t>
            </w:r>
          </w:p>
        </w:tc>
        <w:tc>
          <w:tcPr>
            <w:tcW w:type="dxa" w:w="29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At most 2 seconds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Maximum duration</w:t>
            </w:r>
          </w:p>
        </w:tc>
        <w:tc>
          <w:tcPr>
            <w:tcW w:type="dxa" w:w="1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136 ms</w:t>
            </w:r>
          </w:p>
        </w:tc>
        <w:tc>
          <w:tcPr>
            <w:tcW w:type="dxa" w:w="24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169 ms</w:t>
            </w:r>
          </w:p>
        </w:tc>
        <w:tc>
          <w:tcPr>
            <w:tcW w:type="dxa" w:w="29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Reported separately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Maximum response</w:t>
            </w:r>
          </w:p>
        </w:tc>
        <w:tc>
          <w:tcPr>
            <w:tcW w:type="dxa" w:w="1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4,972 bytes</w:t>
            </w:r>
          </w:p>
        </w:tc>
        <w:tc>
          <w:tcPr>
            <w:tcW w:type="dxa" w:w="24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4,982 bytes</w:t>
            </w:r>
          </w:p>
        </w:tc>
        <w:tc>
          <w:tcPr>
            <w:tcW w:type="dxa" w:w="29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Default at most 16 KiB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Catalogue</w:t>
            </w:r>
          </w:p>
        </w:tc>
        <w:tc>
          <w:tcPr>
            <w:tcW w:type="dxa" w:w="1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17,970 bytes</w:t>
            </w:r>
          </w:p>
        </w:tc>
        <w:tc>
          <w:tcPr>
            <w:tcW w:type="dxa" w:w="24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17,970 bytes</w:t>
            </w:r>
          </w:p>
        </w:tc>
        <w:tc>
          <w:tcPr>
            <w:tcW w:type="dxa" w:w="29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At most 32 KiB</w:t>
            </w:r>
          </w:p>
        </w:tc>
      </w:tr>
    </w:tbl>
    <w:p>
      <w:pPr>
        <w:spacing w:after="100"/>
      </w:pP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Heading1"/>
        <w:keepNext/>
      </w:pPr>
      <w:r>
        <w:t xml:space="preserve">Safety Boundaries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cantSplit/>
          <w:tblHeader/>
        </w:trPr>
        <w:tc>
          <w:tcPr>
            <w:tcW w:type="dxa" w:w="2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2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Preserve</w:t>
            </w:r>
          </w:p>
        </w:tc>
        <w:tc>
          <w:tcPr>
            <w:tcW w:type="dxa" w:w="71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2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Required behaviour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Human authority</w:t>
            </w:r>
          </w:p>
        </w:tc>
        <w:tc>
          <w:tcPr>
            <w:tcW w:type="dxa" w:w="71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Exact-query approval and legacy draft decisions remain human-only.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Agent execution</w:t>
            </w:r>
          </w:p>
        </w:tc>
        <w:tc>
          <w:tcPr>
            <w:tcW w:type="dxa" w:w="71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Paid stages require owner/principal/run/revision/policy-bound human authorisation.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Admission</w:t>
            </w:r>
          </w:p>
        </w:tc>
        <w:tc>
          <w:tcPr>
            <w:tcW w:type="dxa" w:w="71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active job, 20 globally queued jobs and four queued jobs per owner.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Provider accounting</w:t>
            </w:r>
          </w:p>
        </w:tc>
        <w:tc>
          <w:tcPr>
            <w:tcW w:type="dxa" w:w="71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Claim and charge before dispatch; no automatic retry; ambiguous attempts remain charged.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Evidence</w:t>
            </w:r>
          </w:p>
        </w:tc>
        <w:tc>
          <w:tcPr>
            <w:tcW w:type="dxa" w:w="71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Checkpoint validated output; retain provenance and failed-call coverage.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Exports</w:t>
            </w:r>
          </w:p>
        </w:tc>
        <w:tc>
          <w:tcPr>
            <w:tcW w:type="dxa" w:w="71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Freeze the main ZIP; version companion outputs; never send ZIP bytes or storage keys to the model.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Live switch</w:t>
            </w:r>
          </w:p>
        </w:tc>
        <w:tc>
          <w:tcPr>
            <w:tcW w:type="dxa" w:w="71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Keep GEO_MCP_ALLOW_LIVE false until Gate D passes and Gate E is authorised.</w:t>
            </w:r>
          </w:p>
        </w:tc>
      </w:tr>
    </w:tbl>
    <w:p>
      <w:pPr>
        <w:spacing w:after="100"/>
      </w:pPr>
      <w:r>
        <w:rPr>
          <w:b w:val="false"/>
          <w:bCs w:val="fals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keepNext/>
      </w:pPr>
      <w:r>
        <w:t xml:space="preserve">Gate D: Remote Deployment Readiness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750"/>
        <w:gridCol w:w="3196"/>
      </w:tblGrid>
      <w:tr>
        <w:trPr>
          <w:cantSplit/>
          <w:tblHeader/>
        </w:trPr>
        <w:tc>
          <w:tcPr>
            <w:tcW w:type="dxa" w:w="1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2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475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2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Work</w:t>
            </w:r>
          </w:p>
        </w:tc>
        <w:tc>
          <w:tcPr>
            <w:tcW w:type="dxa" w:w="319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2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Completion evidence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D0 Decisions</w:t>
            </w:r>
          </w:p>
        </w:tc>
        <w:tc>
          <w:tcPr>
            <w:tcW w:type="dxa" w:w="475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 hosting, region, Foundry consumer, Entra tenant/audience/scopes, PostgreSQL, artifact storage, network, providers and owners.</w:t>
            </w:r>
          </w:p>
        </w:tc>
        <w:tc>
          <w:tcPr>
            <w:tcW w:type="dxa" w:w="319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Approved architecture and ownership record before provisioning.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D1 Data</w:t>
            </w:r>
          </w:p>
        </w:tc>
        <w:tc>
          <w:tcPr>
            <w:tcW w:type="dxa" w:w="475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Inject PostgreSQL and durable ArtifactStorage configuration; exercise migrations 0004/0005 plus multi-instance races.</w:t>
            </w:r>
          </w:p>
        </w:tc>
        <w:tc>
          <w:tcPr>
            <w:tcW w:type="dxa" w:w="319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PostgreSQL integration tests, migration rehearsal, backup/restore and unchanged hashes.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D2 Identity</w:t>
            </w:r>
          </w:p>
        </w:tc>
        <w:tc>
          <w:tcPr>
            <w:tcW w:type="dxa" w:w="475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 MCP SDK TokenVerifier/AuthSettings with Entra. Map delegated users and explicitly delegated app identities to owners.</w:t>
            </w:r>
          </w:p>
        </w:tc>
        <w:tc>
          <w:tcPr>
            <w:tcW w:type="dxa" w:w="319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Identity matrix for wrong owner, tenant, audience, expiry and missing scopes.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D3 Human web</w:t>
            </w:r>
          </w:p>
        </w:tc>
        <w:tc>
          <w:tcPr>
            <w:tcW w:type="dxa" w:w="475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approved human sign-in, secure cookies, CSRF and explicit Host/Origin policy.</w:t>
            </w:r>
          </w:p>
        </w:tc>
        <w:tc>
          <w:tcPr>
            <w:tcW w:type="dxa" w:w="319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 CSRF tests, human/agent route separation and browser parity.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D4 Runtime</w:t>
            </w:r>
          </w:p>
        </w:tc>
        <w:tc>
          <w:tcPr>
            <w:tcW w:type="dxa" w:w="475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Deploy API and worker separately; use managed identity; add safe logs, traces, heartbeats and graceful replacement.</w:t>
            </w:r>
          </w:p>
        </w:tc>
        <w:tc>
          <w:tcPr>
            <w:tcW w:type="dxa" w:w="319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Restart/reconnect, lease recovery and no discovery side effects.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D5 Remote proof</w:t>
            </w:r>
          </w:p>
        </w:tc>
        <w:tc>
          <w:tcPr>
            <w:tcW w:type="dxa" w:w="475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Repeat five-client, 1,000-run, 200-call workload through real HTTPS and authentication.</w:t>
            </w:r>
          </w:p>
        </w:tc>
        <w:tc>
          <w:tcPr>
            <w:tcW w:type="dxa" w:w="319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Remote p95 and payload report plus queue-race evidence.</w:t>
            </w:r>
          </w:p>
        </w:tc>
      </w:tr>
    </w:tbl>
    <w:p>
      <w:pPr>
        <w:spacing w:after="100"/>
      </w:pPr>
      <w:r>
        <w:rPr>
          <w:b w:val="false"/>
          <w:bCs w:val="false"/>
          <w:sz w:val="20"/>
          <w:szCs w:val="20"/>
        </w:rPr>
        <w:t xml:space="preserve"/>
      </w: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Recommended starting topology: Azure Container Apps with one API application and one separately managed worker, subject to platform-owner approval. Do not provision a default when tenant, region, ingress, retention or ownership is unresolved.</w:t>
      </w:r>
    </w:p>
    <w:p>
      <w:pPr>
        <w:pStyle w:val="Heading1"/>
        <w:keepNext/>
      </w:pPr>
      <w:r>
        <w:t xml:space="preserve">Gate D Acceptance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cantSplit/>
          <w:tblHeader/>
        </w:trPr>
        <w:tc>
          <w:tcPr>
            <w:tcW w:type="dxa" w:w="2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2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Target</w:t>
            </w:r>
          </w:p>
        </w:tc>
        <w:tc>
          <w:tcPr>
            <w:tcW w:type="dxa" w:w="71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2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Required result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Warm p95</w:t>
            </w:r>
          </w:p>
        </w:tc>
        <w:tc>
          <w:tcPr>
            <w:tcW w:type="dxa" w:w="71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At most 2 seconds including authentication, serialisation and remote network.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Payloads</w:t>
            </w:r>
          </w:p>
        </w:tc>
        <w:tc>
          <w:tcPr>
            <w:tcW w:type="dxa" w:w="71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Default at most 16 KiB; progress at most 8 KiB; details at most 64 KiB with continuation.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Catalogue</w:t>
            </w:r>
          </w:p>
        </w:tc>
        <w:tc>
          <w:tcPr>
            <w:tcW w:type="dxa" w:w="71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At most 32 KiB or the target client's stricter limit.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Isolation</w:t>
            </w:r>
          </w:p>
        </w:tc>
        <w:tc>
          <w:tcPr>
            <w:tcW w:type="dxa" w:w="71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cross-owner tool, resource, cursor, cache, artifact, cancellation or protocol-session access.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Queue</w:t>
            </w:r>
          </w:p>
        </w:tc>
        <w:tc>
          <w:tcPr>
            <w:tcW w:type="dxa" w:w="71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active, 20 globally queued and four per owner under concurrent REST and MCP submissions.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 cost</w:t>
            </w:r>
          </w:p>
        </w:tc>
        <w:tc>
          <w:tcPr>
            <w:tcW w:type="dxa" w:w="71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Zero provider calls from discovery, status, results, evidence, reports or exports.</w:t>
            </w:r>
          </w:p>
        </w:tc>
      </w:tr>
    </w:tbl>
    <w:p>
      <w:pPr>
        <w:spacing w:after="100"/>
      </w:pPr>
      <w:r>
        <w:rPr>
          <w:b w:val="false"/>
          <w:bCs w:val="fals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keepNext/>
      </w:pPr>
      <w:r>
        <w:t xml:space="preserve">Gate E: Separately Authorised Live Canary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946"/>
      </w:tblGrid>
      <w:tr>
        <w:trPr>
          <w:cantSplit/>
          <w:tblHeader/>
        </w:trPr>
        <w:tc>
          <w:tcPr>
            <w:tcW w:type="dxa" w:w="1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2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5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2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Procedure</w:t>
            </w:r>
          </w:p>
        </w:tc>
        <w:tc>
          <w:tcPr>
            <w:tcW w:type="dxa" w:w="29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2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Stop rule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E0 Authority</w:t>
            </w:r>
          </w:p>
        </w:tc>
        <w:tc>
          <w:tcPr>
            <w:tcW w:type="dxa" w:w="5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Record URL/domain, locale, roster, deployments, operation allowance, maximum cost, retention, time window and operator.</w:t>
            </w:r>
          </w:p>
        </w:tc>
        <w:tc>
          <w:tcPr>
            <w:tcW w:type="dxa" w:w="29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Do not reuse or mutate consumed grants.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E1 One profile</w:t>
            </w:r>
          </w:p>
        </w:tc>
        <w:tc>
          <w:tcPr>
            <w:tcW w:type="dxa" w:w="5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Run preparation plus five searches and five evaluations. Expected score-only ceiling: 13 operations.</w:t>
            </w:r>
          </w:p>
        </w:tc>
        <w:tc>
          <w:tcPr>
            <w:tcW w:type="dxa" w:w="29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Stop if access, accounting, evidence semantics, handoff or completion time is unsatisfactory.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E2 Three profiles</w:t>
            </w:r>
          </w:p>
        </w:tc>
        <w:tc>
          <w:tcPr>
            <w:tcW w:type="dxa" w:w="5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Reuse five ordered packets across 15 isolated evaluations. Expected score-only ceiling: 23 operations.</w:t>
            </w:r>
          </w:p>
        </w:tc>
        <w:tc>
          <w:tcPr>
            <w:tcW w:type="dxa" w:w="29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Do not claim three-profile readiness unless every deployment is verified.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E3 Decision</w:t>
            </w:r>
          </w:p>
        </w:tc>
        <w:tc>
          <w:tcPr>
            <w:tcW w:type="dxa" w:w="50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Compare control and provider latency, token use, errors, charged counts, coverage and output parity.</w:t>
            </w:r>
          </w:p>
        </w:tc>
        <w:tc>
          <w:tcPr>
            <w:tcW w:type="dxa" w:w="29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Choose shared, narrowed, read-only or stopped mode. Fast submission alone is not success.</w:t>
            </w:r>
          </w:p>
        </w:tc>
      </w:tr>
    </w:tbl>
    <w:p>
      <w:pPr>
        <w:spacing w:after="100"/>
      </w:pP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Heading1"/>
        <w:keepNext/>
      </w:pPr>
      <w:r>
        <w:t xml:space="preserve">Developer Work Order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50"/>
        <w:gridCol w:w="2396"/>
      </w:tblGrid>
      <w:tr>
        <w:trPr>
          <w:cantSplit/>
          <w:tblHeader/>
        </w:trPr>
        <w:tc>
          <w:tcPr>
            <w:tcW w:type="dxa" w:w="2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2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75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2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Work</w:t>
            </w:r>
          </w:p>
        </w:tc>
        <w:tc>
          <w:tcPr>
            <w:tcW w:type="dxa" w:w="239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2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Depends on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remote-decisions</w:t>
            </w:r>
          </w:p>
        </w:tc>
        <w:tc>
          <w:tcPr>
            <w:tcW w:type="dxa" w:w="475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Approve hosting, identity, data, network, provider and ownership decisions.</w:t>
            </w:r>
          </w:p>
        </w:tc>
        <w:tc>
          <w:tcPr>
            <w:tcW w:type="dxa" w:w="239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Interactive Gate C.5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postgres-artifacts</w:t>
            </w:r>
          </w:p>
        </w:tc>
        <w:tc>
          <w:tcPr>
            <w:tcW w:type="dxa" w:w="475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PostgreSQL and durable artifacts.</w:t>
            </w:r>
          </w:p>
        </w:tc>
        <w:tc>
          <w:tcPr>
            <w:tcW w:type="dxa" w:w="239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remote-decisions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entra-mcp-auth</w:t>
            </w:r>
          </w:p>
        </w:tc>
        <w:tc>
          <w:tcPr>
            <w:tcW w:type="dxa" w:w="475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MCP OAuth/Entra validation and delegation.</w:t>
            </w:r>
          </w:p>
        </w:tc>
        <w:tc>
          <w:tcPr>
            <w:tcW w:type="dxa" w:w="239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remote-decisions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human-web-auth</w:t>
            </w:r>
          </w:p>
        </w:tc>
        <w:tc>
          <w:tcPr>
            <w:tcW w:type="dxa" w:w="475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 secure human sessions and CSRF.</w:t>
            </w:r>
          </w:p>
        </w:tc>
        <w:tc>
          <w:tcPr>
            <w:tcW w:type="dxa" w:w="239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remote-decisions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hosted-worker</w:t>
            </w:r>
          </w:p>
        </w:tc>
        <w:tc>
          <w:tcPr>
            <w:tcW w:type="dxa" w:w="475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Deploy the separately managed owner/policy-aware worker.</w:t>
            </w:r>
          </w:p>
        </w:tc>
        <w:tc>
          <w:tcPr>
            <w:tcW w:type="dxa" w:w="239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postgres-artifacts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remote-observability</w:t>
            </w:r>
          </w:p>
        </w:tc>
        <w:tc>
          <w:tcPr>
            <w:tcW w:type="dxa" w:w="475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Add safe logs, traces and dashboards.</w:t>
            </w:r>
          </w:p>
        </w:tc>
        <w:tc>
          <w:tcPr>
            <w:tcW w:type="dxa" w:w="239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hosted-worker; entra-mcp-auth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remote-gate-c</w:t>
            </w:r>
          </w:p>
        </w:tc>
        <w:tc>
          <w:tcPr>
            <w:tcW w:type="dxa" w:w="475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Repeat performance, payload and admission proof remotely.</w:t>
            </w:r>
          </w:p>
        </w:tc>
        <w:tc>
          <w:tcPr>
            <w:tcW w:type="dxa" w:w="239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Gate D work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live-one-profile</w:t>
            </w:r>
          </w:p>
        </w:tc>
        <w:tc>
          <w:tcPr>
            <w:tcW w:type="dxa" w:w="475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Run the authorised 13-operation canary.</w:t>
            </w:r>
          </w:p>
        </w:tc>
        <w:tc>
          <w:tcPr>
            <w:tcW w:type="dxa" w:w="239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Gate D; live authority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live-three-profile</w:t>
            </w:r>
          </w:p>
        </w:tc>
        <w:tc>
          <w:tcPr>
            <w:tcW w:type="dxa" w:w="475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Run the authorised 23-operation canary.</w:t>
            </w:r>
          </w:p>
        </w:tc>
        <w:tc>
          <w:tcPr>
            <w:tcW w:type="dxa" w:w="239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One-profile acceptance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release-decision</w:t>
            </w:r>
          </w:p>
        </w:tc>
        <w:tc>
          <w:tcPr>
            <w:tcW w:type="dxa" w:w="475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Select shared, narrowed, read-only or stopped mode.</w:t>
            </w:r>
          </w:p>
        </w:tc>
        <w:tc>
          <w:tcPr>
            <w:tcW w:type="dxa" w:w="239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Canary evidence</w:t>
            </w:r>
          </w:p>
        </w:tc>
      </w:tr>
    </w:tbl>
    <w:p>
      <w:pPr>
        <w:spacing w:after="100"/>
      </w:pPr>
      <w:r>
        <w:rPr>
          <w:b w:val="false"/>
          <w:bCs w:val="fals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keepNext/>
      </w:pPr>
      <w:r>
        <w:t xml:space="preserve">First Day for the Next Developer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546"/>
      </w:tblGrid>
      <w:tr>
        <w:trPr>
          <w:cantSplit/>
          <w:tblHeader/>
        </w:trPr>
        <w:tc>
          <w:tcPr>
            <w:tcW w:type="dxa" w:w="1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2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85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E2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5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 geo-agent-mcp-next-gates-plan.md, geo-agent/AGENTS.md and geo-agent/README.md.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5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 the branch contains the MCP implementation commit and the worktree is clean.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5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Run the workspace and end-to-end verifiers, then confirm the 612-test baseline before Gate D.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5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Run the browser harness and tests/measure_mcp_performance.py before infrastructure changes.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5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Inspect mcp_server.py, measurement_service.py, agent_access.py, persistence.py, worker.py, api.py and live_runtime.py.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5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Close the interactive Gate C.5 check before provisioning any Azure resource.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546"/>
            <w:tcBorders>
              <w:top w:val="single" w:color="CBD5E1" w:sz="3"/>
              <w:left w:val="single" w:color="CBD5E1" w:sz="3"/>
              <w:bottom w:val="single" w:color="CBD5E1" w:sz="3"/>
              <w:right w:val="single" w:color="CBD5E1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Keep GEO_MCP_ALLOW_LIVE false until Gate D passes and Gate E is separately authorised.</w:t>
            </w:r>
          </w:p>
        </w:tc>
      </w:tr>
    </w:tbl>
    <w:p>
      <w:pPr>
        <w:spacing w:after="100"/>
      </w:pPr>
      <w:r>
        <w:rPr>
          <w:b w:val="false"/>
          <w:bCs w:val="false"/>
          <w:sz w:val="20"/>
          <w:szCs w:val="20"/>
        </w:rPr>
        <w:t xml:space="preserve"/>
      </w:r>
    </w:p>
    <w:p>
      <w:pPr>
        <w:pStyle w:val="Heading1"/>
        <w:keepNext/>
      </w:pPr>
      <w:r>
        <w:t xml:space="preserve">Source Links</w:t>
      </w:r>
    </w:p>
    <w:p>
      <w:pPr>
        <w:spacing w:after="80"/>
      </w:pPr>
      <w:hyperlink w:history="1" r:id="rIdeptsigsz0tihn2s61r31l">
        <w:r>
          <w:rPr>
            <w:rStyle w:val="Hyperlink"/>
          </w:rPr>
          <w:t xml:space="preserve">Authoritative Markdown handoff</w:t>
        </w:r>
      </w:hyperlink>
    </w:p>
    <w:p>
      <w:pPr>
        <w:spacing w:after="80"/>
      </w:pPr>
      <w:hyperlink w:history="1" r:id="rIds47yeuys7af5xp1j-6bf8">
        <w:r>
          <w:rPr>
            <w:rStyle w:val="Hyperlink"/>
          </w:rPr>
          <w:t xml:space="preserve">GEO agent README</w:t>
        </w:r>
      </w:hyperlink>
    </w:p>
    <w:p>
      <w:pPr>
        <w:spacing w:after="80"/>
      </w:pPr>
      <w:hyperlink w:history="1" r:id="rIdkqryqoruuig0wzwybainz">
        <w:r>
          <w:rPr>
            <w:rStyle w:val="Hyperlink"/>
          </w:rPr>
          <w:t xml:space="preserve">MCP server</w:t>
        </w:r>
      </w:hyperlink>
    </w:p>
    <w:p>
      <w:pPr>
        <w:spacing w:after="80"/>
      </w:pPr>
      <w:hyperlink w:history="1" r:id="rId9lrdfockt1hgwzqssd1ce">
        <w:r>
          <w:rPr>
            <w:rStyle w:val="Hyperlink"/>
          </w:rPr>
          <w:t xml:space="preserve">Shared application service</w:t>
        </w:r>
      </w:hyperlink>
    </w:p>
    <w:p>
      <w:pPr>
        <w:spacing w:after="80"/>
      </w:pPr>
      <w:hyperlink w:history="1" r:id="rIdjwjdlhkes-0s_qrc6qlro">
        <w:r>
          <w:rPr>
            <w:rStyle w:val="Hyperlink"/>
          </w:rPr>
          <w:t xml:space="preserve">Persistence and lifecycle</w:t>
        </w:r>
      </w:hyperlink>
    </w:p>
    <w:p>
      <w:pPr>
        <w:spacing w:after="80"/>
      </w:pPr>
      <w:hyperlink w:history="1" r:id="rIdtehkd__jjhgq2yy2wdmfa">
        <w:r>
          <w:rPr>
            <w:rStyle w:val="Hyperlink"/>
          </w:rPr>
          <w:t xml:space="preserve">Local performance baseline</w:t>
        </w:r>
      </w:hyperlink>
    </w:p>
    <w:p>
      <w:pPr>
        <w:spacing w:after="80"/>
      </w:pPr>
      <w:hyperlink w:history="1" r:id="rIdbtzad0zibgp44cznbplys">
        <w:r>
          <w:rPr>
            <w:rStyle w:val="Hyperlink"/>
          </w:rPr>
          <w:t xml:space="preserve">Official Python MCP SDK</w:t>
        </w:r>
      </w:hyperlink>
    </w:p>
    <w:p>
      <w:pPr>
        <w:spacing w:after="80"/>
      </w:pPr>
      <w:hyperlink w:history="1" r:id="rIdlsbdgqigkkjxpyp8sou6m">
        <w:r>
          <w:rPr>
            <w:rStyle w:val="Hyperlink"/>
          </w:rPr>
          <w:t xml:space="preserve">Microsoft Foundry MCP guidance</w:t>
        </w:r>
      </w:hyperlink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Recommendation: proceed with Gate D only after the interactive Gate C.5 check passes and the platform owner approves the environment and identity model. Do not provision live capacity or enable live MCP until Gate D passes and Gate E has written authorisation.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75569"/>
        <w:sz w:val="17"/>
        <w:szCs w:val="17"/>
      </w:rPr>
      <w:t xml:space="preserve">Gates C.5-E | Page </w:t>
    </w:r>
    <w:r>
      <w:rPr>
        <w:color w:val="47556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1"/>
      </w:pBdr>
    </w:pPr>
    <w:r>
      <w:rPr>
        <w:color w:val="475569"/>
        <w:sz w:val="17"/>
        <w:szCs w:val="17"/>
      </w:rPr>
      <w:t xml:space="preserve">GEO MCP Server | Developer Handoff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40"/>
    </w:pPr>
    <w:rPr>
      <w:rFonts w:ascii="Arial" w:cs="Arial" w:eastAsia="Arial" w:hAnsi="Arial"/>
      <w:b/>
      <w:bCs/>
      <w:color w:val="000000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00" w:before="16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eptsigsz0tihn2s61r31l" Type="http://schemas.openxmlformats.org/officeDocument/2006/relationships/hyperlink" Target="https://github.com/johnmcgarvey8/Hackathon2026/blob/agents/mcp-agent-tool-exposure-assessment/geo-agent-mcp-next-gates-plan.md" TargetMode="External"/><Relationship Id="rIds47yeuys7af5xp1j-6bf8" Type="http://schemas.openxmlformats.org/officeDocument/2006/relationships/hyperlink" Target="https://github.com/johnmcgarvey8/Hackathon2026/blob/agents/mcp-agent-tool-exposure-assessment/geo-agent/README.md" TargetMode="External"/><Relationship Id="rIdkqryqoruuig0wzwybainz" Type="http://schemas.openxmlformats.org/officeDocument/2006/relationships/hyperlink" Target="https://github.com/johnmcgarvey8/Hackathon2026/blob/agents/mcp-agent-tool-exposure-assessment/geo-agent/src/geo_agent/mcp_server.py" TargetMode="External"/><Relationship Id="rId9lrdfockt1hgwzqssd1ce" Type="http://schemas.openxmlformats.org/officeDocument/2006/relationships/hyperlink" Target="https://github.com/johnmcgarvey8/Hackathon2026/blob/agents/mcp-agent-tool-exposure-assessment/geo-agent/src/geo_agent/measurement_service.py" TargetMode="External"/><Relationship Id="rIdjwjdlhkes-0s_qrc6qlro" Type="http://schemas.openxmlformats.org/officeDocument/2006/relationships/hyperlink" Target="https://github.com/johnmcgarvey8/Hackathon2026/blob/agents/mcp-agent-tool-exposure-assessment/geo-agent/src/geo_agent/persistence.py" TargetMode="External"/><Relationship Id="rIdtehkd__jjhgq2yy2wdmfa" Type="http://schemas.openxmlformats.org/officeDocument/2006/relationships/hyperlink" Target="https://github.com/johnmcgarvey8/Hackathon2026/blob/agents/mcp-agent-tool-exposure-assessment/geo-agent/docs/mcp-local-performance-baseline.json" TargetMode="External"/><Relationship Id="rIdbtzad0zibgp44cznbplys" Type="http://schemas.openxmlformats.org/officeDocument/2006/relationships/hyperlink" Target="https://github.com/modelcontextprotocol/python-sdk" TargetMode="External"/><Relationship Id="rIdlsbdgqigkkjxpyp8sou6m" Type="http://schemas.openxmlformats.org/officeDocument/2006/relationships/hyperlink" Target="https://learn.microsoft.com/azure/foundry/agents/how-to/tools/model-context-protocol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 MCP Server: Next Gates Developer Plan</dc:title>
  <dc:subject>Developer handoff for remote readiness and live acceptance</dc:subject>
  <dc:creator>Copilot</dc:creator>
  <cp:lastModifiedBy>Un-named</cp:lastModifiedBy>
  <cp:revision>1</cp:revision>
  <dcterms:created xsi:type="dcterms:W3CDTF">2026-09-18T10:13:21.793Z</dcterms:created>
  <dcterms:modified xsi:type="dcterms:W3CDTF">2026-09-18T10:13:21.795Z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