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1FB4" w:rsidRPr="00701FB4" w:rsidRDefault="00701FB4" w:rsidP="00701FB4">
      <w:pPr>
        <w:pStyle w:val="Sinespaciado"/>
        <w:jc w:val="both"/>
        <w:rPr>
          <w:b/>
          <w:sz w:val="32"/>
          <w:szCs w:val="32"/>
          <w:lang w:eastAsia="es-CO"/>
        </w:rPr>
      </w:pPr>
      <w:r w:rsidRPr="00A73169">
        <w:rPr>
          <w:b/>
          <w:sz w:val="32"/>
          <w:szCs w:val="32"/>
          <w:highlight w:val="yellow"/>
          <w:lang w:eastAsia="es-CO"/>
        </w:rPr>
        <w:t>PROCEDENCIA DE EMBARGO EN LA PROPIEDAD FIDUCIARIA</w:t>
      </w:r>
    </w:p>
    <w:p w:rsidR="00701FB4" w:rsidRDefault="00701FB4" w:rsidP="00701FB4">
      <w:pPr>
        <w:pStyle w:val="Sinespaciado"/>
        <w:jc w:val="both"/>
        <w:rPr>
          <w:sz w:val="32"/>
          <w:szCs w:val="32"/>
          <w:lang w:eastAsia="es-CO"/>
        </w:rPr>
      </w:pPr>
    </w:p>
    <w:p w:rsidR="00701FB4" w:rsidRDefault="00701FB4" w:rsidP="00701FB4">
      <w:pPr>
        <w:pStyle w:val="Sinespaciado"/>
        <w:jc w:val="both"/>
        <w:rPr>
          <w:sz w:val="32"/>
          <w:szCs w:val="32"/>
          <w:lang w:eastAsia="es-CO"/>
        </w:rPr>
      </w:pPr>
    </w:p>
    <w:p w:rsidR="00701FB4" w:rsidRPr="00701FB4" w:rsidRDefault="00701FB4" w:rsidP="00701FB4">
      <w:pPr>
        <w:pStyle w:val="Sinespaciado"/>
        <w:jc w:val="both"/>
        <w:rPr>
          <w:sz w:val="32"/>
          <w:szCs w:val="32"/>
          <w:lang w:eastAsia="es-CO"/>
        </w:rPr>
      </w:pPr>
      <w:r w:rsidRPr="00701FB4">
        <w:rPr>
          <w:sz w:val="32"/>
          <w:szCs w:val="32"/>
          <w:lang w:eastAsia="es-CO"/>
        </w:rPr>
        <w:t xml:space="preserve">Se debe comenzar explicando que </w:t>
      </w:r>
      <w:r w:rsidRPr="00701FB4">
        <w:rPr>
          <w:b/>
          <w:sz w:val="32"/>
          <w:szCs w:val="32"/>
          <w:highlight w:val="yellow"/>
          <w:lang w:eastAsia="es-CO"/>
        </w:rPr>
        <w:t>el listado de bienes inembargables consagrado en el artículo 1677 del </w:t>
      </w:r>
      <w:hyperlink r:id="rId4" w:history="1">
        <w:r w:rsidRPr="00701FB4">
          <w:rPr>
            <w:b/>
            <w:sz w:val="32"/>
            <w:szCs w:val="32"/>
            <w:highlight w:val="yellow"/>
            <w:u w:val="single"/>
            <w:lang w:eastAsia="es-CO"/>
          </w:rPr>
          <w:t>Código Civil</w:t>
        </w:r>
      </w:hyperlink>
      <w:r w:rsidRPr="00701FB4">
        <w:rPr>
          <w:b/>
          <w:sz w:val="32"/>
          <w:szCs w:val="32"/>
          <w:highlight w:val="yellow"/>
          <w:lang w:eastAsia="es-CO"/>
        </w:rPr>
        <w:t> fue adicionado por el artículo 1004 de la Ley 105 de 1931</w:t>
      </w:r>
      <w:r w:rsidRPr="00701FB4">
        <w:rPr>
          <w:sz w:val="32"/>
          <w:szCs w:val="32"/>
          <w:lang w:eastAsia="es-CO"/>
        </w:rPr>
        <w:t xml:space="preserve">, pero el mismo </w:t>
      </w:r>
      <w:r w:rsidRPr="00701FB4">
        <w:rPr>
          <w:sz w:val="32"/>
          <w:szCs w:val="32"/>
          <w:highlight w:val="green"/>
          <w:lang w:eastAsia="es-CO"/>
        </w:rPr>
        <w:t>fue derogado por subrogación por el artículo 684 del Código de Procedimiento Civil, que, a su vez, fue derogado expresamente por el </w:t>
      </w:r>
      <w:hyperlink r:id="rId5" w:history="1">
        <w:r w:rsidRPr="00701FB4">
          <w:rPr>
            <w:sz w:val="32"/>
            <w:szCs w:val="32"/>
            <w:highlight w:val="green"/>
            <w:u w:val="single"/>
            <w:lang w:eastAsia="es-CO"/>
          </w:rPr>
          <w:t>artículo 626 del Código General del Proceso</w:t>
        </w:r>
      </w:hyperlink>
      <w:r w:rsidRPr="00701FB4">
        <w:rPr>
          <w:sz w:val="32"/>
          <w:szCs w:val="32"/>
          <w:lang w:eastAsia="es-CO"/>
        </w:rPr>
        <w:t> (CGP).</w:t>
      </w:r>
    </w:p>
    <w:p w:rsidR="00701FB4" w:rsidRPr="00701FB4" w:rsidRDefault="00701FB4" w:rsidP="00701FB4">
      <w:pPr>
        <w:pStyle w:val="Sinespaciado"/>
        <w:jc w:val="both"/>
        <w:rPr>
          <w:sz w:val="32"/>
          <w:szCs w:val="32"/>
          <w:lang w:eastAsia="es-CO"/>
        </w:rPr>
      </w:pPr>
      <w:r w:rsidRPr="00701FB4">
        <w:rPr>
          <w:sz w:val="32"/>
          <w:szCs w:val="32"/>
          <w:lang w:eastAsia="es-CO"/>
        </w:rPr>
        <w:t> </w:t>
      </w:r>
    </w:p>
    <w:p w:rsidR="00701FB4" w:rsidRDefault="00701FB4" w:rsidP="00701FB4">
      <w:pPr>
        <w:pStyle w:val="Sinespaciado"/>
        <w:jc w:val="both"/>
        <w:rPr>
          <w:sz w:val="32"/>
          <w:szCs w:val="32"/>
          <w:lang w:eastAsia="es-CO"/>
        </w:rPr>
      </w:pPr>
      <w:r w:rsidRPr="00701FB4">
        <w:rPr>
          <w:sz w:val="32"/>
          <w:szCs w:val="32"/>
          <w:lang w:eastAsia="es-CO"/>
        </w:rPr>
        <w:t xml:space="preserve">Ello quiere decir que la norma vigente en materia de </w:t>
      </w:r>
      <w:r w:rsidRPr="00701FB4">
        <w:rPr>
          <w:b/>
          <w:sz w:val="32"/>
          <w:szCs w:val="32"/>
          <w:highlight w:val="yellow"/>
          <w:lang w:eastAsia="es-CO"/>
        </w:rPr>
        <w:t>inembargabilidad de bienes es el artículo 594 del CGP</w:t>
      </w:r>
      <w:r w:rsidRPr="00701FB4">
        <w:rPr>
          <w:sz w:val="32"/>
          <w:szCs w:val="32"/>
          <w:lang w:eastAsia="es-CO"/>
        </w:rPr>
        <w:t>, el cual amplió el espectro de inembargabilidad pero no otorgó este atributo a la propiedad fiduciaria.</w:t>
      </w:r>
    </w:p>
    <w:p w:rsidR="00701FB4" w:rsidRDefault="00701FB4" w:rsidP="00701FB4">
      <w:pPr>
        <w:pStyle w:val="Sinespaciado"/>
        <w:jc w:val="both"/>
        <w:rPr>
          <w:sz w:val="32"/>
          <w:szCs w:val="32"/>
          <w:lang w:eastAsia="es-CO"/>
        </w:rPr>
      </w:pPr>
    </w:p>
    <w:p w:rsidR="00701FB4" w:rsidRPr="00701FB4" w:rsidRDefault="00701FB4" w:rsidP="00701FB4">
      <w:pPr>
        <w:pStyle w:val="Sinespaciado"/>
        <w:jc w:val="both"/>
        <w:rPr>
          <w:sz w:val="32"/>
          <w:szCs w:val="32"/>
          <w:lang w:eastAsia="es-CO"/>
        </w:rPr>
      </w:pPr>
      <w:r w:rsidRPr="00701FB4">
        <w:rPr>
          <w:sz w:val="32"/>
          <w:szCs w:val="32"/>
          <w:lang w:eastAsia="es-CO"/>
        </w:rPr>
        <w:t xml:space="preserve">Se entiende por </w:t>
      </w:r>
      <w:r w:rsidRPr="00701FB4">
        <w:rPr>
          <w:b/>
          <w:sz w:val="32"/>
          <w:szCs w:val="32"/>
          <w:lang w:eastAsia="es-CO"/>
        </w:rPr>
        <w:t>propiedad fiduciaria, en virtud del artículo 794 del </w:t>
      </w:r>
      <w:hyperlink r:id="rId6" w:history="1">
        <w:r w:rsidRPr="00701FB4">
          <w:rPr>
            <w:b/>
            <w:sz w:val="32"/>
            <w:szCs w:val="32"/>
            <w:u w:val="single"/>
            <w:lang w:eastAsia="es-CO"/>
          </w:rPr>
          <w:t>Código Civil</w:t>
        </w:r>
      </w:hyperlink>
      <w:r w:rsidRPr="00701FB4">
        <w:rPr>
          <w:b/>
          <w:sz w:val="32"/>
          <w:szCs w:val="32"/>
          <w:lang w:eastAsia="es-CO"/>
        </w:rPr>
        <w:t>, la que está sujeta al gravamen de pasar a otra persona por el hecho de verificarse una condición</w:t>
      </w:r>
      <w:r w:rsidRPr="00701FB4">
        <w:rPr>
          <w:sz w:val="32"/>
          <w:szCs w:val="32"/>
          <w:lang w:eastAsia="es-CO"/>
        </w:rPr>
        <w:t xml:space="preserve">. </w:t>
      </w:r>
      <w:r w:rsidRPr="00701FB4">
        <w:rPr>
          <w:sz w:val="32"/>
          <w:szCs w:val="32"/>
          <w:highlight w:val="yellow"/>
          <w:lang w:eastAsia="es-CO"/>
        </w:rPr>
        <w:t>La traslación de la propiedad a la persona en cuyo favor se ha constituido el fideicomiso se llama restitución</w:t>
      </w:r>
      <w:r w:rsidRPr="00701FB4">
        <w:rPr>
          <w:sz w:val="32"/>
          <w:szCs w:val="32"/>
          <w:lang w:eastAsia="es-CO"/>
        </w:rPr>
        <w:t>.</w:t>
      </w:r>
    </w:p>
    <w:p w:rsidR="00701FB4" w:rsidRPr="00701FB4" w:rsidRDefault="00701FB4" w:rsidP="00701FB4">
      <w:pPr>
        <w:pStyle w:val="Sinespaciado"/>
        <w:jc w:val="both"/>
        <w:rPr>
          <w:sz w:val="32"/>
          <w:szCs w:val="32"/>
          <w:lang w:eastAsia="es-CO"/>
        </w:rPr>
      </w:pPr>
      <w:r w:rsidRPr="00701FB4">
        <w:rPr>
          <w:sz w:val="32"/>
          <w:szCs w:val="32"/>
          <w:lang w:eastAsia="es-CO"/>
        </w:rPr>
        <w:t> </w:t>
      </w:r>
    </w:p>
    <w:p w:rsidR="00701FB4" w:rsidRPr="00701FB4" w:rsidRDefault="00701FB4" w:rsidP="00701FB4">
      <w:pPr>
        <w:pStyle w:val="Sinespaciado"/>
        <w:jc w:val="both"/>
        <w:rPr>
          <w:sz w:val="32"/>
          <w:szCs w:val="32"/>
          <w:lang w:eastAsia="es-CO"/>
        </w:rPr>
      </w:pPr>
      <w:r w:rsidRPr="00701FB4">
        <w:rPr>
          <w:sz w:val="32"/>
          <w:szCs w:val="32"/>
          <w:lang w:eastAsia="es-CO"/>
        </w:rPr>
        <w:t xml:space="preserve">Así las cosas, indicó la Superintendencia de Sociedades, la </w:t>
      </w:r>
      <w:r w:rsidRPr="00701FB4">
        <w:rPr>
          <w:sz w:val="32"/>
          <w:szCs w:val="32"/>
          <w:highlight w:val="yellow"/>
          <w:lang w:eastAsia="es-CO"/>
        </w:rPr>
        <w:t>inembargabilidad de los bienes en ningún caso es absoluta</w:t>
      </w:r>
      <w:r w:rsidRPr="00701FB4">
        <w:rPr>
          <w:sz w:val="32"/>
          <w:szCs w:val="32"/>
          <w:lang w:eastAsia="es-CO"/>
        </w:rPr>
        <w:t xml:space="preserve"> y no puede utilizarse para desconocer la ley, defraudar a terceros o afectar la prenda general de los acreedores, </w:t>
      </w:r>
      <w:r w:rsidRPr="00701FB4">
        <w:rPr>
          <w:sz w:val="32"/>
          <w:szCs w:val="32"/>
          <w:u w:val="single"/>
          <w:lang w:eastAsia="es-CO"/>
        </w:rPr>
        <w:t xml:space="preserve">por lo que </w:t>
      </w:r>
      <w:r w:rsidRPr="00701FB4">
        <w:rPr>
          <w:sz w:val="32"/>
          <w:szCs w:val="32"/>
          <w:highlight w:val="yellow"/>
          <w:u w:val="single"/>
          <w:lang w:eastAsia="es-CO"/>
        </w:rPr>
        <w:t>es necesario que el juez analice en cada caso la procedencia de la práctica de medidas de embargo y secuestro respecto de bienes fideicomitidos</w:t>
      </w:r>
      <w:r w:rsidRPr="00701FB4">
        <w:rPr>
          <w:sz w:val="32"/>
          <w:szCs w:val="32"/>
          <w:lang w:eastAsia="es-CO"/>
        </w:rPr>
        <w:t>.</w:t>
      </w:r>
    </w:p>
    <w:p w:rsidR="00701FB4" w:rsidRPr="00701FB4" w:rsidRDefault="00701FB4" w:rsidP="00701FB4">
      <w:pPr>
        <w:pStyle w:val="Sinespaciado"/>
        <w:jc w:val="both"/>
        <w:rPr>
          <w:sz w:val="32"/>
          <w:szCs w:val="32"/>
          <w:lang w:eastAsia="es-CO"/>
        </w:rPr>
      </w:pPr>
      <w:r w:rsidRPr="00701FB4">
        <w:rPr>
          <w:sz w:val="32"/>
          <w:szCs w:val="32"/>
          <w:lang w:eastAsia="es-CO"/>
        </w:rPr>
        <w:t> </w:t>
      </w:r>
    </w:p>
    <w:p w:rsidR="00701FB4" w:rsidRPr="00701FB4" w:rsidRDefault="00701FB4" w:rsidP="00701FB4">
      <w:pPr>
        <w:pStyle w:val="Sinespaciado"/>
        <w:jc w:val="both"/>
        <w:rPr>
          <w:sz w:val="32"/>
          <w:szCs w:val="32"/>
          <w:lang w:eastAsia="es-CO"/>
        </w:rPr>
      </w:pPr>
      <w:r w:rsidRPr="00701FB4">
        <w:rPr>
          <w:sz w:val="32"/>
          <w:szCs w:val="32"/>
          <w:lang w:eastAsia="es-CO"/>
        </w:rPr>
        <w:t>Finalmente, debe decirse que la entidad dio así alcance a varios pronunciamientos suyos, entre ellos el Concepto 220-21816 del 2017.</w:t>
      </w:r>
    </w:p>
    <w:p w:rsidR="00701FB4" w:rsidRPr="00701FB4" w:rsidRDefault="00701FB4" w:rsidP="00701FB4">
      <w:pPr>
        <w:pStyle w:val="Sinespaciado"/>
        <w:jc w:val="both"/>
        <w:rPr>
          <w:sz w:val="32"/>
          <w:szCs w:val="32"/>
          <w:lang w:eastAsia="es-CO"/>
        </w:rPr>
      </w:pPr>
      <w:r w:rsidRPr="00701FB4">
        <w:rPr>
          <w:sz w:val="32"/>
          <w:szCs w:val="32"/>
          <w:lang w:eastAsia="es-CO"/>
        </w:rPr>
        <w:t> </w:t>
      </w:r>
    </w:p>
    <w:p w:rsidR="00701FB4" w:rsidRPr="00701FB4" w:rsidRDefault="00701FB4" w:rsidP="00701FB4">
      <w:pPr>
        <w:pStyle w:val="Sinespaciado"/>
        <w:jc w:val="both"/>
        <w:rPr>
          <w:sz w:val="32"/>
          <w:szCs w:val="32"/>
          <w:lang w:eastAsia="es-CO"/>
        </w:rPr>
      </w:pPr>
      <w:bookmarkStart w:id="0" w:name="_GoBack"/>
      <w:bookmarkEnd w:id="0"/>
      <w:proofErr w:type="spellStart"/>
      <w:r w:rsidRPr="00701FB4">
        <w:rPr>
          <w:sz w:val="32"/>
          <w:szCs w:val="32"/>
          <w:lang w:eastAsia="es-CO"/>
        </w:rPr>
        <w:t>Supersociedades</w:t>
      </w:r>
      <w:proofErr w:type="spellEnd"/>
      <w:r w:rsidRPr="00701FB4">
        <w:rPr>
          <w:sz w:val="32"/>
          <w:szCs w:val="32"/>
          <w:lang w:eastAsia="es-CO"/>
        </w:rPr>
        <w:t>, Concepto 220-111308, May. 31/17</w:t>
      </w:r>
    </w:p>
    <w:sectPr w:rsidR="00701FB4" w:rsidRPr="00701F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FB4"/>
    <w:rsid w:val="00024154"/>
    <w:rsid w:val="000558DD"/>
    <w:rsid w:val="000C51DD"/>
    <w:rsid w:val="002408B0"/>
    <w:rsid w:val="00375C38"/>
    <w:rsid w:val="00560868"/>
    <w:rsid w:val="005A78BF"/>
    <w:rsid w:val="00701FB4"/>
    <w:rsid w:val="00775717"/>
    <w:rsid w:val="007834FB"/>
    <w:rsid w:val="00935C1A"/>
    <w:rsid w:val="00A06AC0"/>
    <w:rsid w:val="00A23182"/>
    <w:rsid w:val="00A73169"/>
    <w:rsid w:val="00C563E3"/>
    <w:rsid w:val="00C7657B"/>
    <w:rsid w:val="00CE0CCB"/>
    <w:rsid w:val="00CE1212"/>
    <w:rsid w:val="00D866A7"/>
    <w:rsid w:val="00DB33D4"/>
    <w:rsid w:val="00ED7575"/>
    <w:rsid w:val="00F32D04"/>
    <w:rsid w:val="00F71055"/>
    <w:rsid w:val="00F9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3C19C64-82D3-44FB-9FFF-351B8607F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01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01FB4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releasedate">
    <w:name w:val="releasedate"/>
    <w:basedOn w:val="Normal"/>
    <w:rsid w:val="00701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701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01FB4"/>
    <w:rPr>
      <w:b/>
      <w:bCs/>
    </w:rPr>
  </w:style>
  <w:style w:type="character" w:customStyle="1" w:styleId="apple-converted-space">
    <w:name w:val="apple-converted-space"/>
    <w:basedOn w:val="Fuentedeprrafopredeter"/>
    <w:rsid w:val="00701FB4"/>
  </w:style>
  <w:style w:type="character" w:styleId="Hipervnculo">
    <w:name w:val="Hyperlink"/>
    <w:basedOn w:val="Fuentedeprrafopredeter"/>
    <w:uiPriority w:val="99"/>
    <w:semiHidden/>
    <w:unhideWhenUsed/>
    <w:rsid w:val="00701FB4"/>
    <w:rPr>
      <w:color w:val="0000FF"/>
      <w:u w:val="single"/>
    </w:rPr>
  </w:style>
  <w:style w:type="paragraph" w:styleId="Sinespaciado">
    <w:name w:val="No Spacing"/>
    <w:uiPriority w:val="1"/>
    <w:qFormat/>
    <w:rsid w:val="00701F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998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94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1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9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8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24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25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56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7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786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gal.legis.com.co/Document?Path=civilba" TargetMode="External"/><Relationship Id="rId5" Type="http://schemas.openxmlformats.org/officeDocument/2006/relationships/hyperlink" Target="http://legal.legis.com.co/Document?Path=civilba" TargetMode="External"/><Relationship Id="rId4" Type="http://schemas.openxmlformats.org/officeDocument/2006/relationships/hyperlink" Target="http://legal.legis.com.co/Document?Path=civilb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</dc:creator>
  <cp:keywords/>
  <dc:description/>
  <cp:lastModifiedBy>Jairo</cp:lastModifiedBy>
  <cp:revision>2</cp:revision>
  <dcterms:created xsi:type="dcterms:W3CDTF">2018-12-07T02:25:00Z</dcterms:created>
  <dcterms:modified xsi:type="dcterms:W3CDTF">2018-12-07T02:25:00Z</dcterms:modified>
</cp:coreProperties>
</file>