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22E" w:rsidRPr="00B9060A" w:rsidRDefault="00E3022E" w:rsidP="002C1CDF">
      <w:pPr>
        <w:rPr>
          <w:rFonts w:ascii="Arial" w:hAnsi="Arial" w:cs="Arial"/>
          <w:sz w:val="24"/>
          <w:szCs w:val="24"/>
        </w:rPr>
      </w:pPr>
    </w:p>
    <w:p w:rsidR="0031088A" w:rsidRPr="00B9060A" w:rsidRDefault="0031088A" w:rsidP="002C1CDF">
      <w:pPr>
        <w:rPr>
          <w:rFonts w:ascii="Arial" w:hAnsi="Arial" w:cs="Arial"/>
          <w:sz w:val="24"/>
          <w:szCs w:val="24"/>
        </w:rPr>
      </w:pPr>
      <w:r w:rsidRPr="00B9060A">
        <w:rPr>
          <w:rFonts w:ascii="Arial" w:hAnsi="Arial" w:cs="Arial"/>
          <w:sz w:val="24"/>
          <w:szCs w:val="24"/>
        </w:rPr>
        <w:t>Señores</w:t>
      </w:r>
    </w:p>
    <w:p w:rsidR="0031088A" w:rsidRPr="00B9060A" w:rsidRDefault="0031088A" w:rsidP="002C1CDF">
      <w:pPr>
        <w:rPr>
          <w:rFonts w:ascii="Arial" w:hAnsi="Arial" w:cs="Arial"/>
          <w:sz w:val="24"/>
          <w:szCs w:val="24"/>
        </w:rPr>
      </w:pPr>
      <w:r w:rsidRPr="00B9060A">
        <w:rPr>
          <w:rFonts w:ascii="Arial" w:hAnsi="Arial" w:cs="Arial"/>
          <w:sz w:val="24"/>
          <w:szCs w:val="24"/>
        </w:rPr>
        <w:t>DATACRÉDITO</w:t>
      </w:r>
    </w:p>
    <w:p w:rsidR="0031088A" w:rsidRPr="00B9060A" w:rsidRDefault="0031088A" w:rsidP="002C1CDF">
      <w:pPr>
        <w:rPr>
          <w:rFonts w:ascii="Arial" w:hAnsi="Arial" w:cs="Arial"/>
          <w:sz w:val="24"/>
          <w:szCs w:val="24"/>
        </w:rPr>
      </w:pPr>
      <w:r w:rsidRPr="00B9060A">
        <w:rPr>
          <w:rFonts w:ascii="Arial" w:hAnsi="Arial" w:cs="Arial"/>
          <w:sz w:val="24"/>
          <w:szCs w:val="24"/>
        </w:rPr>
        <w:t>Ciudad.</w:t>
      </w:r>
    </w:p>
    <w:p w:rsidR="0031088A" w:rsidRPr="00B9060A" w:rsidRDefault="0031088A" w:rsidP="002C1CDF">
      <w:pPr>
        <w:rPr>
          <w:rFonts w:ascii="Arial" w:hAnsi="Arial" w:cs="Arial"/>
          <w:sz w:val="24"/>
          <w:szCs w:val="24"/>
        </w:rPr>
      </w:pPr>
    </w:p>
    <w:p w:rsidR="0031088A" w:rsidRPr="00B9060A" w:rsidRDefault="0031088A" w:rsidP="002C1CDF">
      <w:pPr>
        <w:rPr>
          <w:rFonts w:ascii="Arial" w:hAnsi="Arial" w:cs="Arial"/>
          <w:sz w:val="24"/>
          <w:szCs w:val="24"/>
        </w:rPr>
      </w:pPr>
    </w:p>
    <w:p w:rsidR="0031088A" w:rsidRPr="00B9060A" w:rsidRDefault="0031088A" w:rsidP="002C1CDF">
      <w:pPr>
        <w:rPr>
          <w:rFonts w:ascii="Arial" w:hAnsi="Arial" w:cs="Arial"/>
          <w:sz w:val="24"/>
          <w:szCs w:val="24"/>
        </w:rPr>
      </w:pPr>
      <w:bookmarkStart w:id="0" w:name="_GoBack"/>
      <w:bookmarkEnd w:id="0"/>
    </w:p>
    <w:p w:rsidR="000E6B06" w:rsidRPr="00B9060A" w:rsidRDefault="000E6B06" w:rsidP="002C1CDF">
      <w:pPr>
        <w:rPr>
          <w:rFonts w:ascii="Arial" w:hAnsi="Arial" w:cs="Arial"/>
          <w:sz w:val="24"/>
          <w:szCs w:val="24"/>
        </w:rPr>
      </w:pPr>
    </w:p>
    <w:p w:rsidR="0031088A" w:rsidRPr="00B9060A" w:rsidRDefault="0031088A" w:rsidP="002C1CDF">
      <w:pPr>
        <w:rPr>
          <w:rFonts w:ascii="Arial" w:hAnsi="Arial" w:cs="Arial"/>
          <w:sz w:val="24"/>
          <w:szCs w:val="24"/>
        </w:rPr>
      </w:pPr>
      <w:r w:rsidRPr="00B9060A">
        <w:rPr>
          <w:rFonts w:ascii="Arial" w:hAnsi="Arial" w:cs="Arial"/>
          <w:sz w:val="24"/>
          <w:szCs w:val="24"/>
        </w:rPr>
        <w:t>Ref: Derecho de petición.</w:t>
      </w:r>
    </w:p>
    <w:p w:rsidR="0031088A" w:rsidRPr="00B9060A" w:rsidRDefault="0031088A" w:rsidP="002C1CDF">
      <w:pPr>
        <w:rPr>
          <w:rFonts w:ascii="Arial" w:hAnsi="Arial" w:cs="Arial"/>
          <w:sz w:val="24"/>
          <w:szCs w:val="24"/>
        </w:rPr>
      </w:pPr>
    </w:p>
    <w:p w:rsidR="0031088A" w:rsidRPr="00B9060A" w:rsidRDefault="0031088A" w:rsidP="002C1CDF">
      <w:pPr>
        <w:rPr>
          <w:rFonts w:ascii="Arial" w:hAnsi="Arial" w:cs="Arial"/>
          <w:sz w:val="24"/>
          <w:szCs w:val="24"/>
        </w:rPr>
      </w:pPr>
    </w:p>
    <w:p w:rsidR="000E6B06" w:rsidRPr="00B9060A" w:rsidRDefault="000E6B06" w:rsidP="002C1CDF">
      <w:pPr>
        <w:rPr>
          <w:rFonts w:ascii="Arial" w:hAnsi="Arial" w:cs="Arial"/>
          <w:sz w:val="24"/>
          <w:szCs w:val="24"/>
        </w:rPr>
      </w:pPr>
    </w:p>
    <w:p w:rsidR="0031088A" w:rsidRPr="00B9060A" w:rsidRDefault="0031088A" w:rsidP="002C1CDF">
      <w:pPr>
        <w:rPr>
          <w:rFonts w:ascii="Arial" w:hAnsi="Arial" w:cs="Arial"/>
          <w:sz w:val="24"/>
          <w:szCs w:val="24"/>
        </w:rPr>
      </w:pPr>
      <w:r w:rsidRPr="00B9060A">
        <w:rPr>
          <w:rFonts w:ascii="Arial" w:hAnsi="Arial" w:cs="Arial"/>
          <w:sz w:val="24"/>
          <w:szCs w:val="24"/>
        </w:rPr>
        <w:t>Respetados Señores:</w:t>
      </w:r>
    </w:p>
    <w:p w:rsidR="0031088A" w:rsidRPr="00B9060A" w:rsidRDefault="0031088A" w:rsidP="002C1CDF">
      <w:pPr>
        <w:rPr>
          <w:rFonts w:ascii="Arial" w:hAnsi="Arial" w:cs="Arial"/>
          <w:sz w:val="24"/>
          <w:szCs w:val="24"/>
        </w:rPr>
      </w:pPr>
    </w:p>
    <w:p w:rsidR="00CB2B3D" w:rsidRPr="00B9060A" w:rsidRDefault="00F141E5" w:rsidP="000E6B06">
      <w:pPr>
        <w:jc w:val="both"/>
        <w:rPr>
          <w:rFonts w:ascii="Arial" w:hAnsi="Arial" w:cs="Arial"/>
          <w:sz w:val="24"/>
          <w:szCs w:val="24"/>
        </w:rPr>
      </w:pPr>
      <w:proofErr w:type="gramStart"/>
      <w:r w:rsidRPr="00B9060A">
        <w:rPr>
          <w:rFonts w:ascii="Arial" w:hAnsi="Arial" w:cs="Arial"/>
          <w:sz w:val="24"/>
          <w:szCs w:val="24"/>
        </w:rPr>
        <w:t>xxxxxxxxxxxxxxxxxx</w:t>
      </w:r>
      <w:proofErr w:type="gramEnd"/>
      <w:r w:rsidR="0031088A" w:rsidRPr="00B9060A">
        <w:rPr>
          <w:rFonts w:ascii="Arial" w:hAnsi="Arial" w:cs="Arial"/>
          <w:sz w:val="24"/>
          <w:szCs w:val="24"/>
        </w:rPr>
        <w:t>, mayor de edad, identificada con la C.C. No…</w:t>
      </w:r>
      <w:r w:rsidR="000E6B06" w:rsidRPr="00B9060A">
        <w:rPr>
          <w:rFonts w:ascii="Arial" w:hAnsi="Arial" w:cs="Arial"/>
          <w:color w:val="FF0000"/>
          <w:sz w:val="24"/>
          <w:szCs w:val="24"/>
        </w:rPr>
        <w:t>XXXX</w:t>
      </w:r>
      <w:r w:rsidR="0031088A" w:rsidRPr="00B9060A">
        <w:rPr>
          <w:rFonts w:ascii="Arial" w:hAnsi="Arial" w:cs="Arial"/>
          <w:sz w:val="24"/>
          <w:szCs w:val="24"/>
        </w:rPr>
        <w:t xml:space="preserve"> expedida en</w:t>
      </w:r>
      <w:r w:rsidR="000E6B06" w:rsidRPr="00B9060A">
        <w:rPr>
          <w:rFonts w:ascii="Arial" w:hAnsi="Arial" w:cs="Arial"/>
          <w:sz w:val="24"/>
          <w:szCs w:val="24"/>
        </w:rPr>
        <w:t xml:space="preserve"> </w:t>
      </w:r>
      <w:r w:rsidR="000E6B06" w:rsidRPr="00B9060A">
        <w:rPr>
          <w:rFonts w:ascii="Arial" w:hAnsi="Arial" w:cs="Arial"/>
          <w:color w:val="FF0000"/>
          <w:sz w:val="24"/>
          <w:szCs w:val="24"/>
        </w:rPr>
        <w:t>XXXX</w:t>
      </w:r>
      <w:r w:rsidR="0031088A" w:rsidRPr="00B9060A">
        <w:rPr>
          <w:rFonts w:ascii="Arial" w:hAnsi="Arial" w:cs="Arial"/>
          <w:sz w:val="24"/>
          <w:szCs w:val="24"/>
        </w:rPr>
        <w:t xml:space="preserve">., con domicilio en esta ciudad; mediante el presente escrito, haciendo uso del derecho de petición que consagra la Constitución Política en su art. </w:t>
      </w:r>
      <w:r w:rsidR="000E6B06" w:rsidRPr="00B9060A">
        <w:rPr>
          <w:rFonts w:ascii="Arial" w:hAnsi="Arial" w:cs="Arial"/>
          <w:sz w:val="24"/>
          <w:szCs w:val="24"/>
        </w:rPr>
        <w:t>23,</w:t>
      </w:r>
      <w:r w:rsidR="0031088A" w:rsidRPr="00B9060A">
        <w:rPr>
          <w:rFonts w:ascii="Arial" w:hAnsi="Arial" w:cs="Arial"/>
          <w:sz w:val="24"/>
          <w:szCs w:val="24"/>
        </w:rPr>
        <w:t xml:space="preserve"> solicito de manera respetuosa, la supresión de mi nombre del registro negativo correspondiente, en el cual aparezco como persona deudora, por cuanto considero que el encontrarme en tal lista,</w:t>
      </w:r>
      <w:r w:rsidR="00CB2B3D" w:rsidRPr="00B9060A">
        <w:rPr>
          <w:rFonts w:ascii="Arial" w:hAnsi="Arial" w:cs="Arial"/>
          <w:sz w:val="24"/>
          <w:szCs w:val="24"/>
        </w:rPr>
        <w:t xml:space="preserve"> conlleva violación del derecho </w:t>
      </w:r>
      <w:r w:rsidR="0031088A" w:rsidRPr="00B9060A">
        <w:rPr>
          <w:rFonts w:ascii="Arial" w:hAnsi="Arial" w:cs="Arial"/>
          <w:sz w:val="24"/>
          <w:szCs w:val="24"/>
        </w:rPr>
        <w:t xml:space="preserve"> </w:t>
      </w:r>
      <w:r w:rsidR="00CB2B3D" w:rsidRPr="00B9060A">
        <w:rPr>
          <w:rFonts w:ascii="Arial" w:hAnsi="Arial" w:cs="Arial"/>
          <w:sz w:val="24"/>
          <w:szCs w:val="24"/>
        </w:rPr>
        <w:t xml:space="preserve">al </w:t>
      </w:r>
      <w:r w:rsidR="0031088A" w:rsidRPr="00B9060A">
        <w:rPr>
          <w:rFonts w:ascii="Arial" w:hAnsi="Arial" w:cs="Arial"/>
          <w:sz w:val="24"/>
          <w:szCs w:val="24"/>
        </w:rPr>
        <w:t xml:space="preserve">HABEAS DATA, que consagra </w:t>
      </w:r>
      <w:r w:rsidR="002C1CDF" w:rsidRPr="00B9060A">
        <w:rPr>
          <w:rFonts w:ascii="Arial" w:hAnsi="Arial" w:cs="Arial"/>
          <w:sz w:val="24"/>
          <w:szCs w:val="24"/>
        </w:rPr>
        <w:t xml:space="preserve">La Constitución Política y </w:t>
      </w:r>
      <w:r w:rsidR="0031088A" w:rsidRPr="00B9060A">
        <w:rPr>
          <w:rFonts w:ascii="Arial" w:hAnsi="Arial" w:cs="Arial"/>
          <w:sz w:val="24"/>
          <w:szCs w:val="24"/>
        </w:rPr>
        <w:t>la Ley 1266 de</w:t>
      </w:r>
      <w:r w:rsidR="002C1CDF" w:rsidRPr="00B9060A">
        <w:rPr>
          <w:rFonts w:ascii="Arial" w:hAnsi="Arial" w:cs="Arial"/>
          <w:sz w:val="24"/>
          <w:szCs w:val="24"/>
        </w:rPr>
        <w:t xml:space="preserve"> 2008</w:t>
      </w:r>
      <w:r w:rsidR="0031088A" w:rsidRPr="00B9060A">
        <w:rPr>
          <w:rFonts w:ascii="Arial" w:hAnsi="Arial" w:cs="Arial"/>
          <w:sz w:val="24"/>
          <w:szCs w:val="24"/>
        </w:rPr>
        <w:t>; solicitud que fundamento en los siguientes hechos:</w:t>
      </w:r>
      <w:r w:rsidR="000E6B06" w:rsidRPr="00B9060A">
        <w:rPr>
          <w:rFonts w:ascii="Arial" w:hAnsi="Arial" w:cs="Arial"/>
          <w:sz w:val="24"/>
          <w:szCs w:val="24"/>
        </w:rPr>
        <w:t xml:space="preserve">  </w:t>
      </w:r>
      <w:r w:rsidR="002C1CDF" w:rsidRPr="00B9060A">
        <w:rPr>
          <w:rFonts w:ascii="Arial" w:hAnsi="Arial" w:cs="Arial"/>
          <w:sz w:val="24"/>
          <w:szCs w:val="24"/>
        </w:rPr>
        <w:t xml:space="preserve">      </w:t>
      </w:r>
    </w:p>
    <w:p w:rsidR="00CB2B3D" w:rsidRPr="00B9060A" w:rsidRDefault="00CB2B3D" w:rsidP="002C1CDF">
      <w:pPr>
        <w:jc w:val="both"/>
        <w:rPr>
          <w:rFonts w:ascii="Arial" w:hAnsi="Arial" w:cs="Arial"/>
          <w:sz w:val="24"/>
          <w:szCs w:val="24"/>
        </w:rPr>
      </w:pPr>
    </w:p>
    <w:p w:rsidR="0031088A" w:rsidRPr="00B9060A" w:rsidRDefault="00CB2B3D" w:rsidP="002C1CDF">
      <w:pPr>
        <w:jc w:val="both"/>
        <w:rPr>
          <w:rFonts w:ascii="Arial" w:hAnsi="Arial" w:cs="Arial"/>
          <w:sz w:val="24"/>
          <w:szCs w:val="24"/>
        </w:rPr>
      </w:pPr>
      <w:r w:rsidRPr="00B9060A">
        <w:rPr>
          <w:rFonts w:ascii="Arial" w:hAnsi="Arial" w:cs="Arial"/>
          <w:sz w:val="24"/>
          <w:szCs w:val="24"/>
        </w:rPr>
        <w:t xml:space="preserve">1º) Habiendo adelantado diligencias para adquirir crédito, </w:t>
      </w:r>
      <w:r w:rsidRPr="00B9060A">
        <w:rPr>
          <w:rFonts w:ascii="Arial" w:hAnsi="Arial" w:cs="Arial"/>
          <w:color w:val="FF0000"/>
          <w:sz w:val="24"/>
          <w:szCs w:val="24"/>
        </w:rPr>
        <w:t>(ANTE…..</w:t>
      </w:r>
      <w:r w:rsidRPr="00B9060A">
        <w:rPr>
          <w:rFonts w:ascii="Arial" w:hAnsi="Arial" w:cs="Arial"/>
          <w:sz w:val="24"/>
          <w:szCs w:val="24"/>
        </w:rPr>
        <w:t>) este me fue negado exponiendo como argumento que me encuentro reportada como deudora morosa desde el año……….</w:t>
      </w:r>
      <w:r w:rsidR="002C1CDF" w:rsidRPr="00B9060A">
        <w:rPr>
          <w:rFonts w:ascii="Arial" w:hAnsi="Arial" w:cs="Arial"/>
          <w:sz w:val="24"/>
          <w:szCs w:val="24"/>
        </w:rPr>
        <w:t xml:space="preserve">                                                                   </w:t>
      </w:r>
    </w:p>
    <w:p w:rsidR="00CB2B3D" w:rsidRPr="00B9060A" w:rsidRDefault="00CB2B3D" w:rsidP="002C1CDF">
      <w:pPr>
        <w:rPr>
          <w:rFonts w:ascii="Arial" w:hAnsi="Arial" w:cs="Arial"/>
          <w:sz w:val="24"/>
          <w:szCs w:val="24"/>
        </w:rPr>
      </w:pPr>
    </w:p>
    <w:p w:rsidR="00574E35" w:rsidRPr="00B9060A" w:rsidRDefault="00CB2B3D" w:rsidP="000E6B06">
      <w:pPr>
        <w:jc w:val="both"/>
        <w:rPr>
          <w:rFonts w:ascii="Arial" w:hAnsi="Arial" w:cs="Arial"/>
          <w:sz w:val="24"/>
          <w:szCs w:val="24"/>
        </w:rPr>
      </w:pPr>
      <w:r w:rsidRPr="00B9060A">
        <w:rPr>
          <w:rFonts w:ascii="Arial" w:hAnsi="Arial" w:cs="Arial"/>
          <w:sz w:val="24"/>
          <w:szCs w:val="24"/>
        </w:rPr>
        <w:t>2º)</w:t>
      </w:r>
      <w:r w:rsidR="000E6B06" w:rsidRPr="00B9060A">
        <w:rPr>
          <w:rFonts w:ascii="Arial" w:hAnsi="Arial" w:cs="Arial"/>
          <w:sz w:val="24"/>
          <w:szCs w:val="24"/>
        </w:rPr>
        <w:t xml:space="preserve"> </w:t>
      </w:r>
      <w:r w:rsidR="00574E35" w:rsidRPr="00B9060A">
        <w:rPr>
          <w:rFonts w:ascii="Arial" w:hAnsi="Arial" w:cs="Arial"/>
          <w:sz w:val="24"/>
          <w:szCs w:val="24"/>
        </w:rPr>
        <w:t>Que como la expuesto la Corte Constitucional "el habeas data está expresamente establecido en la Constitución.  Al respecto, el artículo 15, después de consagrar los derechos de todas las personas a la intimidad y al buen nombre, agrega: "De igual modo, tienen derecho a conocer, actualizar y rectificar las informaciones que se hayan recogido sobre ellas en bancos de datos y en archivos de entidades públicas y privadas" (Sentencia C-1011 de 2008).</w:t>
      </w:r>
      <w:r w:rsidR="002C1CDF" w:rsidRPr="00B9060A">
        <w:rPr>
          <w:rFonts w:ascii="Arial" w:hAnsi="Arial" w:cs="Arial"/>
          <w:sz w:val="24"/>
          <w:szCs w:val="24"/>
        </w:rPr>
        <w:t xml:space="preserve">                                                                                                                     </w:t>
      </w:r>
    </w:p>
    <w:p w:rsidR="00574E35" w:rsidRPr="00B9060A" w:rsidRDefault="00574E35" w:rsidP="002C1CDF">
      <w:pPr>
        <w:rPr>
          <w:rFonts w:ascii="Arial" w:hAnsi="Arial" w:cs="Arial"/>
          <w:sz w:val="24"/>
          <w:szCs w:val="24"/>
        </w:rPr>
      </w:pPr>
    </w:p>
    <w:p w:rsidR="00CB2B3D" w:rsidRPr="00B9060A" w:rsidRDefault="00574E35" w:rsidP="002C1CDF">
      <w:pPr>
        <w:jc w:val="both"/>
        <w:rPr>
          <w:rFonts w:ascii="Arial" w:hAnsi="Arial" w:cs="Arial"/>
          <w:sz w:val="24"/>
          <w:szCs w:val="24"/>
        </w:rPr>
      </w:pPr>
      <w:r w:rsidRPr="00B9060A">
        <w:rPr>
          <w:rFonts w:ascii="Arial" w:hAnsi="Arial" w:cs="Arial"/>
          <w:sz w:val="24"/>
          <w:szCs w:val="24"/>
        </w:rPr>
        <w:t xml:space="preserve">3º) </w:t>
      </w:r>
      <w:r w:rsidR="00CB2B3D" w:rsidRPr="00B9060A">
        <w:rPr>
          <w:rFonts w:ascii="Arial" w:hAnsi="Arial" w:cs="Arial"/>
          <w:sz w:val="24"/>
          <w:szCs w:val="24"/>
        </w:rPr>
        <w:t xml:space="preserve">Que la Corte Constitucional, respecto del derecho al hábeas data </w:t>
      </w:r>
      <w:r w:rsidRPr="00B9060A">
        <w:rPr>
          <w:rFonts w:ascii="Arial" w:hAnsi="Arial" w:cs="Arial"/>
          <w:sz w:val="24"/>
          <w:szCs w:val="24"/>
        </w:rPr>
        <w:t>lo ha</w:t>
      </w:r>
      <w:r w:rsidR="00CB2B3D" w:rsidRPr="00B9060A">
        <w:rPr>
          <w:rFonts w:ascii="Arial" w:hAnsi="Arial" w:cs="Arial"/>
          <w:sz w:val="24"/>
          <w:szCs w:val="24"/>
        </w:rPr>
        <w:t xml:space="preserve"> definido "como aquel que otorga la facultad al titular de datos personales de exigir de las administradoras de esos datos el acceso, inclusión, exclusión, corrección, adición, actualización y certificación de los datos, así como la limitación en las posibilidades de divulgación, publicación o cesión de los mismos, de conformidad con los principios que regulan el proceso de administración de datos personales.  Este derecho tiene naturaleza autónoma y notas características que lo diferencian de otras garantías con las que, empero, está en permanente relación, como los derechos a la intimidad y a la información" (Sentencia C-1011 de 2008).</w:t>
      </w:r>
      <w:r w:rsidR="002C1CDF" w:rsidRPr="00B9060A">
        <w:rPr>
          <w:rFonts w:ascii="Arial" w:hAnsi="Arial" w:cs="Arial"/>
          <w:sz w:val="24"/>
          <w:szCs w:val="24"/>
        </w:rPr>
        <w:t xml:space="preserve">                                                            </w:t>
      </w:r>
    </w:p>
    <w:p w:rsidR="00CB2B3D" w:rsidRPr="00B9060A" w:rsidRDefault="00CB2B3D" w:rsidP="002C1CDF">
      <w:pPr>
        <w:rPr>
          <w:rFonts w:ascii="Arial" w:hAnsi="Arial" w:cs="Arial"/>
          <w:sz w:val="24"/>
          <w:szCs w:val="24"/>
        </w:rPr>
      </w:pPr>
    </w:p>
    <w:p w:rsidR="00574E35" w:rsidRPr="00B9060A" w:rsidRDefault="00574E35" w:rsidP="002C1CDF">
      <w:pPr>
        <w:jc w:val="both"/>
        <w:rPr>
          <w:rFonts w:ascii="Arial" w:hAnsi="Arial" w:cs="Arial"/>
          <w:sz w:val="24"/>
          <w:szCs w:val="24"/>
        </w:rPr>
      </w:pPr>
      <w:r w:rsidRPr="00B9060A">
        <w:rPr>
          <w:rFonts w:ascii="Arial" w:hAnsi="Arial" w:cs="Arial"/>
          <w:sz w:val="24"/>
          <w:szCs w:val="24"/>
        </w:rPr>
        <w:t>4</w:t>
      </w:r>
      <w:r w:rsidR="00CB2B3D" w:rsidRPr="00B9060A">
        <w:rPr>
          <w:rFonts w:ascii="Arial" w:hAnsi="Arial" w:cs="Arial"/>
          <w:sz w:val="24"/>
          <w:szCs w:val="24"/>
        </w:rPr>
        <w:t>º)</w:t>
      </w:r>
      <w:r w:rsidRPr="00B9060A">
        <w:rPr>
          <w:rFonts w:ascii="Arial" w:hAnsi="Arial" w:cs="Arial"/>
          <w:sz w:val="24"/>
          <w:szCs w:val="24"/>
        </w:rPr>
        <w:t xml:space="preserve"> Que la Ley 1266 de</w:t>
      </w:r>
      <w:r w:rsidR="002C1CDF" w:rsidRPr="00B9060A">
        <w:rPr>
          <w:rFonts w:ascii="Arial" w:hAnsi="Arial" w:cs="Arial"/>
          <w:sz w:val="24"/>
          <w:szCs w:val="24"/>
        </w:rPr>
        <w:t xml:space="preserve"> 2008 en su art 13 </w:t>
      </w:r>
      <w:r w:rsidRPr="00B9060A">
        <w:rPr>
          <w:rFonts w:ascii="Arial" w:hAnsi="Arial" w:cs="Arial"/>
          <w:sz w:val="24"/>
          <w:szCs w:val="24"/>
        </w:rPr>
        <w:t>establece que</w:t>
      </w:r>
      <w:r w:rsidR="002C1CDF" w:rsidRPr="00B9060A">
        <w:rPr>
          <w:rFonts w:ascii="Arial" w:hAnsi="Arial" w:cs="Arial"/>
          <w:sz w:val="24"/>
          <w:szCs w:val="24"/>
        </w:rPr>
        <w:t xml:space="preserve"> </w:t>
      </w:r>
      <w:r w:rsidR="00ED1FAB" w:rsidRPr="00B9060A">
        <w:rPr>
          <w:rFonts w:ascii="Arial" w:hAnsi="Arial" w:cs="Arial"/>
          <w:sz w:val="24"/>
          <w:szCs w:val="24"/>
        </w:rPr>
        <w:t>"</w:t>
      </w:r>
      <w:r w:rsidR="002C1CDF" w:rsidRPr="00B9060A">
        <w:rPr>
          <w:rFonts w:ascii="Arial" w:hAnsi="Arial" w:cs="Arial"/>
          <w:sz w:val="24"/>
          <w:szCs w:val="24"/>
        </w:rPr>
        <w:t xml:space="preserve">Los datos cuyo contenido haga referencia al tiempo de mora, tipo de cobro, estado de la cartera, y en general, aquellos datos referentes a una situación de incumplimiento de obligaciones, se regirán por un término máximo de </w:t>
      </w:r>
      <w:r w:rsidR="002C1CDF" w:rsidRPr="00B9060A">
        <w:rPr>
          <w:rFonts w:ascii="Arial" w:hAnsi="Arial" w:cs="Arial"/>
          <w:sz w:val="24"/>
          <w:szCs w:val="24"/>
        </w:rPr>
        <w:lastRenderedPageBreak/>
        <w:t xml:space="preserve">permanencia, vencido el cual deberá ser retirada de los bancos de datos por el operador, de forma que los usuarios no puedan acceder o consultar dicha información. El término de permanencia de esta información será de cuatro (4) años contados a partir de la fecha en que sean pagadas las cuotas vencidas o sea pagada la obligación vencida."                                                                        </w:t>
      </w:r>
    </w:p>
    <w:p w:rsidR="00574E35" w:rsidRPr="00B9060A" w:rsidRDefault="00574E35" w:rsidP="002C1CDF">
      <w:pPr>
        <w:rPr>
          <w:rFonts w:ascii="Arial" w:hAnsi="Arial" w:cs="Arial"/>
          <w:sz w:val="24"/>
          <w:szCs w:val="24"/>
        </w:rPr>
      </w:pPr>
    </w:p>
    <w:p w:rsidR="00CB2B3D" w:rsidRPr="00B9060A" w:rsidRDefault="00574E35" w:rsidP="002C1CDF">
      <w:pPr>
        <w:jc w:val="both"/>
        <w:rPr>
          <w:rFonts w:ascii="Arial" w:hAnsi="Arial" w:cs="Arial"/>
          <w:sz w:val="24"/>
          <w:szCs w:val="24"/>
        </w:rPr>
      </w:pPr>
      <w:r w:rsidRPr="00B9060A">
        <w:rPr>
          <w:rFonts w:ascii="Arial" w:hAnsi="Arial" w:cs="Arial"/>
          <w:sz w:val="24"/>
          <w:szCs w:val="24"/>
        </w:rPr>
        <w:t xml:space="preserve">5º) </w:t>
      </w:r>
      <w:r w:rsidR="00CB2B3D" w:rsidRPr="00B9060A">
        <w:rPr>
          <w:rFonts w:ascii="Arial" w:hAnsi="Arial" w:cs="Arial"/>
          <w:sz w:val="24"/>
          <w:szCs w:val="24"/>
        </w:rPr>
        <w:t xml:space="preserve">Que </w:t>
      </w:r>
      <w:r w:rsidR="00051E80" w:rsidRPr="00B9060A">
        <w:rPr>
          <w:rFonts w:ascii="Arial" w:hAnsi="Arial" w:cs="Arial"/>
          <w:sz w:val="24"/>
          <w:szCs w:val="24"/>
        </w:rPr>
        <w:t>como expresa</w:t>
      </w:r>
      <w:r w:rsidR="00CB2B3D" w:rsidRPr="00B9060A">
        <w:rPr>
          <w:rFonts w:ascii="Arial" w:hAnsi="Arial" w:cs="Arial"/>
          <w:sz w:val="24"/>
          <w:szCs w:val="24"/>
        </w:rPr>
        <w:t xml:space="preserve"> la jurisprudencia de la Corte Constitucional, </w:t>
      </w:r>
      <w:r w:rsidR="00051E80" w:rsidRPr="00B9060A">
        <w:rPr>
          <w:rFonts w:ascii="Arial" w:hAnsi="Arial" w:cs="Arial"/>
          <w:sz w:val="24"/>
          <w:szCs w:val="24"/>
        </w:rPr>
        <w:t xml:space="preserve">"de acuerdo con lo señalado en el artículo 15 Superior, la Corte identifica como facultades que conforman el contenido del derecho al hábeas data, las de (i) conocer la información personal contenida en las bases de datos, (ii) solicitar la actualización de dicha información a través de la inclusión de nuevos datos y (iii) requerir la rectificación de la información no ajustada a la realidad.  Junto con las prerrogativas expuestas, la Corte, habida cuenta los precedentes jurisprudenciales anteriores que señalaban la necesidad de establecer un límite al reporte financiero negativo, estableció un nuevo componente del derecho al hábeas data, la de la caducidad del dato negativo" (Sentencia C-1011 de 2008); que si bien </w:t>
      </w:r>
      <w:r w:rsidR="00CB2B3D" w:rsidRPr="00B9060A">
        <w:rPr>
          <w:rFonts w:ascii="Arial" w:hAnsi="Arial" w:cs="Arial"/>
          <w:sz w:val="24"/>
          <w:szCs w:val="24"/>
        </w:rPr>
        <w:t>el reporte negativo puede estar apegado a un hecho cierto, este no puede mantener</w:t>
      </w:r>
      <w:r w:rsidRPr="00B9060A">
        <w:rPr>
          <w:rFonts w:ascii="Arial" w:hAnsi="Arial" w:cs="Arial"/>
          <w:sz w:val="24"/>
          <w:szCs w:val="24"/>
        </w:rPr>
        <w:t xml:space="preserve">se indefinidamente en el tiempo; exponiendo </w:t>
      </w:r>
      <w:r w:rsidR="00051E80" w:rsidRPr="00B9060A">
        <w:rPr>
          <w:rFonts w:ascii="Arial" w:hAnsi="Arial" w:cs="Arial"/>
          <w:sz w:val="24"/>
          <w:szCs w:val="24"/>
        </w:rPr>
        <w:t xml:space="preserve">el Alto Tribunal en la misma decisión, </w:t>
      </w:r>
      <w:r w:rsidRPr="00B9060A">
        <w:rPr>
          <w:rFonts w:ascii="Arial" w:hAnsi="Arial" w:cs="Arial"/>
          <w:sz w:val="24"/>
          <w:szCs w:val="24"/>
        </w:rPr>
        <w:t>que entre los principios que atañen al derecho al habeas data, se encuentra en principio de caducidad según el cual " la información desfavorable del titular debe ser retirada de las bases de datos, de forma definitiva, con base en criterios de razonabilidad y oportunidad. En consecuencia, se prohíbe la conservación indefinida de datos personales, después que hayan desaparecido las causas que justificaron su acopio y administración"</w:t>
      </w:r>
      <w:r w:rsidR="00051E80" w:rsidRPr="00B9060A">
        <w:rPr>
          <w:rFonts w:ascii="Arial" w:hAnsi="Arial" w:cs="Arial"/>
          <w:sz w:val="24"/>
          <w:szCs w:val="24"/>
        </w:rPr>
        <w:t>; agregando que "el término de caducidad de la información financiera sobre incumplimiento garantiza la satisfacción de los principios de administración de datos personales que conforman el contenido y alcance del derecho al hábeas data".</w:t>
      </w:r>
      <w:r w:rsidR="002C1CDF" w:rsidRPr="00B9060A">
        <w:rPr>
          <w:rFonts w:ascii="Arial" w:hAnsi="Arial" w:cs="Arial"/>
          <w:sz w:val="24"/>
          <w:szCs w:val="24"/>
        </w:rPr>
        <w:t xml:space="preserve">                                                                                       </w:t>
      </w:r>
    </w:p>
    <w:p w:rsidR="00574E35" w:rsidRPr="00B9060A" w:rsidRDefault="00574E35" w:rsidP="002C1CDF">
      <w:pPr>
        <w:rPr>
          <w:rFonts w:ascii="Arial" w:hAnsi="Arial" w:cs="Arial"/>
          <w:sz w:val="24"/>
          <w:szCs w:val="24"/>
        </w:rPr>
      </w:pPr>
    </w:p>
    <w:p w:rsidR="00146809" w:rsidRPr="00B9060A" w:rsidRDefault="00051E80" w:rsidP="002C1CDF">
      <w:pPr>
        <w:jc w:val="both"/>
        <w:rPr>
          <w:rFonts w:ascii="Arial" w:hAnsi="Arial" w:cs="Arial"/>
          <w:sz w:val="24"/>
          <w:szCs w:val="24"/>
        </w:rPr>
      </w:pPr>
      <w:r w:rsidRPr="00B9060A">
        <w:rPr>
          <w:rFonts w:ascii="Arial" w:hAnsi="Arial" w:cs="Arial"/>
          <w:sz w:val="24"/>
          <w:szCs w:val="24"/>
        </w:rPr>
        <w:t>6</w:t>
      </w:r>
      <w:r w:rsidR="00574E35" w:rsidRPr="00B9060A">
        <w:rPr>
          <w:rFonts w:ascii="Arial" w:hAnsi="Arial" w:cs="Arial"/>
          <w:sz w:val="24"/>
          <w:szCs w:val="24"/>
        </w:rPr>
        <w:t>º)</w:t>
      </w:r>
      <w:r w:rsidRPr="00B9060A">
        <w:rPr>
          <w:rFonts w:ascii="Arial" w:hAnsi="Arial" w:cs="Arial"/>
          <w:sz w:val="24"/>
          <w:szCs w:val="24"/>
        </w:rPr>
        <w:t xml:space="preserve"> </w:t>
      </w:r>
      <w:r w:rsidR="00146809" w:rsidRPr="00B9060A">
        <w:rPr>
          <w:rFonts w:ascii="Arial" w:hAnsi="Arial" w:cs="Arial"/>
          <w:sz w:val="24"/>
          <w:szCs w:val="24"/>
        </w:rPr>
        <w:t xml:space="preserve"> Respecto de obligaciones no cumplidas y el </w:t>
      </w:r>
      <w:r w:rsidR="002C1CDF" w:rsidRPr="00B9060A">
        <w:rPr>
          <w:rFonts w:ascii="Arial" w:hAnsi="Arial" w:cs="Arial"/>
          <w:sz w:val="24"/>
          <w:szCs w:val="24"/>
        </w:rPr>
        <w:t>transcurso</w:t>
      </w:r>
      <w:r w:rsidR="00146809" w:rsidRPr="00B9060A">
        <w:rPr>
          <w:rFonts w:ascii="Arial" w:hAnsi="Arial" w:cs="Arial"/>
          <w:sz w:val="24"/>
          <w:szCs w:val="24"/>
        </w:rPr>
        <w:t xml:space="preserve"> del tiempo, manifiesta La Corte Constitucional que "resulta totalmente injustificado que se mantengan en las bases de datos reportes basados en obligaciones que han sido excluidas del tráfico jurídico, amén de la imposibilidad de ser exigibles judicialmente.  Si el ordenamiento legal vigente ha establecido que luego de transcurridos diez años opera la extinción de las obligaciones dinerarias, no existe razón alguna que sustente que a pesar que ha operado este fenómeno, el reporte financiero que tiene origen en la deuda insoluta subsista.  Por ende, la permanencia del dato más allá del término de prescripción configura un ejercicio abusivo del poder informático, que en el caso concreto se abrogaría una potestad más amplia que la del Estado para derivar consecuencias jurídicas de la falta de pago de obligaciones</w:t>
      </w:r>
      <w:r w:rsidR="002C1CDF" w:rsidRPr="00B9060A">
        <w:rPr>
          <w:rFonts w:ascii="Arial" w:hAnsi="Arial" w:cs="Arial"/>
          <w:sz w:val="24"/>
          <w:szCs w:val="24"/>
        </w:rPr>
        <w:t xml:space="preserve">.                                                        </w:t>
      </w:r>
      <w:r w:rsidR="00146809" w:rsidRPr="00B9060A">
        <w:rPr>
          <w:rFonts w:ascii="Arial" w:hAnsi="Arial" w:cs="Arial"/>
          <w:sz w:val="24"/>
          <w:szCs w:val="24"/>
          <w:rtl/>
        </w:rPr>
        <w:t xml:space="preserve">  </w:t>
      </w:r>
    </w:p>
    <w:p w:rsidR="00146809" w:rsidRPr="00B9060A" w:rsidRDefault="00146809" w:rsidP="002C1CDF">
      <w:pPr>
        <w:rPr>
          <w:rFonts w:ascii="Arial" w:hAnsi="Arial" w:cs="Arial"/>
          <w:sz w:val="24"/>
          <w:szCs w:val="24"/>
          <w:rtl/>
        </w:rPr>
      </w:pPr>
    </w:p>
    <w:p w:rsidR="00146809" w:rsidRPr="00B9060A" w:rsidRDefault="00146809" w:rsidP="002C1CDF">
      <w:pPr>
        <w:jc w:val="both"/>
        <w:rPr>
          <w:rFonts w:ascii="Arial" w:hAnsi="Arial" w:cs="Arial"/>
          <w:sz w:val="24"/>
          <w:szCs w:val="24"/>
        </w:rPr>
      </w:pPr>
      <w:r w:rsidRPr="00B9060A">
        <w:rPr>
          <w:rFonts w:ascii="Arial" w:hAnsi="Arial" w:cs="Arial"/>
          <w:sz w:val="24"/>
          <w:szCs w:val="24"/>
        </w:rPr>
        <w:t xml:space="preserve">Según lo expresado, la medida adoptada por el legislador estatutario faculta a los operadores de información para mantener datos financieros negativos, derivados de obligaciones insolutas, de forma indefinida.  Esta posibilidad impone una carga desproporcionada al sujeto concernido, puesto que el juicio de desvalor generado por el reporte negativo tendría consecuencias en el tiempo más amplias que las que el ordenamiento jurídico ha dispuesto como predicables de las obligaciones dinerarias.  Conforme lo anterior, mientras que para el Derecho la obligación no resulta exigible, puesto que se considera </w:t>
      </w:r>
      <w:r w:rsidRPr="00B9060A">
        <w:rPr>
          <w:rFonts w:ascii="Arial" w:hAnsi="Arial" w:cs="Arial"/>
          <w:sz w:val="24"/>
          <w:szCs w:val="24"/>
        </w:rPr>
        <w:lastRenderedPageBreak/>
        <w:t>extinta en razón del paso del tiempo; esta mantiene sus efectos restrictivos para el acceso al mercado comercial y de crédito y, en consecuencia, el ejercicio pleno de los derechos constitucionales, en tanto permanece en los bancos de datos indefinidamente"</w:t>
      </w:r>
      <w:r w:rsidR="002C1CDF" w:rsidRPr="00B9060A">
        <w:rPr>
          <w:rFonts w:ascii="Arial" w:hAnsi="Arial" w:cs="Arial"/>
          <w:sz w:val="24"/>
          <w:szCs w:val="24"/>
        </w:rPr>
        <w:t xml:space="preserve"> </w:t>
      </w:r>
      <w:r w:rsidRPr="00B9060A">
        <w:rPr>
          <w:rFonts w:ascii="Arial" w:hAnsi="Arial" w:cs="Arial"/>
          <w:sz w:val="24"/>
          <w:szCs w:val="24"/>
        </w:rPr>
        <w:t>(Sentencia C-1011 de 2008)</w:t>
      </w:r>
      <w:r w:rsidR="002C1CDF" w:rsidRPr="00B9060A">
        <w:rPr>
          <w:rFonts w:ascii="Arial" w:hAnsi="Arial" w:cs="Arial"/>
          <w:sz w:val="24"/>
          <w:szCs w:val="24"/>
        </w:rPr>
        <w:t xml:space="preserve">.                        </w:t>
      </w:r>
      <w:r w:rsidRPr="00B9060A">
        <w:rPr>
          <w:rFonts w:ascii="Arial" w:hAnsi="Arial" w:cs="Arial"/>
          <w:sz w:val="24"/>
          <w:szCs w:val="24"/>
        </w:rPr>
        <w:t xml:space="preserve"> </w:t>
      </w:r>
    </w:p>
    <w:p w:rsidR="008D2637" w:rsidRPr="00B9060A" w:rsidRDefault="008D2637" w:rsidP="002C1CDF">
      <w:pPr>
        <w:rPr>
          <w:rFonts w:ascii="Arial" w:hAnsi="Arial" w:cs="Arial"/>
          <w:sz w:val="24"/>
          <w:szCs w:val="24"/>
        </w:rPr>
      </w:pPr>
    </w:p>
    <w:p w:rsidR="008D2637" w:rsidRPr="00B9060A" w:rsidRDefault="008D2637" w:rsidP="002C1CDF">
      <w:pPr>
        <w:jc w:val="both"/>
        <w:rPr>
          <w:rFonts w:ascii="Arial" w:hAnsi="Arial" w:cs="Arial"/>
          <w:sz w:val="24"/>
          <w:szCs w:val="24"/>
        </w:rPr>
      </w:pPr>
      <w:r w:rsidRPr="00B9060A">
        <w:rPr>
          <w:rFonts w:ascii="Arial" w:hAnsi="Arial" w:cs="Arial"/>
          <w:sz w:val="24"/>
          <w:szCs w:val="24"/>
        </w:rPr>
        <w:t>7º) En fallo de tutela T-964-010  expresó que “la divulgación indefinida del mal comportamiento pasado de un usuario del sistema financiero, además de no ser una medida idónea para informar el nivel real actual de respuesta patrimonial de esta persona, puede llegar a operar en la práctica como una sanción imprescriptible y desproporcionada, al vetar al acceso al crédito y demás servicios que ofrece el sistema financiero", precisando además, que  “las sanciones o informaciones negativas de una persona no tienen vocación de perennidad y, en consecuencia después de algún tiempo tales personas son titulares de un verdadero derecho al olvido" y adicionó: "por el paso del tiempo, el sujeto titular de la información reportada, tiene derecho al olvido y, por lo tanto, la información no puede permanecer indefinidamente en las centrales de riesgo, entendido el derecho al olvido “como el principio a (sic) tenor del cual ciertas informaciones deben ser eliminadas de los archivos, transcurrido un determinado espacio de tiempo desde el momento en que acaeció el hecho a que se refieren, para evitar que el individuo quede prisionero de su pasado".</w:t>
      </w:r>
      <w:r w:rsidR="002C1CDF" w:rsidRPr="00B9060A">
        <w:rPr>
          <w:rFonts w:ascii="Arial" w:hAnsi="Arial" w:cs="Arial"/>
          <w:sz w:val="24"/>
          <w:szCs w:val="24"/>
        </w:rPr>
        <w:t xml:space="preserve">     </w:t>
      </w:r>
    </w:p>
    <w:p w:rsidR="008D2637" w:rsidRPr="00B9060A" w:rsidRDefault="008D2637" w:rsidP="002C1CDF">
      <w:pPr>
        <w:rPr>
          <w:rFonts w:ascii="Arial" w:hAnsi="Arial" w:cs="Arial"/>
          <w:sz w:val="24"/>
          <w:szCs w:val="24"/>
        </w:rPr>
      </w:pPr>
    </w:p>
    <w:p w:rsidR="00CB2B3D" w:rsidRPr="00B9060A" w:rsidRDefault="008D2637" w:rsidP="000E6B06">
      <w:pPr>
        <w:jc w:val="both"/>
        <w:rPr>
          <w:rFonts w:ascii="Arial" w:hAnsi="Arial" w:cs="Arial"/>
          <w:sz w:val="24"/>
          <w:szCs w:val="24"/>
        </w:rPr>
      </w:pPr>
      <w:r w:rsidRPr="00B9060A">
        <w:rPr>
          <w:rFonts w:ascii="Arial" w:hAnsi="Arial" w:cs="Arial"/>
          <w:sz w:val="24"/>
          <w:szCs w:val="24"/>
        </w:rPr>
        <w:t>8º) Expuso en el mismo fallo de tutela T-964-010 que "</w:t>
      </w:r>
      <w:r w:rsidR="00574E35" w:rsidRPr="00B9060A">
        <w:rPr>
          <w:rFonts w:ascii="Arial" w:hAnsi="Arial" w:cs="Arial"/>
          <w:sz w:val="24"/>
          <w:szCs w:val="24"/>
        </w:rPr>
        <w:t xml:space="preserve"> </w:t>
      </w:r>
      <w:r w:rsidRPr="00B9060A">
        <w:rPr>
          <w:rFonts w:ascii="Arial" w:hAnsi="Arial" w:cs="Arial"/>
          <w:sz w:val="24"/>
          <w:szCs w:val="24"/>
        </w:rPr>
        <w:t xml:space="preserve">Con base en lo anterior, la citada sentencia adicionó a las reglas creadas en la sentencia SU-082 de 1995, una nueva </w:t>
      </w:r>
      <w:proofErr w:type="spellStart"/>
      <w:r w:rsidRPr="00B9060A">
        <w:rPr>
          <w:rFonts w:ascii="Arial" w:hAnsi="Arial" w:cs="Arial"/>
          <w:sz w:val="24"/>
          <w:szCs w:val="24"/>
        </w:rPr>
        <w:t>subregla</w:t>
      </w:r>
      <w:proofErr w:type="spellEnd"/>
      <w:r w:rsidRPr="00B9060A">
        <w:rPr>
          <w:rFonts w:ascii="Arial" w:hAnsi="Arial" w:cs="Arial"/>
          <w:sz w:val="24"/>
          <w:szCs w:val="24"/>
        </w:rPr>
        <w:t xml:space="preserve"> con respecto al límite temporal de los datos. Al respecto, señaló la Corporación</w:t>
      </w:r>
      <w:r w:rsidR="000E6B06" w:rsidRPr="00B9060A">
        <w:rPr>
          <w:rFonts w:ascii="Arial" w:hAnsi="Arial" w:cs="Arial"/>
          <w:sz w:val="24"/>
          <w:szCs w:val="24"/>
        </w:rPr>
        <w:t xml:space="preserve">  Por cuanto el término no puede ser el mismo, para aquel deudor que cancela en relación a aquel deudor que no ha cancelado, esta corporación , (sic) ante la evidencia del vacío legal ya mencionado, el juez debe llenarlo acudiendo al razonamiento analógico; que enseña que donde existe la misma razón debe aplicarse la misma disposición, en este caso, la regla general de la prescripción de la acción ordinaria civil y debe señalar que el término de almacenamiento de datos de individuos que no hayan cancelado sus obligaciones financieras será  de diez ( 10 ) años; término similar al establecido por el Código Civil para la prescripción de la Acción Ordinaria.                                       </w:t>
      </w:r>
      <w:r w:rsidR="002C1CDF" w:rsidRPr="00B9060A">
        <w:rPr>
          <w:rFonts w:ascii="Arial" w:hAnsi="Arial" w:cs="Arial"/>
          <w:sz w:val="24"/>
          <w:szCs w:val="24"/>
        </w:rPr>
        <w:t xml:space="preserve">                                                                        </w:t>
      </w:r>
      <w:r w:rsidRPr="00B9060A">
        <w:rPr>
          <w:rFonts w:ascii="Arial" w:hAnsi="Arial" w:cs="Arial"/>
          <w:sz w:val="24"/>
          <w:szCs w:val="24"/>
          <w:rtl/>
        </w:rPr>
        <w:t xml:space="preserve"> </w:t>
      </w:r>
      <w:r w:rsidRPr="00B9060A">
        <w:rPr>
          <w:rFonts w:ascii="Arial" w:hAnsi="Arial" w:cs="Arial"/>
          <w:sz w:val="24"/>
          <w:szCs w:val="24"/>
        </w:rPr>
        <w:cr/>
      </w:r>
      <w:r w:rsidRPr="00B9060A">
        <w:rPr>
          <w:rFonts w:ascii="Arial" w:hAnsi="Arial" w:cs="Arial"/>
          <w:sz w:val="24"/>
          <w:szCs w:val="24"/>
        </w:rPr>
        <w:cr/>
      </w:r>
      <w:r w:rsidRPr="00B9060A">
        <w:rPr>
          <w:rFonts w:ascii="Arial" w:hAnsi="Arial" w:cs="Arial"/>
          <w:sz w:val="24"/>
          <w:szCs w:val="24"/>
          <w:rtl/>
        </w:rPr>
        <w:t xml:space="preserve"> </w:t>
      </w:r>
      <w:r w:rsidRPr="00B9060A">
        <w:rPr>
          <w:rFonts w:ascii="Arial" w:hAnsi="Arial" w:cs="Arial"/>
          <w:sz w:val="24"/>
          <w:szCs w:val="24"/>
        </w:rPr>
        <w:t>Ahora bien, este término comenzará a correr desde el momento que la obligación sea exigible</w:t>
      </w:r>
      <w:r w:rsidR="000E6B06" w:rsidRPr="00B9060A">
        <w:rPr>
          <w:rFonts w:ascii="Arial" w:hAnsi="Arial" w:cs="Arial"/>
          <w:sz w:val="24"/>
          <w:szCs w:val="24"/>
        </w:rPr>
        <w:t xml:space="preserve"> (…)    No obstante, cuando la obligación este (sic) circunscrita a un plazo, a una condición, a unos requisitos, a una especial actuación del acreedor, entre otras; (sic) el término de diez (10) años referido, comenzará a contarse desde la ocurrencia de estas circunstancias específicas que la hagan exigible.                                                                                            </w:t>
      </w:r>
      <w:r w:rsidRPr="00B9060A">
        <w:rPr>
          <w:rFonts w:ascii="Arial" w:hAnsi="Arial" w:cs="Arial"/>
          <w:sz w:val="24"/>
          <w:szCs w:val="24"/>
        </w:rPr>
        <w:cr/>
      </w:r>
      <w:r w:rsidRPr="00B9060A">
        <w:rPr>
          <w:rFonts w:ascii="Arial" w:hAnsi="Arial" w:cs="Arial"/>
          <w:sz w:val="24"/>
          <w:szCs w:val="24"/>
        </w:rPr>
        <w:cr/>
      </w:r>
      <w:r w:rsidR="000E6B06" w:rsidRPr="00B9060A">
        <w:rPr>
          <w:rFonts w:ascii="Arial" w:hAnsi="Arial" w:cs="Arial"/>
          <w:sz w:val="24"/>
          <w:szCs w:val="24"/>
        </w:rPr>
        <w:t>E</w:t>
      </w:r>
      <w:r w:rsidRPr="00B9060A">
        <w:rPr>
          <w:rFonts w:ascii="Arial" w:hAnsi="Arial" w:cs="Arial"/>
          <w:sz w:val="24"/>
          <w:szCs w:val="24"/>
        </w:rPr>
        <w:t>n resumen, el término de almacenamiento de datos de individuos que no hayan cancelado sus obligaciones financieras será de diez (10) años. Por consiguiente, la oportunidad jurídica de reportar en una  base de datos un deudor incumplido, comenzará a correr desde el día siguiente a aquel en el cual se hizo exigible la obligación</w:t>
      </w:r>
      <w:r w:rsidR="000E6B06" w:rsidRPr="00B9060A">
        <w:rPr>
          <w:rFonts w:ascii="Arial" w:hAnsi="Arial" w:cs="Arial"/>
          <w:sz w:val="24"/>
          <w:szCs w:val="24"/>
        </w:rPr>
        <w:t xml:space="preserve">.                                                                        </w:t>
      </w:r>
      <w:r w:rsidRPr="00B9060A">
        <w:rPr>
          <w:rFonts w:ascii="Arial" w:hAnsi="Arial" w:cs="Arial"/>
          <w:sz w:val="24"/>
          <w:szCs w:val="24"/>
        </w:rPr>
        <w:cr/>
      </w:r>
      <w:r w:rsidRPr="00B9060A">
        <w:rPr>
          <w:rFonts w:ascii="Arial" w:hAnsi="Arial" w:cs="Arial"/>
          <w:sz w:val="24"/>
          <w:szCs w:val="24"/>
        </w:rPr>
        <w:cr/>
        <w:t xml:space="preserve">En consecuencia, si un acreedor no reporta en el debido tiempo en una base de datos, el incumplimiento del deudor; (sic) en ningún momento podrá alegar </w:t>
      </w:r>
      <w:r w:rsidRPr="00B9060A">
        <w:rPr>
          <w:rFonts w:ascii="Arial" w:hAnsi="Arial" w:cs="Arial"/>
          <w:sz w:val="24"/>
          <w:szCs w:val="24"/>
        </w:rPr>
        <w:lastRenderedPageBreak/>
        <w:t>su propia culpa y por el contrario el deudor incumplido sólo podrá estar sujeto a la base de datos  desde el momento en el cual fue exigible la obligación y por un térmi</w:t>
      </w:r>
      <w:r w:rsidR="000E6B06" w:rsidRPr="00B9060A">
        <w:rPr>
          <w:rFonts w:ascii="Arial" w:hAnsi="Arial" w:cs="Arial"/>
          <w:sz w:val="24"/>
          <w:szCs w:val="24"/>
        </w:rPr>
        <w:t xml:space="preserve">no que no exceda los diez años".                                                             </w:t>
      </w:r>
      <w:r w:rsidRPr="00B9060A">
        <w:rPr>
          <w:rFonts w:ascii="Arial" w:hAnsi="Arial" w:cs="Arial"/>
          <w:sz w:val="24"/>
          <w:szCs w:val="24"/>
        </w:rPr>
        <w:cr/>
      </w:r>
    </w:p>
    <w:p w:rsidR="000E6B06" w:rsidRPr="00B9060A" w:rsidRDefault="00F56597" w:rsidP="000E6B06">
      <w:pPr>
        <w:jc w:val="both"/>
        <w:rPr>
          <w:rFonts w:ascii="Arial" w:hAnsi="Arial" w:cs="Arial"/>
          <w:sz w:val="24"/>
          <w:szCs w:val="24"/>
        </w:rPr>
      </w:pPr>
      <w:r w:rsidRPr="00B9060A">
        <w:rPr>
          <w:rFonts w:ascii="Arial" w:hAnsi="Arial" w:cs="Arial"/>
          <w:sz w:val="24"/>
          <w:szCs w:val="24"/>
        </w:rPr>
        <w:t xml:space="preserve">9º) Que no habiendo sida requerida judicialmente en su momento respecto de la obligación, ello no es óbice para que transcurridos </w:t>
      </w:r>
      <w:r w:rsidRPr="00B9060A">
        <w:rPr>
          <w:rFonts w:ascii="Arial" w:hAnsi="Arial" w:cs="Arial"/>
          <w:color w:val="FF0000"/>
          <w:sz w:val="24"/>
          <w:szCs w:val="24"/>
        </w:rPr>
        <w:t>XXXXX</w:t>
      </w:r>
      <w:r w:rsidRPr="00B9060A">
        <w:rPr>
          <w:rFonts w:ascii="Arial" w:hAnsi="Arial" w:cs="Arial"/>
          <w:sz w:val="24"/>
          <w:szCs w:val="24"/>
        </w:rPr>
        <w:t xml:space="preserve"> años, aún permanezca el reporte negativo en la base de datos; sobre el particular expresó la Corte Constitucional que La ley civil establece que la prescripción de la acción ordinaria (el mecanismo procesal que le permite a un acreedor obtener una declaración judicial respecto de la existencia de una obligación) ocurre en el término de 10 años, contado a partir de su exigibilidad. Así, no es posible entender que una obligación se extinga en período inferior a aquel y mucho menos, que el término de caducidad del dato financiero negativo se complete antes de dicho período. Por el contrario, el límite temporal de dicha información, tratándose de aquellas </w:t>
      </w:r>
      <w:proofErr w:type="spellStart"/>
      <w:r w:rsidRPr="00B9060A">
        <w:rPr>
          <w:rFonts w:ascii="Arial" w:hAnsi="Arial" w:cs="Arial"/>
          <w:sz w:val="24"/>
          <w:szCs w:val="24"/>
        </w:rPr>
        <w:t>subregla</w:t>
      </w:r>
      <w:proofErr w:type="spellEnd"/>
      <w:r w:rsidRPr="00B9060A">
        <w:rPr>
          <w:rFonts w:ascii="Arial" w:hAnsi="Arial" w:cs="Arial"/>
          <w:sz w:val="24"/>
          <w:szCs w:val="24"/>
        </w:rPr>
        <w:t xml:space="preserve"> (sic) en las cuales el deudor nunca paga, se extiende – a manera de sanción – por un período de 4 años contado a partir del momento en que la obligación prescribe</w:t>
      </w:r>
      <w:r w:rsidR="000E6B06" w:rsidRPr="00B9060A">
        <w:rPr>
          <w:rFonts w:ascii="Arial" w:hAnsi="Arial" w:cs="Arial"/>
          <w:sz w:val="24"/>
          <w:szCs w:val="24"/>
        </w:rPr>
        <w:t xml:space="preserve">.                              </w:t>
      </w:r>
      <w:r w:rsidRPr="00B9060A">
        <w:rPr>
          <w:rFonts w:ascii="Arial" w:hAnsi="Arial" w:cs="Arial"/>
          <w:sz w:val="24"/>
          <w:szCs w:val="24"/>
        </w:rPr>
        <w:cr/>
      </w:r>
      <w:r w:rsidRPr="00B9060A">
        <w:rPr>
          <w:rFonts w:ascii="Arial" w:hAnsi="Arial" w:cs="Arial"/>
          <w:sz w:val="24"/>
          <w:szCs w:val="24"/>
          <w:rtl/>
        </w:rPr>
        <w:t xml:space="preserve"> </w:t>
      </w:r>
      <w:r w:rsidRPr="00B9060A">
        <w:rPr>
          <w:rFonts w:ascii="Arial" w:hAnsi="Arial" w:cs="Arial"/>
          <w:sz w:val="24"/>
          <w:szCs w:val="24"/>
        </w:rPr>
        <w:cr/>
        <w:t>Esta Sala considera que si bien el juez de tutela carece de la facultad de decretar la prescripción de una obligación, ya que dicha prerrogativa corresponde a los jueces civiles, no necesita de una efectiva declaración judicial de prescripción para poder proteger el derecho fundamental al hábeas data</w:t>
      </w:r>
      <w:r w:rsidR="000E6B06" w:rsidRPr="00B9060A">
        <w:rPr>
          <w:rFonts w:ascii="Arial" w:hAnsi="Arial" w:cs="Arial"/>
          <w:sz w:val="24"/>
          <w:szCs w:val="24"/>
        </w:rPr>
        <w:t xml:space="preserve">.                                                                                                                       </w:t>
      </w:r>
      <w:r w:rsidRPr="00B9060A">
        <w:rPr>
          <w:rFonts w:ascii="Arial" w:hAnsi="Arial" w:cs="Arial"/>
          <w:sz w:val="24"/>
          <w:szCs w:val="24"/>
        </w:rPr>
        <w:cr/>
      </w:r>
    </w:p>
    <w:p w:rsidR="00F56597" w:rsidRPr="00B9060A" w:rsidRDefault="00F56597" w:rsidP="000E6B06">
      <w:pPr>
        <w:jc w:val="both"/>
        <w:rPr>
          <w:rFonts w:ascii="Arial" w:hAnsi="Arial" w:cs="Arial"/>
          <w:sz w:val="24"/>
          <w:szCs w:val="24"/>
        </w:rPr>
      </w:pPr>
      <w:r w:rsidRPr="00B9060A">
        <w:rPr>
          <w:rFonts w:ascii="Arial" w:hAnsi="Arial" w:cs="Arial"/>
          <w:sz w:val="24"/>
          <w:szCs w:val="24"/>
        </w:rPr>
        <w:t>Si bien el caso se resolvió negando la petición del accionante, ya que no cumplía con el término de caducidad del dato, la Corporación reconoció que no era necesaria la declaración judicial de prescripción de la obligación para contabilizar el término. De tal forma que el juez constitucional se encuentra facultado para contabilizar el término de diez años desde el momento en el que la obligación se hace exigible sin necesidad de la declaración judicial, para luego aplicar los cuatro años adicionales, a manera de sanción consagrada en la ley, con lo cual se cumple la caducidad del dato</w:t>
      </w:r>
      <w:r w:rsidR="000E6B06" w:rsidRPr="00B9060A">
        <w:rPr>
          <w:rFonts w:ascii="Arial" w:hAnsi="Arial" w:cs="Arial"/>
          <w:sz w:val="24"/>
          <w:szCs w:val="24"/>
        </w:rPr>
        <w:t xml:space="preserve">.                                              </w:t>
      </w:r>
      <w:r w:rsidRPr="00B9060A">
        <w:rPr>
          <w:rFonts w:ascii="Arial" w:hAnsi="Arial" w:cs="Arial"/>
          <w:sz w:val="24"/>
          <w:szCs w:val="24"/>
        </w:rPr>
        <w:cr/>
      </w:r>
      <w:r w:rsidRPr="00B9060A">
        <w:rPr>
          <w:rFonts w:ascii="Arial" w:hAnsi="Arial" w:cs="Arial"/>
          <w:sz w:val="24"/>
          <w:szCs w:val="24"/>
        </w:rPr>
        <w:cr/>
        <w:t>Dicha observación se entiende ajustada a derecho, si se tiene en cuenta que el actor depende de que el acreedor ejerza la acción de cobro para que pueda alegar la prescripción extintiva como excepción. De forma tal que, si se exigiera declaración judicial de prescripción respecto de una obligación frente a la cual el acreedor no adelante acción de cobro, el deudor no tendría oportunidad de excepcionar la prescripción, y en consecuencia no podría hacerse efectiva la caducidad del dato. Por lo tanto, en aras de proteger el derecho al olvido y al habeas data del deudor, el juez Constitucional tiene la potestad de contabilizar el término de diez años desde el momento en el que la obligación es exigible" (T-964-010).</w:t>
      </w:r>
      <w:r w:rsidR="000E6B06" w:rsidRPr="00B9060A">
        <w:rPr>
          <w:rFonts w:ascii="Arial" w:hAnsi="Arial" w:cs="Arial"/>
          <w:sz w:val="24"/>
          <w:szCs w:val="24"/>
        </w:rPr>
        <w:t xml:space="preserve">                                                                                                           </w:t>
      </w:r>
    </w:p>
    <w:p w:rsidR="00F56597" w:rsidRPr="00B9060A" w:rsidRDefault="00F56597" w:rsidP="002C1CDF">
      <w:pPr>
        <w:rPr>
          <w:rFonts w:ascii="Arial" w:hAnsi="Arial" w:cs="Arial"/>
          <w:sz w:val="24"/>
          <w:szCs w:val="24"/>
        </w:rPr>
      </w:pPr>
    </w:p>
    <w:p w:rsidR="00F56597" w:rsidRPr="00B9060A" w:rsidRDefault="00F56597" w:rsidP="000E6B06">
      <w:pPr>
        <w:jc w:val="both"/>
        <w:rPr>
          <w:rFonts w:ascii="Arial" w:hAnsi="Arial" w:cs="Arial"/>
          <w:sz w:val="24"/>
          <w:szCs w:val="24"/>
        </w:rPr>
      </w:pPr>
      <w:r w:rsidRPr="00B9060A">
        <w:rPr>
          <w:rFonts w:ascii="Arial" w:hAnsi="Arial" w:cs="Arial"/>
          <w:sz w:val="24"/>
          <w:szCs w:val="24"/>
        </w:rPr>
        <w:t>10º) Que con fundamento en lo expuesto solicito la supresión del reporte negativo de la base de datos.</w:t>
      </w:r>
      <w:r w:rsidR="000E6B06" w:rsidRPr="00B9060A">
        <w:rPr>
          <w:rFonts w:ascii="Arial" w:hAnsi="Arial" w:cs="Arial"/>
          <w:sz w:val="24"/>
          <w:szCs w:val="24"/>
        </w:rPr>
        <w:t xml:space="preserve">                                                                               </w:t>
      </w:r>
    </w:p>
    <w:p w:rsidR="00F56597" w:rsidRPr="00B9060A" w:rsidRDefault="00F56597" w:rsidP="002C1CDF">
      <w:pPr>
        <w:rPr>
          <w:rFonts w:ascii="Arial" w:hAnsi="Arial" w:cs="Arial"/>
          <w:sz w:val="24"/>
          <w:szCs w:val="24"/>
        </w:rPr>
      </w:pPr>
    </w:p>
    <w:p w:rsidR="00F56597" w:rsidRPr="00B9060A" w:rsidRDefault="00F56597" w:rsidP="002C1CDF">
      <w:pPr>
        <w:rPr>
          <w:rFonts w:ascii="Arial" w:hAnsi="Arial" w:cs="Arial"/>
          <w:sz w:val="24"/>
          <w:szCs w:val="24"/>
        </w:rPr>
      </w:pPr>
      <w:r w:rsidRPr="00B9060A">
        <w:rPr>
          <w:rFonts w:ascii="Arial" w:hAnsi="Arial" w:cs="Arial"/>
          <w:sz w:val="24"/>
          <w:szCs w:val="24"/>
        </w:rPr>
        <w:t>Agradeciendo la atención y respuesta oportuna,</w:t>
      </w:r>
    </w:p>
    <w:p w:rsidR="00F56597" w:rsidRPr="00B9060A" w:rsidRDefault="00F56597" w:rsidP="002C1CDF">
      <w:pPr>
        <w:rPr>
          <w:rFonts w:ascii="Arial" w:hAnsi="Arial" w:cs="Arial"/>
          <w:sz w:val="24"/>
          <w:szCs w:val="24"/>
        </w:rPr>
      </w:pPr>
    </w:p>
    <w:p w:rsidR="00F56597" w:rsidRPr="00B9060A" w:rsidRDefault="00F56597" w:rsidP="002C1CDF">
      <w:pPr>
        <w:rPr>
          <w:rFonts w:ascii="Arial" w:hAnsi="Arial" w:cs="Arial"/>
          <w:sz w:val="24"/>
          <w:szCs w:val="24"/>
        </w:rPr>
      </w:pPr>
      <w:r w:rsidRPr="00B9060A">
        <w:rPr>
          <w:rFonts w:ascii="Arial" w:hAnsi="Arial" w:cs="Arial"/>
          <w:sz w:val="24"/>
          <w:szCs w:val="24"/>
        </w:rPr>
        <w:t>Atentamente,</w:t>
      </w:r>
    </w:p>
    <w:p w:rsidR="00F56597" w:rsidRPr="00B9060A" w:rsidRDefault="00F56597" w:rsidP="002C1CDF">
      <w:pPr>
        <w:rPr>
          <w:rFonts w:ascii="Arial" w:hAnsi="Arial" w:cs="Arial"/>
          <w:sz w:val="24"/>
          <w:szCs w:val="24"/>
        </w:rPr>
      </w:pPr>
    </w:p>
    <w:p w:rsidR="00F56597" w:rsidRPr="00B9060A" w:rsidRDefault="00F56597" w:rsidP="002C1CDF">
      <w:pPr>
        <w:rPr>
          <w:rFonts w:ascii="Arial" w:hAnsi="Arial" w:cs="Arial"/>
          <w:sz w:val="24"/>
          <w:szCs w:val="24"/>
        </w:rPr>
      </w:pPr>
    </w:p>
    <w:p w:rsidR="00F56597" w:rsidRPr="00B9060A" w:rsidRDefault="00F56597" w:rsidP="002C1CDF">
      <w:pPr>
        <w:rPr>
          <w:rFonts w:ascii="Arial" w:hAnsi="Arial" w:cs="Arial"/>
          <w:sz w:val="24"/>
          <w:szCs w:val="24"/>
        </w:rPr>
      </w:pPr>
    </w:p>
    <w:p w:rsidR="00F56597" w:rsidRPr="00B9060A" w:rsidRDefault="00F56597" w:rsidP="002C1CDF">
      <w:pPr>
        <w:rPr>
          <w:rFonts w:ascii="Arial" w:hAnsi="Arial" w:cs="Arial"/>
          <w:sz w:val="24"/>
          <w:szCs w:val="24"/>
        </w:rPr>
      </w:pPr>
    </w:p>
    <w:p w:rsidR="00F56597" w:rsidRPr="00B9060A" w:rsidRDefault="00F56597" w:rsidP="002C1CDF">
      <w:pPr>
        <w:rPr>
          <w:rFonts w:ascii="Arial" w:hAnsi="Arial" w:cs="Arial"/>
          <w:sz w:val="24"/>
          <w:szCs w:val="24"/>
        </w:rPr>
      </w:pPr>
      <w:r w:rsidRPr="00B9060A">
        <w:rPr>
          <w:rFonts w:ascii="Arial" w:hAnsi="Arial" w:cs="Arial"/>
          <w:sz w:val="24"/>
          <w:szCs w:val="24"/>
        </w:rPr>
        <w:t>ANGELICA BERNAL CEFERINO</w:t>
      </w:r>
    </w:p>
    <w:p w:rsidR="00F56597" w:rsidRPr="00B9060A" w:rsidRDefault="00F56597" w:rsidP="002C1CDF">
      <w:pPr>
        <w:rPr>
          <w:rFonts w:ascii="Arial" w:hAnsi="Arial" w:cs="Arial"/>
          <w:sz w:val="24"/>
          <w:szCs w:val="24"/>
        </w:rPr>
      </w:pPr>
      <w:r w:rsidRPr="00B9060A">
        <w:rPr>
          <w:rFonts w:ascii="Arial" w:hAnsi="Arial" w:cs="Arial"/>
          <w:sz w:val="24"/>
          <w:szCs w:val="24"/>
        </w:rPr>
        <w:t>C.C.</w:t>
      </w:r>
    </w:p>
    <w:p w:rsidR="00F56597" w:rsidRPr="00B9060A" w:rsidRDefault="00F56597" w:rsidP="002C1CDF">
      <w:pPr>
        <w:rPr>
          <w:rFonts w:ascii="Arial" w:hAnsi="Arial" w:cs="Arial"/>
          <w:sz w:val="24"/>
          <w:szCs w:val="24"/>
        </w:rPr>
      </w:pPr>
    </w:p>
    <w:p w:rsidR="00F56597" w:rsidRPr="00B9060A" w:rsidRDefault="00F56597" w:rsidP="002C1CDF">
      <w:pPr>
        <w:rPr>
          <w:rFonts w:ascii="Arial" w:hAnsi="Arial" w:cs="Arial"/>
          <w:sz w:val="24"/>
          <w:szCs w:val="24"/>
        </w:rPr>
      </w:pPr>
    </w:p>
    <w:p w:rsidR="00F56597" w:rsidRPr="00B9060A" w:rsidRDefault="00F56597" w:rsidP="002C1CDF">
      <w:pPr>
        <w:rPr>
          <w:rFonts w:ascii="Arial" w:hAnsi="Arial" w:cs="Arial"/>
          <w:sz w:val="24"/>
          <w:szCs w:val="24"/>
        </w:rPr>
      </w:pPr>
    </w:p>
    <w:p w:rsidR="00F56597" w:rsidRPr="00B9060A" w:rsidRDefault="00F56597" w:rsidP="002C1CDF">
      <w:pPr>
        <w:rPr>
          <w:rFonts w:ascii="Arial" w:hAnsi="Arial" w:cs="Arial"/>
          <w:sz w:val="24"/>
          <w:szCs w:val="24"/>
        </w:rPr>
      </w:pPr>
      <w:r w:rsidRPr="00B9060A">
        <w:rPr>
          <w:rFonts w:ascii="Arial" w:hAnsi="Arial" w:cs="Arial"/>
          <w:sz w:val="24"/>
          <w:szCs w:val="24"/>
        </w:rPr>
        <w:t xml:space="preserve">Para efectos de notificación a la respuesta de este petitorio, aquella podrá adelantarse en mi domicilio </w:t>
      </w:r>
      <w:r w:rsidRPr="00B9060A">
        <w:rPr>
          <w:rFonts w:ascii="Arial" w:hAnsi="Arial" w:cs="Arial"/>
          <w:color w:val="FF0000"/>
          <w:sz w:val="24"/>
          <w:szCs w:val="24"/>
        </w:rPr>
        <w:t>CALLE…..XXXXX</w:t>
      </w:r>
    </w:p>
    <w:p w:rsidR="00F56597" w:rsidRPr="00B9060A" w:rsidRDefault="00F56597" w:rsidP="002C1CDF">
      <w:pPr>
        <w:rPr>
          <w:rFonts w:ascii="Arial" w:hAnsi="Arial" w:cs="Arial"/>
          <w:sz w:val="24"/>
          <w:szCs w:val="24"/>
        </w:rPr>
      </w:pPr>
    </w:p>
    <w:p w:rsidR="00F56597" w:rsidRPr="00B9060A" w:rsidRDefault="00F56597" w:rsidP="002C1CDF">
      <w:pPr>
        <w:rPr>
          <w:rFonts w:ascii="Arial" w:hAnsi="Arial" w:cs="Arial"/>
          <w:sz w:val="24"/>
          <w:szCs w:val="24"/>
        </w:rPr>
      </w:pPr>
    </w:p>
    <w:p w:rsidR="00CB2B3D" w:rsidRPr="00B9060A" w:rsidRDefault="00F56597" w:rsidP="002C1CDF">
      <w:pPr>
        <w:rPr>
          <w:rFonts w:ascii="Arial" w:hAnsi="Arial" w:cs="Arial"/>
          <w:sz w:val="24"/>
          <w:szCs w:val="24"/>
        </w:rPr>
      </w:pPr>
      <w:r w:rsidRPr="00B9060A">
        <w:rPr>
          <w:rFonts w:ascii="Arial" w:hAnsi="Arial" w:cs="Arial"/>
          <w:sz w:val="24"/>
          <w:szCs w:val="24"/>
        </w:rPr>
        <w:t xml:space="preserve"> </w:t>
      </w:r>
    </w:p>
    <w:sectPr w:rsidR="00CB2B3D" w:rsidRPr="00B9060A" w:rsidSect="0031088A">
      <w:footerReference w:type="default" r:id="rId6"/>
      <w:pgSz w:w="11906" w:h="16838"/>
      <w:pgMar w:top="1417" w:right="1701" w:bottom="1417" w:left="1701" w:header="708" w:footer="708" w:gutter="0"/>
      <w:cols w:space="708"/>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175B" w:rsidRDefault="0078175B" w:rsidP="00644E3A">
      <w:r>
        <w:separator/>
      </w:r>
    </w:p>
  </w:endnote>
  <w:endnote w:type="continuationSeparator" w:id="0">
    <w:p w:rsidR="0078175B" w:rsidRDefault="0078175B" w:rsidP="00644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4E3A" w:rsidRDefault="00644E3A">
    <w:pPr>
      <w:pStyle w:val="Piedepgina"/>
    </w:pPr>
    <w:r>
      <w:rPr>
        <w:rtl/>
      </w:rPr>
      <w:t>ELABORADA POR RSJ RECUSROS Y SOLUCIONES JURIDICAS</w:t>
    </w:r>
  </w:p>
  <w:p w:rsidR="00644E3A" w:rsidRDefault="00644E3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175B" w:rsidRDefault="0078175B" w:rsidP="00644E3A">
      <w:r>
        <w:separator/>
      </w:r>
    </w:p>
  </w:footnote>
  <w:footnote w:type="continuationSeparator" w:id="0">
    <w:p w:rsidR="0078175B" w:rsidRDefault="0078175B" w:rsidP="00644E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88A"/>
    <w:rsid w:val="000265DF"/>
    <w:rsid w:val="00051E80"/>
    <w:rsid w:val="000E6B06"/>
    <w:rsid w:val="00146809"/>
    <w:rsid w:val="002C1CDF"/>
    <w:rsid w:val="0031088A"/>
    <w:rsid w:val="004209CF"/>
    <w:rsid w:val="004378DA"/>
    <w:rsid w:val="0048162E"/>
    <w:rsid w:val="005178DC"/>
    <w:rsid w:val="00574E35"/>
    <w:rsid w:val="00644E3A"/>
    <w:rsid w:val="00675605"/>
    <w:rsid w:val="006D3C0C"/>
    <w:rsid w:val="0078175B"/>
    <w:rsid w:val="008D2637"/>
    <w:rsid w:val="00B9060A"/>
    <w:rsid w:val="00CB2B3D"/>
    <w:rsid w:val="00D30F90"/>
    <w:rsid w:val="00E3022E"/>
    <w:rsid w:val="00ED1FAB"/>
    <w:rsid w:val="00F141E5"/>
    <w:rsid w:val="00F565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58F6BC-EBDA-470E-A9A0-6169B05B7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jc w:val="righ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022E"/>
    <w:pPr>
      <w:bidi/>
    </w:pPr>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44E3A"/>
    <w:pPr>
      <w:tabs>
        <w:tab w:val="center" w:pos="4419"/>
        <w:tab w:val="right" w:pos="8838"/>
      </w:tabs>
    </w:pPr>
  </w:style>
  <w:style w:type="character" w:customStyle="1" w:styleId="EncabezadoCar">
    <w:name w:val="Encabezado Car"/>
    <w:basedOn w:val="Fuentedeprrafopredeter"/>
    <w:link w:val="Encabezado"/>
    <w:uiPriority w:val="99"/>
    <w:rsid w:val="00644E3A"/>
    <w:rPr>
      <w:lang w:val="es-CO"/>
    </w:rPr>
  </w:style>
  <w:style w:type="paragraph" w:styleId="Piedepgina">
    <w:name w:val="footer"/>
    <w:basedOn w:val="Normal"/>
    <w:link w:val="PiedepginaCar"/>
    <w:uiPriority w:val="99"/>
    <w:unhideWhenUsed/>
    <w:rsid w:val="00644E3A"/>
    <w:pPr>
      <w:tabs>
        <w:tab w:val="center" w:pos="4419"/>
        <w:tab w:val="right" w:pos="8838"/>
      </w:tabs>
    </w:pPr>
  </w:style>
  <w:style w:type="character" w:customStyle="1" w:styleId="PiedepginaCar">
    <w:name w:val="Pie de página Car"/>
    <w:basedOn w:val="Fuentedeprrafopredeter"/>
    <w:link w:val="Piedepgina"/>
    <w:uiPriority w:val="99"/>
    <w:rsid w:val="00644E3A"/>
    <w:rPr>
      <w:lang w:val="es-CO"/>
    </w:rPr>
  </w:style>
  <w:style w:type="paragraph" w:styleId="Textodeglobo">
    <w:name w:val="Balloon Text"/>
    <w:basedOn w:val="Normal"/>
    <w:link w:val="TextodegloboCar"/>
    <w:uiPriority w:val="99"/>
    <w:semiHidden/>
    <w:unhideWhenUsed/>
    <w:rsid w:val="00644E3A"/>
    <w:rPr>
      <w:rFonts w:ascii="Tahoma" w:hAnsi="Tahoma" w:cs="Tahoma"/>
      <w:sz w:val="16"/>
      <w:szCs w:val="16"/>
    </w:rPr>
  </w:style>
  <w:style w:type="character" w:customStyle="1" w:styleId="TextodegloboCar">
    <w:name w:val="Texto de globo Car"/>
    <w:basedOn w:val="Fuentedeprrafopredeter"/>
    <w:link w:val="Textodeglobo"/>
    <w:uiPriority w:val="99"/>
    <w:semiHidden/>
    <w:rsid w:val="00644E3A"/>
    <w:rPr>
      <w:rFonts w:ascii="Tahoma" w:hAnsi="Tahoma" w:cs="Tahoma"/>
      <w:sz w:val="16"/>
      <w:szCs w:val="16"/>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2055</Words>
  <Characters>11306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13335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WinSeven</dc:creator>
  <cp:lastModifiedBy>RsJuridicas</cp:lastModifiedBy>
  <cp:revision>2</cp:revision>
  <dcterms:created xsi:type="dcterms:W3CDTF">2017-09-28T15:03:00Z</dcterms:created>
  <dcterms:modified xsi:type="dcterms:W3CDTF">2017-09-28T15:03:00Z</dcterms:modified>
</cp:coreProperties>
</file>