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2BE9" w:rsidRDefault="00562BE9" w:rsidP="00562BE9">
      <w:pPr>
        <w:tabs>
          <w:tab w:val="left" w:pos="810"/>
        </w:tabs>
        <w:jc w:val="center"/>
        <w:rPr>
          <w:rFonts w:ascii="Arial" w:hAnsi="Arial" w:cs="Arial"/>
          <w:b/>
        </w:rPr>
      </w:pPr>
      <w:bookmarkStart w:id="0" w:name="_GoBack"/>
      <w:bookmarkEnd w:id="0"/>
      <w:r>
        <w:rPr>
          <w:rFonts w:ascii="Arial" w:hAnsi="Arial" w:cs="Arial"/>
          <w:b/>
        </w:rPr>
        <w:t>INCIDENTE DE NULIDAD</w:t>
      </w:r>
    </w:p>
    <w:p w:rsidR="00562BE9" w:rsidRDefault="00562BE9" w:rsidP="00562BE9">
      <w:pPr>
        <w:tabs>
          <w:tab w:val="left" w:pos="810"/>
        </w:tabs>
        <w:jc w:val="center"/>
        <w:rPr>
          <w:rFonts w:ascii="Arial" w:hAnsi="Arial" w:cs="Arial"/>
          <w:b/>
        </w:rPr>
      </w:pPr>
    </w:p>
    <w:p w:rsidR="00562BE9" w:rsidRDefault="00562BE9" w:rsidP="00562BE9">
      <w:pPr>
        <w:tabs>
          <w:tab w:val="left" w:pos="810"/>
        </w:tabs>
        <w:jc w:val="both"/>
        <w:rPr>
          <w:rFonts w:ascii="Arial" w:hAnsi="Arial" w:cs="Arial"/>
          <w:b/>
        </w:rPr>
      </w:pPr>
      <w:r>
        <w:rPr>
          <w:rFonts w:ascii="Arial" w:hAnsi="Arial" w:cs="Arial"/>
          <w:b/>
        </w:rPr>
        <w:t>Señor doctor</w:t>
      </w:r>
    </w:p>
    <w:p w:rsidR="00562BE9" w:rsidRDefault="00562BE9" w:rsidP="00562BE9">
      <w:pPr>
        <w:tabs>
          <w:tab w:val="left" w:pos="810"/>
        </w:tabs>
        <w:jc w:val="both"/>
        <w:rPr>
          <w:rFonts w:ascii="Arial" w:hAnsi="Arial" w:cs="Arial"/>
          <w:b/>
        </w:rPr>
      </w:pPr>
      <w:r>
        <w:rPr>
          <w:rFonts w:ascii="Arial" w:hAnsi="Arial" w:cs="Arial"/>
          <w:b/>
        </w:rPr>
        <w:t>Juez…</w:t>
      </w:r>
      <w:proofErr w:type="spellStart"/>
      <w:r>
        <w:rPr>
          <w:rFonts w:ascii="Arial" w:hAnsi="Arial" w:cs="Arial"/>
          <w:b/>
        </w:rPr>
        <w:t>civl</w:t>
      </w:r>
      <w:proofErr w:type="spellEnd"/>
      <w:r>
        <w:rPr>
          <w:rFonts w:ascii="Arial" w:hAnsi="Arial" w:cs="Arial"/>
          <w:b/>
        </w:rPr>
        <w:t xml:space="preserve"> municipal de …</w:t>
      </w:r>
      <w:proofErr w:type="gramStart"/>
      <w:r>
        <w:rPr>
          <w:rFonts w:ascii="Arial" w:hAnsi="Arial" w:cs="Arial"/>
          <w:b/>
        </w:rPr>
        <w:t>..</w:t>
      </w:r>
      <w:proofErr w:type="gramEnd"/>
    </w:p>
    <w:p w:rsidR="00562BE9" w:rsidRDefault="00562BE9" w:rsidP="00562BE9">
      <w:pPr>
        <w:tabs>
          <w:tab w:val="left" w:pos="810"/>
        </w:tabs>
        <w:jc w:val="both"/>
        <w:rPr>
          <w:rFonts w:ascii="Arial" w:hAnsi="Arial" w:cs="Arial"/>
          <w:b/>
        </w:rPr>
      </w:pPr>
      <w:r>
        <w:rPr>
          <w:rFonts w:ascii="Arial" w:hAnsi="Arial" w:cs="Arial"/>
          <w:b/>
        </w:rPr>
        <w:t>E.        S.         D.</w:t>
      </w:r>
    </w:p>
    <w:p w:rsidR="00562BE9" w:rsidRDefault="00562BE9" w:rsidP="00562BE9">
      <w:pPr>
        <w:tabs>
          <w:tab w:val="left" w:pos="810"/>
        </w:tabs>
        <w:jc w:val="both"/>
        <w:rPr>
          <w:rFonts w:ascii="Arial" w:hAnsi="Arial" w:cs="Arial"/>
          <w:b/>
        </w:rPr>
      </w:pPr>
      <w:proofErr w:type="spellStart"/>
      <w:r>
        <w:rPr>
          <w:rFonts w:ascii="Arial" w:hAnsi="Arial" w:cs="Arial"/>
          <w:b/>
        </w:rPr>
        <w:t>Ref</w:t>
      </w:r>
      <w:proofErr w:type="spellEnd"/>
      <w:r>
        <w:rPr>
          <w:rFonts w:ascii="Arial" w:hAnsi="Arial" w:cs="Arial"/>
          <w:b/>
        </w:rPr>
        <w:t xml:space="preserve">: radicación </w:t>
      </w:r>
      <w:proofErr w:type="gramStart"/>
      <w:r>
        <w:rPr>
          <w:rFonts w:ascii="Arial" w:hAnsi="Arial" w:cs="Arial"/>
          <w:b/>
        </w:rPr>
        <w:t>numero ……</w:t>
      </w:r>
      <w:proofErr w:type="gramEnd"/>
    </w:p>
    <w:p w:rsidR="00562BE9" w:rsidRDefault="00562BE9" w:rsidP="00562BE9">
      <w:pPr>
        <w:tabs>
          <w:tab w:val="left" w:pos="810"/>
        </w:tabs>
        <w:jc w:val="both"/>
        <w:rPr>
          <w:rFonts w:ascii="Arial" w:hAnsi="Arial" w:cs="Arial"/>
          <w:b/>
        </w:rPr>
      </w:pPr>
      <w:r>
        <w:rPr>
          <w:rFonts w:ascii="Arial" w:hAnsi="Arial" w:cs="Arial"/>
          <w:b/>
        </w:rPr>
        <w:t>Proceso: ejecutivo hipotecario</w:t>
      </w:r>
    </w:p>
    <w:p w:rsidR="00562BE9" w:rsidRDefault="00562BE9" w:rsidP="00562BE9">
      <w:pPr>
        <w:tabs>
          <w:tab w:val="left" w:pos="810"/>
        </w:tabs>
        <w:jc w:val="both"/>
        <w:rPr>
          <w:rFonts w:ascii="Arial" w:hAnsi="Arial" w:cs="Arial"/>
          <w:b/>
        </w:rPr>
      </w:pPr>
      <w:r>
        <w:rPr>
          <w:rFonts w:ascii="Arial" w:hAnsi="Arial" w:cs="Arial"/>
          <w:b/>
        </w:rPr>
        <w:t>Demandante……</w:t>
      </w:r>
    </w:p>
    <w:p w:rsidR="00562BE9" w:rsidRDefault="00562BE9" w:rsidP="00562BE9">
      <w:pPr>
        <w:tabs>
          <w:tab w:val="left" w:pos="810"/>
        </w:tabs>
        <w:jc w:val="both"/>
        <w:rPr>
          <w:rFonts w:ascii="Arial" w:hAnsi="Arial" w:cs="Arial"/>
          <w:b/>
        </w:rPr>
      </w:pPr>
      <w:r>
        <w:rPr>
          <w:rFonts w:ascii="Arial" w:hAnsi="Arial" w:cs="Arial"/>
          <w:b/>
        </w:rPr>
        <w:t>Demanda…….</w:t>
      </w:r>
    </w:p>
    <w:p w:rsidR="00562BE9" w:rsidRDefault="00562BE9" w:rsidP="00562BE9">
      <w:pPr>
        <w:tabs>
          <w:tab w:val="left" w:pos="810"/>
        </w:tabs>
        <w:jc w:val="both"/>
        <w:rPr>
          <w:rFonts w:ascii="Arial" w:hAnsi="Arial" w:cs="Arial"/>
          <w:b/>
        </w:rPr>
      </w:pPr>
    </w:p>
    <w:p w:rsidR="00562BE9" w:rsidRDefault="00562BE9" w:rsidP="00562BE9">
      <w:pPr>
        <w:tabs>
          <w:tab w:val="left" w:pos="810"/>
        </w:tabs>
        <w:jc w:val="both"/>
        <w:rPr>
          <w:rFonts w:ascii="Arial" w:hAnsi="Arial" w:cs="Arial"/>
          <w:b/>
        </w:rPr>
      </w:pPr>
    </w:p>
    <w:p w:rsidR="00562BE9" w:rsidRDefault="00562BE9" w:rsidP="00562BE9">
      <w:pPr>
        <w:tabs>
          <w:tab w:val="left" w:pos="810"/>
        </w:tabs>
        <w:jc w:val="both"/>
        <w:rPr>
          <w:rFonts w:ascii="Arial" w:hAnsi="Arial" w:cs="Arial"/>
          <w:b/>
        </w:rPr>
      </w:pPr>
      <w:r>
        <w:rPr>
          <w:rFonts w:ascii="Arial" w:hAnsi="Arial" w:cs="Arial"/>
          <w:b/>
        </w:rPr>
        <w:t xml:space="preserve">…..abogado en ejercicio, con oficina </w:t>
      </w:r>
      <w:proofErr w:type="gramStart"/>
      <w:r>
        <w:rPr>
          <w:rFonts w:ascii="Arial" w:hAnsi="Arial" w:cs="Arial"/>
          <w:b/>
        </w:rPr>
        <w:t>en …</w:t>
      </w:r>
      <w:proofErr w:type="gramEnd"/>
      <w:r>
        <w:rPr>
          <w:rFonts w:ascii="Arial" w:hAnsi="Arial" w:cs="Arial"/>
          <w:b/>
        </w:rPr>
        <w:t xml:space="preserve">……, portador de la T.P. No…….. </w:t>
      </w:r>
      <w:proofErr w:type="gramStart"/>
      <w:r>
        <w:rPr>
          <w:rFonts w:ascii="Arial" w:hAnsi="Arial" w:cs="Arial"/>
          <w:b/>
        </w:rPr>
        <w:t>del</w:t>
      </w:r>
      <w:proofErr w:type="gramEnd"/>
      <w:r>
        <w:rPr>
          <w:rFonts w:ascii="Arial" w:hAnsi="Arial" w:cs="Arial"/>
          <w:b/>
        </w:rPr>
        <w:t xml:space="preserve"> C.S.J. y C.C. No….de….., en mi condición de apoderado de la parte demandada, por medio del presente escrito me permito promover incidente de nulidad contra la providencia calendada </w:t>
      </w:r>
      <w:proofErr w:type="gramStart"/>
      <w:r>
        <w:rPr>
          <w:rFonts w:ascii="Arial" w:hAnsi="Arial" w:cs="Arial"/>
          <w:b/>
        </w:rPr>
        <w:t>el …</w:t>
      </w:r>
      <w:proofErr w:type="gramEnd"/>
      <w:r>
        <w:rPr>
          <w:rFonts w:ascii="Arial" w:hAnsi="Arial" w:cs="Arial"/>
          <w:b/>
        </w:rPr>
        <w:t>de….de…., por las siguientes razones.</w:t>
      </w:r>
    </w:p>
    <w:p w:rsidR="00562BE9" w:rsidRDefault="00562BE9" w:rsidP="00562BE9">
      <w:pPr>
        <w:tabs>
          <w:tab w:val="left" w:pos="810"/>
        </w:tabs>
        <w:jc w:val="both"/>
        <w:rPr>
          <w:rFonts w:ascii="Arial" w:hAnsi="Arial" w:cs="Arial"/>
          <w:b/>
        </w:rPr>
      </w:pPr>
    </w:p>
    <w:p w:rsidR="00562BE9" w:rsidRDefault="00562BE9" w:rsidP="00562BE9">
      <w:pPr>
        <w:tabs>
          <w:tab w:val="left" w:pos="810"/>
        </w:tabs>
        <w:jc w:val="center"/>
        <w:rPr>
          <w:rFonts w:ascii="Arial" w:hAnsi="Arial" w:cs="Arial"/>
          <w:b/>
        </w:rPr>
      </w:pPr>
      <w:r>
        <w:rPr>
          <w:rFonts w:ascii="Arial" w:hAnsi="Arial" w:cs="Arial"/>
          <w:b/>
        </w:rPr>
        <w:t>ANTECEDENTES</w:t>
      </w:r>
    </w:p>
    <w:p w:rsidR="00562BE9" w:rsidRDefault="00562BE9" w:rsidP="00562BE9">
      <w:pPr>
        <w:pStyle w:val="Prrafodelista"/>
        <w:numPr>
          <w:ilvl w:val="0"/>
          <w:numId w:val="1"/>
        </w:numPr>
        <w:tabs>
          <w:tab w:val="left" w:pos="810"/>
        </w:tabs>
        <w:jc w:val="both"/>
        <w:rPr>
          <w:rFonts w:ascii="Arial" w:hAnsi="Arial" w:cs="Arial"/>
          <w:b/>
        </w:rPr>
      </w:pPr>
      <w:r>
        <w:rPr>
          <w:rFonts w:ascii="Arial" w:hAnsi="Arial" w:cs="Arial"/>
          <w:b/>
        </w:rPr>
        <w:t xml:space="preserve">El suscrito en calidad de apoderado de la parte demandada promueve </w:t>
      </w:r>
      <w:r w:rsidRPr="00A2245A">
        <w:rPr>
          <w:rFonts w:ascii="Arial" w:hAnsi="Arial" w:cs="Arial"/>
          <w:b/>
        </w:rPr>
        <w:t>Excepciones</w:t>
      </w:r>
      <w:r>
        <w:rPr>
          <w:rFonts w:ascii="Arial" w:hAnsi="Arial" w:cs="Arial"/>
          <w:b/>
        </w:rPr>
        <w:t xml:space="preserve"> previas: una que trata de la caducidad por extinción de la hipoteca y otra, la extinción de la demanda ejecutiva, en su fallo al decidir en la parte resolutiva dice lo siguiente: “1. Declarándose no probadas las </w:t>
      </w:r>
      <w:r w:rsidRPr="00A2245A">
        <w:rPr>
          <w:rFonts w:ascii="Arial" w:hAnsi="Arial" w:cs="Arial"/>
          <w:b/>
        </w:rPr>
        <w:t xml:space="preserve">Excepciones </w:t>
      </w:r>
      <w:r>
        <w:rPr>
          <w:rFonts w:ascii="Arial" w:hAnsi="Arial" w:cs="Arial"/>
          <w:b/>
        </w:rPr>
        <w:t>de caducidad por las razones que se expusieron en la parte motiva”.</w:t>
      </w:r>
    </w:p>
    <w:p w:rsidR="00562BE9" w:rsidRDefault="00562BE9" w:rsidP="00562BE9">
      <w:pPr>
        <w:pStyle w:val="Prrafodelista"/>
        <w:numPr>
          <w:ilvl w:val="0"/>
          <w:numId w:val="1"/>
        </w:numPr>
        <w:tabs>
          <w:tab w:val="left" w:pos="810"/>
        </w:tabs>
        <w:jc w:val="both"/>
        <w:rPr>
          <w:rFonts w:ascii="Arial" w:hAnsi="Arial" w:cs="Arial"/>
          <w:b/>
        </w:rPr>
      </w:pPr>
      <w:r>
        <w:rPr>
          <w:rFonts w:ascii="Arial" w:hAnsi="Arial" w:cs="Arial"/>
          <w:b/>
        </w:rPr>
        <w:t>Que la providencia proferida el día …</w:t>
      </w:r>
      <w:proofErr w:type="gramStart"/>
      <w:r>
        <w:rPr>
          <w:rFonts w:ascii="Arial" w:hAnsi="Arial" w:cs="Arial"/>
          <w:b/>
        </w:rPr>
        <w:t>..</w:t>
      </w:r>
      <w:proofErr w:type="gramEnd"/>
      <w:r>
        <w:rPr>
          <w:rFonts w:ascii="Arial" w:hAnsi="Arial" w:cs="Arial"/>
          <w:b/>
        </w:rPr>
        <w:t>no tiene recurso de apelación en caso de haber sido denegada la excepción o excepciones propuestas.</w:t>
      </w:r>
    </w:p>
    <w:p w:rsidR="00562BE9" w:rsidRDefault="00562BE9" w:rsidP="00562BE9">
      <w:pPr>
        <w:pStyle w:val="Prrafodelista"/>
        <w:numPr>
          <w:ilvl w:val="0"/>
          <w:numId w:val="1"/>
        </w:numPr>
        <w:tabs>
          <w:tab w:val="left" w:pos="810"/>
        </w:tabs>
        <w:jc w:val="both"/>
        <w:rPr>
          <w:rFonts w:ascii="Arial" w:hAnsi="Arial" w:cs="Arial"/>
          <w:b/>
        </w:rPr>
      </w:pPr>
      <w:r>
        <w:rPr>
          <w:rFonts w:ascii="Arial" w:hAnsi="Arial" w:cs="Arial"/>
          <w:b/>
        </w:rPr>
        <w:t xml:space="preserve">Con la misma providencia se </w:t>
      </w:r>
      <w:proofErr w:type="spellStart"/>
      <w:r>
        <w:rPr>
          <w:rFonts w:ascii="Arial" w:hAnsi="Arial" w:cs="Arial"/>
          <w:b/>
        </w:rPr>
        <w:t>violo</w:t>
      </w:r>
      <w:proofErr w:type="spellEnd"/>
      <w:r>
        <w:rPr>
          <w:rFonts w:ascii="Arial" w:hAnsi="Arial" w:cs="Arial"/>
          <w:b/>
        </w:rPr>
        <w:t xml:space="preserve"> el debido proceso de qué trata el artículo 29 de la constitución política de Colombia, por omisión.</w:t>
      </w:r>
    </w:p>
    <w:p w:rsidR="00562BE9" w:rsidRDefault="00562BE9" w:rsidP="00562BE9">
      <w:pPr>
        <w:pStyle w:val="Prrafodelista"/>
        <w:numPr>
          <w:ilvl w:val="0"/>
          <w:numId w:val="1"/>
        </w:numPr>
        <w:tabs>
          <w:tab w:val="left" w:pos="810"/>
        </w:tabs>
        <w:jc w:val="both"/>
        <w:rPr>
          <w:rFonts w:ascii="Arial" w:hAnsi="Arial" w:cs="Arial"/>
          <w:b/>
        </w:rPr>
      </w:pPr>
      <w:r>
        <w:rPr>
          <w:rFonts w:ascii="Arial" w:hAnsi="Arial" w:cs="Arial"/>
          <w:b/>
        </w:rPr>
        <w:t>El juzgado en su razonamiento jurídico para tomar la decisión y proferir la providencia hace unas precisiones jurídicas las cuales no comparto, porque más bien toma filosóficamente lo manifestado por el abogado de la parte demandante.</w:t>
      </w:r>
    </w:p>
    <w:p w:rsidR="00562BE9" w:rsidRDefault="00562BE9" w:rsidP="00562BE9">
      <w:pPr>
        <w:pStyle w:val="Prrafodelista"/>
        <w:numPr>
          <w:ilvl w:val="0"/>
          <w:numId w:val="1"/>
        </w:numPr>
        <w:tabs>
          <w:tab w:val="left" w:pos="810"/>
        </w:tabs>
        <w:jc w:val="both"/>
        <w:rPr>
          <w:rFonts w:ascii="Arial" w:hAnsi="Arial" w:cs="Arial"/>
          <w:b/>
        </w:rPr>
      </w:pPr>
      <w:r>
        <w:rPr>
          <w:rFonts w:ascii="Arial" w:hAnsi="Arial" w:cs="Arial"/>
          <w:b/>
        </w:rPr>
        <w:t>La jurisprudencia de la corte que cita, como el comentario del doctor LOPEZ BLANCO, que plasma en la providencia, no son acordes a la realidad sobre el mérito de la ley que hay que darle al artículo 2457 del código civil.</w:t>
      </w:r>
    </w:p>
    <w:p w:rsidR="00562BE9" w:rsidRDefault="00562BE9" w:rsidP="00562BE9">
      <w:pPr>
        <w:tabs>
          <w:tab w:val="left" w:pos="810"/>
        </w:tabs>
        <w:jc w:val="both"/>
        <w:rPr>
          <w:rFonts w:ascii="Arial" w:hAnsi="Arial" w:cs="Arial"/>
          <w:b/>
        </w:rPr>
      </w:pPr>
    </w:p>
    <w:p w:rsidR="00562BE9" w:rsidRDefault="00562BE9" w:rsidP="00562BE9">
      <w:pPr>
        <w:tabs>
          <w:tab w:val="left" w:pos="810"/>
        </w:tabs>
        <w:jc w:val="center"/>
        <w:rPr>
          <w:rFonts w:ascii="Arial" w:hAnsi="Arial" w:cs="Arial"/>
          <w:b/>
        </w:rPr>
      </w:pPr>
      <w:r>
        <w:rPr>
          <w:rFonts w:ascii="Arial" w:hAnsi="Arial" w:cs="Arial"/>
          <w:b/>
        </w:rPr>
        <w:t>SUSTENTACION DEL INCIDENTE DE NULIDAD</w:t>
      </w:r>
    </w:p>
    <w:p w:rsidR="00562BE9" w:rsidRDefault="00562BE9" w:rsidP="00562BE9">
      <w:pPr>
        <w:tabs>
          <w:tab w:val="left" w:pos="810"/>
        </w:tabs>
        <w:jc w:val="center"/>
        <w:rPr>
          <w:rFonts w:ascii="Arial" w:hAnsi="Arial" w:cs="Arial"/>
          <w:b/>
        </w:rPr>
      </w:pPr>
    </w:p>
    <w:p w:rsidR="00562BE9" w:rsidRDefault="00562BE9" w:rsidP="00562BE9">
      <w:pPr>
        <w:tabs>
          <w:tab w:val="left" w:pos="810"/>
        </w:tabs>
        <w:jc w:val="both"/>
        <w:rPr>
          <w:rFonts w:ascii="Arial" w:hAnsi="Arial" w:cs="Arial"/>
          <w:b/>
        </w:rPr>
      </w:pPr>
      <w:r>
        <w:rPr>
          <w:rFonts w:ascii="Arial" w:hAnsi="Arial" w:cs="Arial"/>
          <w:b/>
        </w:rPr>
        <w:lastRenderedPageBreak/>
        <w:t>Antes de entrar a analizar los fenómenos jurídicos esbozados por su despacho al negar las decisiones previas propuestas  por el suscrito en representación de la parte demanda, me permito transcribir el artículo 230 de la constitución política nacional que dice:  “los jueces, en sus providencias, solo están sometidos al imperio de la ley,. La equidad, la jurisprudencia, los principios generales del derecho y doctrina son criterios auxiliares de la actividad judicial”, esta noma es concordante con el artículo 13, ibídem,  que trata sobre la igualdad del derecho.</w:t>
      </w:r>
    </w:p>
    <w:p w:rsidR="00562BE9" w:rsidRDefault="00562BE9" w:rsidP="00562BE9">
      <w:pPr>
        <w:tabs>
          <w:tab w:val="left" w:pos="810"/>
        </w:tabs>
        <w:jc w:val="both"/>
        <w:rPr>
          <w:rFonts w:ascii="Arial" w:hAnsi="Arial" w:cs="Arial"/>
          <w:b/>
        </w:rPr>
      </w:pPr>
      <w:r>
        <w:rPr>
          <w:rFonts w:ascii="Arial" w:hAnsi="Arial" w:cs="Arial"/>
          <w:b/>
        </w:rPr>
        <w:t>Por no encontrarme satisfecho con su providencia calendada el …</w:t>
      </w:r>
      <w:proofErr w:type="gramStart"/>
      <w:r>
        <w:rPr>
          <w:rFonts w:ascii="Arial" w:hAnsi="Arial" w:cs="Arial"/>
          <w:b/>
        </w:rPr>
        <w:t>..de</w:t>
      </w:r>
      <w:proofErr w:type="gramEnd"/>
      <w:r>
        <w:rPr>
          <w:rFonts w:ascii="Arial" w:hAnsi="Arial" w:cs="Arial"/>
          <w:b/>
        </w:rPr>
        <w:t>…..de….y por tener mi poderdante el interés jurídico en la proposición de incidente de nulidad , ya que se le están causando perjuicios , es de anotar que no se hizo un análisis de fondo, como lo explico en mi memorial de las excepciones que propuse , como son: 1.cducidad de la acción hipotecaria por extensión de la hipoteca y la obligación principal . 2. Caducidad de la acción ejecutiva hipotecaria, y en la parte resolutiva deciden a la vez ambas y no por separado se está haciendo en la providencia dentro de la parte resolutiva.</w:t>
      </w:r>
    </w:p>
    <w:p w:rsidR="00562BE9" w:rsidRDefault="00562BE9" w:rsidP="00562BE9">
      <w:pPr>
        <w:tabs>
          <w:tab w:val="left" w:pos="810"/>
        </w:tabs>
        <w:jc w:val="both"/>
        <w:rPr>
          <w:rFonts w:ascii="Arial" w:hAnsi="Arial" w:cs="Arial"/>
          <w:b/>
        </w:rPr>
      </w:pPr>
      <w:r>
        <w:rPr>
          <w:rFonts w:ascii="Arial" w:hAnsi="Arial" w:cs="Arial"/>
          <w:b/>
        </w:rPr>
        <w:t>La declaración de extensión de la obligación hipotecaria es cuestionable, ya que algunas personas a la luz del artículo 2457 del código civil no entran a analizar las situaciones jurídicas como lo contempla la citada norma, cuando ella dice que la obligación se extingue junto con la obligación principal. Se extingue, así mismo, por la resolución del derecho de que la constituyó, o por el evento de la acción resolutoria, según las reglas legales. Se extingue, además, por la llegada del día hasta el cual fue constituida. Y por la cancelación del acreedor, acordada por escritura pública, de que se tome razón al margen de la inscripción respectiva.</w:t>
      </w:r>
    </w:p>
    <w:p w:rsidR="00562BE9" w:rsidRDefault="00562BE9" w:rsidP="00562BE9">
      <w:pPr>
        <w:tabs>
          <w:tab w:val="left" w:pos="810"/>
        </w:tabs>
        <w:jc w:val="both"/>
        <w:rPr>
          <w:rFonts w:ascii="Arial" w:hAnsi="Arial" w:cs="Arial"/>
          <w:b/>
        </w:rPr>
      </w:pPr>
      <w:r>
        <w:rPr>
          <w:rFonts w:ascii="Arial" w:hAnsi="Arial" w:cs="Arial"/>
          <w:b/>
        </w:rPr>
        <w:t>Al llegarse la fecha del vencimiento del gravamen hipotecario, como lo explico en mi memorial en el cual propuse mis excepciones previas, en primer lugar ya estaba declarada la extensión de la obligación hipotecaria, es decir, al presentarse la demanda por parte del actor existía la caducidad;  y en cuanto a la segunda excepción que trata “2. La caducidad de la acción ejecutiva hipotecaria”,  al estar prescrita la acción de las dos letras de cambio, la una por $...,y la otra por $...., y la hipoteca que garantizaba el pago de esas dos letras mencionadas, tampoco podía librar mandamiento ejecutivo, la una que se trataba de hipoteca , que por sustracción de materia había vencido, las letras de cambio, que dentro del lapso de tiempo fueron giradas con garantía de la hipoteca , no podrían estar respaldadas porque había dejado de existir su garantía real.</w:t>
      </w:r>
    </w:p>
    <w:p w:rsidR="00562BE9" w:rsidRDefault="00562BE9" w:rsidP="00562BE9">
      <w:pPr>
        <w:tabs>
          <w:tab w:val="left" w:pos="810"/>
        </w:tabs>
        <w:jc w:val="both"/>
        <w:rPr>
          <w:rFonts w:ascii="Arial" w:hAnsi="Arial" w:cs="Arial"/>
          <w:b/>
        </w:rPr>
      </w:pPr>
      <w:r>
        <w:rPr>
          <w:rFonts w:ascii="Arial" w:hAnsi="Arial" w:cs="Arial"/>
          <w:b/>
        </w:rPr>
        <w:t>De acuerdo al art. 2438 del código civil: “la hipoteca podrá otorgarse bajo cualquier condición, desde y hasta cierto día.</w:t>
      </w:r>
    </w:p>
    <w:p w:rsidR="00562BE9" w:rsidRDefault="00562BE9" w:rsidP="00562BE9">
      <w:pPr>
        <w:tabs>
          <w:tab w:val="left" w:pos="810"/>
        </w:tabs>
        <w:jc w:val="both"/>
        <w:rPr>
          <w:rFonts w:ascii="Arial" w:hAnsi="Arial" w:cs="Arial"/>
          <w:b/>
        </w:rPr>
      </w:pPr>
      <w:r>
        <w:rPr>
          <w:rFonts w:ascii="Arial" w:hAnsi="Arial" w:cs="Arial"/>
          <w:b/>
        </w:rPr>
        <w:t>“otorgada bajo condición suspensiva o desde día cierto, no valdrá sino desde cuando se cumpla la condición o que llega el día; pero cumplida la condición o llegado el día, será su fecha la misma de su inscripción.</w:t>
      </w:r>
    </w:p>
    <w:p w:rsidR="00562BE9" w:rsidRDefault="00562BE9" w:rsidP="00562BE9">
      <w:pPr>
        <w:tabs>
          <w:tab w:val="left" w:pos="810"/>
        </w:tabs>
        <w:jc w:val="both"/>
        <w:rPr>
          <w:rFonts w:ascii="Arial" w:hAnsi="Arial" w:cs="Arial"/>
          <w:b/>
        </w:rPr>
      </w:pPr>
      <w:r>
        <w:rPr>
          <w:rFonts w:ascii="Arial" w:hAnsi="Arial" w:cs="Arial"/>
          <w:b/>
        </w:rPr>
        <w:t>“podrá así mismo  otorgarse en cualquier tiempo, antes o después de los contratos a que acceda, y correrá desde que se inscriba”.</w:t>
      </w:r>
    </w:p>
    <w:p w:rsidR="00562BE9" w:rsidRDefault="00562BE9" w:rsidP="00562BE9">
      <w:pPr>
        <w:tabs>
          <w:tab w:val="left" w:pos="810"/>
        </w:tabs>
        <w:jc w:val="both"/>
        <w:rPr>
          <w:rFonts w:ascii="Arial" w:hAnsi="Arial" w:cs="Arial"/>
          <w:b/>
        </w:rPr>
      </w:pPr>
      <w:r>
        <w:rPr>
          <w:rFonts w:ascii="Arial" w:hAnsi="Arial" w:cs="Arial"/>
          <w:b/>
        </w:rPr>
        <w:t xml:space="preserve">Observamos en la escritura pública de constitución del gravamen hipotecario que la fecha es fija en doce (12) meses y que esa de hipoteca no fue ampliada por las partes </w:t>
      </w:r>
      <w:r>
        <w:rPr>
          <w:rFonts w:ascii="Arial" w:hAnsi="Arial" w:cs="Arial"/>
          <w:b/>
        </w:rPr>
        <w:lastRenderedPageBreak/>
        <w:t>y tampoco se habló, en las cláusulas que contiene, de cualquier termino semejante de la ampliación, solamente que dentro de ese lapso de tiempo se giraban dos letras de cambio, una por $... y la otra de $.....; a la fecha de la presentación de la demanda ambas letras se encuentran prescritas en razón de la norma que dice en cuanto fue notificada después del año, que fue lo que se hizo y lo explico en el escrito en el que se presentó las excepciones correspondientes.</w:t>
      </w:r>
    </w:p>
    <w:p w:rsidR="00562BE9" w:rsidRDefault="00562BE9" w:rsidP="00562BE9">
      <w:pPr>
        <w:tabs>
          <w:tab w:val="left" w:pos="810"/>
        </w:tabs>
        <w:jc w:val="both"/>
        <w:rPr>
          <w:rFonts w:ascii="Arial" w:hAnsi="Arial" w:cs="Arial"/>
          <w:b/>
        </w:rPr>
      </w:pPr>
      <w:r>
        <w:rPr>
          <w:rFonts w:ascii="Arial" w:hAnsi="Arial" w:cs="Arial"/>
          <w:b/>
        </w:rPr>
        <w:t xml:space="preserve"> Además adjunto concepto de la oficina de registro de instrumentos públicos y privados </w:t>
      </w:r>
      <w:proofErr w:type="gramStart"/>
      <w:r>
        <w:rPr>
          <w:rFonts w:ascii="Arial" w:hAnsi="Arial" w:cs="Arial"/>
          <w:b/>
        </w:rPr>
        <w:t>de …</w:t>
      </w:r>
      <w:proofErr w:type="gramEnd"/>
      <w:r>
        <w:rPr>
          <w:rFonts w:ascii="Arial" w:hAnsi="Arial" w:cs="Arial"/>
          <w:b/>
        </w:rPr>
        <w:t>., en relación a la caducidad de que hemos venido hablando.</w:t>
      </w:r>
    </w:p>
    <w:p w:rsidR="00562BE9" w:rsidRDefault="00562BE9" w:rsidP="00562BE9">
      <w:pPr>
        <w:tabs>
          <w:tab w:val="left" w:pos="810"/>
        </w:tabs>
        <w:jc w:val="both"/>
        <w:rPr>
          <w:rFonts w:ascii="Arial" w:hAnsi="Arial" w:cs="Arial"/>
          <w:b/>
        </w:rPr>
      </w:pPr>
    </w:p>
    <w:p w:rsidR="00562BE9" w:rsidRDefault="00562BE9" w:rsidP="00562BE9">
      <w:pPr>
        <w:tabs>
          <w:tab w:val="left" w:pos="810"/>
        </w:tabs>
        <w:jc w:val="center"/>
        <w:rPr>
          <w:rFonts w:ascii="Arial" w:hAnsi="Arial" w:cs="Arial"/>
          <w:b/>
        </w:rPr>
      </w:pPr>
      <w:r>
        <w:rPr>
          <w:rFonts w:ascii="Arial" w:hAnsi="Arial" w:cs="Arial"/>
          <w:b/>
        </w:rPr>
        <w:t>PRUEBAS</w:t>
      </w:r>
    </w:p>
    <w:p w:rsidR="00562BE9" w:rsidRDefault="00562BE9" w:rsidP="00562BE9">
      <w:pPr>
        <w:tabs>
          <w:tab w:val="left" w:pos="810"/>
        </w:tabs>
        <w:jc w:val="center"/>
        <w:rPr>
          <w:rFonts w:ascii="Arial" w:hAnsi="Arial" w:cs="Arial"/>
          <w:b/>
        </w:rPr>
      </w:pPr>
    </w:p>
    <w:p w:rsidR="00562BE9" w:rsidRDefault="00562BE9" w:rsidP="00562BE9">
      <w:pPr>
        <w:pStyle w:val="Prrafodelista"/>
        <w:numPr>
          <w:ilvl w:val="0"/>
          <w:numId w:val="2"/>
        </w:numPr>
        <w:tabs>
          <w:tab w:val="left" w:pos="810"/>
        </w:tabs>
        <w:jc w:val="both"/>
        <w:rPr>
          <w:rFonts w:ascii="Arial" w:hAnsi="Arial" w:cs="Arial"/>
          <w:b/>
        </w:rPr>
      </w:pPr>
      <w:r>
        <w:rPr>
          <w:rFonts w:ascii="Arial" w:hAnsi="Arial" w:cs="Arial"/>
          <w:b/>
        </w:rPr>
        <w:t>Téngase como prueba la escritura pública No….en la notaria……del circulo de …., el día….de…de….que obra en el expediente y registrada …de…</w:t>
      </w:r>
      <w:proofErr w:type="gramStart"/>
      <w:r>
        <w:rPr>
          <w:rFonts w:ascii="Arial" w:hAnsi="Arial" w:cs="Arial"/>
          <w:b/>
        </w:rPr>
        <w:t>..</w:t>
      </w:r>
      <w:proofErr w:type="gramEnd"/>
    </w:p>
    <w:p w:rsidR="00562BE9" w:rsidRDefault="00562BE9" w:rsidP="00562BE9">
      <w:pPr>
        <w:pStyle w:val="Prrafodelista"/>
        <w:numPr>
          <w:ilvl w:val="0"/>
          <w:numId w:val="2"/>
        </w:numPr>
        <w:tabs>
          <w:tab w:val="left" w:pos="810"/>
        </w:tabs>
        <w:jc w:val="both"/>
        <w:rPr>
          <w:rFonts w:ascii="Arial" w:hAnsi="Arial" w:cs="Arial"/>
          <w:b/>
        </w:rPr>
      </w:pPr>
      <w:r>
        <w:rPr>
          <w:rFonts w:ascii="Arial" w:hAnsi="Arial" w:cs="Arial"/>
          <w:b/>
        </w:rPr>
        <w:t>El certificado de libertad que se adjuntó con la contestación de demanda que obra en el expediente.</w:t>
      </w:r>
    </w:p>
    <w:p w:rsidR="00562BE9" w:rsidRDefault="00562BE9" w:rsidP="00562BE9">
      <w:pPr>
        <w:pStyle w:val="Prrafodelista"/>
        <w:numPr>
          <w:ilvl w:val="0"/>
          <w:numId w:val="2"/>
        </w:numPr>
        <w:tabs>
          <w:tab w:val="left" w:pos="810"/>
        </w:tabs>
        <w:jc w:val="both"/>
        <w:rPr>
          <w:rFonts w:ascii="Arial" w:hAnsi="Arial" w:cs="Arial"/>
          <w:b/>
        </w:rPr>
      </w:pPr>
      <w:r>
        <w:rPr>
          <w:rFonts w:ascii="Arial" w:hAnsi="Arial" w:cs="Arial"/>
          <w:b/>
        </w:rPr>
        <w:t>Las letras de cambio que obran también en el expediente por las sumas arriba anotadas.</w:t>
      </w:r>
    </w:p>
    <w:p w:rsidR="00562BE9" w:rsidRDefault="00562BE9" w:rsidP="00562BE9">
      <w:pPr>
        <w:tabs>
          <w:tab w:val="left" w:pos="810"/>
        </w:tabs>
        <w:jc w:val="both"/>
        <w:rPr>
          <w:rFonts w:ascii="Arial" w:hAnsi="Arial" w:cs="Arial"/>
          <w:b/>
        </w:rPr>
      </w:pPr>
    </w:p>
    <w:p w:rsidR="00562BE9" w:rsidRDefault="00562BE9" w:rsidP="00562BE9">
      <w:pPr>
        <w:tabs>
          <w:tab w:val="left" w:pos="810"/>
        </w:tabs>
        <w:jc w:val="both"/>
        <w:rPr>
          <w:rFonts w:ascii="Arial" w:hAnsi="Arial" w:cs="Arial"/>
          <w:b/>
        </w:rPr>
      </w:pPr>
      <w:r>
        <w:rPr>
          <w:rFonts w:ascii="Arial" w:hAnsi="Arial" w:cs="Arial"/>
          <w:b/>
        </w:rPr>
        <w:t>Adjunto concepto de la oficina de registro de instrumentos públicos y privados de …</w:t>
      </w:r>
      <w:proofErr w:type="gramStart"/>
      <w:r>
        <w:rPr>
          <w:rFonts w:ascii="Arial" w:hAnsi="Arial" w:cs="Arial"/>
          <w:b/>
        </w:rPr>
        <w:t>..</w:t>
      </w:r>
      <w:proofErr w:type="gramEnd"/>
    </w:p>
    <w:p w:rsidR="00562BE9" w:rsidRDefault="00562BE9" w:rsidP="00562BE9">
      <w:pPr>
        <w:tabs>
          <w:tab w:val="left" w:pos="810"/>
        </w:tabs>
        <w:jc w:val="both"/>
        <w:rPr>
          <w:rFonts w:ascii="Arial" w:hAnsi="Arial" w:cs="Arial"/>
          <w:b/>
        </w:rPr>
      </w:pPr>
    </w:p>
    <w:p w:rsidR="00562BE9" w:rsidRDefault="00562BE9" w:rsidP="00562BE9">
      <w:pPr>
        <w:tabs>
          <w:tab w:val="left" w:pos="810"/>
        </w:tabs>
        <w:jc w:val="both"/>
        <w:rPr>
          <w:rFonts w:ascii="Arial" w:hAnsi="Arial" w:cs="Arial"/>
          <w:b/>
        </w:rPr>
      </w:pPr>
      <w:r>
        <w:rPr>
          <w:rFonts w:ascii="Arial" w:hAnsi="Arial" w:cs="Arial"/>
          <w:b/>
        </w:rPr>
        <w:t>Cordialmente</w:t>
      </w:r>
    </w:p>
    <w:p w:rsidR="00562BE9" w:rsidRDefault="00562BE9" w:rsidP="00562BE9">
      <w:pPr>
        <w:tabs>
          <w:tab w:val="left" w:pos="810"/>
        </w:tabs>
        <w:jc w:val="both"/>
        <w:rPr>
          <w:rFonts w:ascii="Arial" w:hAnsi="Arial" w:cs="Arial"/>
          <w:b/>
        </w:rPr>
      </w:pPr>
    </w:p>
    <w:p w:rsidR="00562BE9" w:rsidRDefault="00562BE9" w:rsidP="00562BE9">
      <w:pPr>
        <w:tabs>
          <w:tab w:val="left" w:pos="810"/>
        </w:tabs>
        <w:jc w:val="both"/>
        <w:rPr>
          <w:rFonts w:ascii="Arial" w:hAnsi="Arial" w:cs="Arial"/>
          <w:b/>
        </w:rPr>
      </w:pPr>
    </w:p>
    <w:p w:rsidR="00562BE9" w:rsidRDefault="00562BE9" w:rsidP="00562BE9">
      <w:pPr>
        <w:tabs>
          <w:tab w:val="left" w:pos="810"/>
        </w:tabs>
        <w:jc w:val="both"/>
        <w:rPr>
          <w:rFonts w:ascii="Arial" w:hAnsi="Arial" w:cs="Arial"/>
          <w:b/>
        </w:rPr>
      </w:pPr>
    </w:p>
    <w:p w:rsidR="00562BE9" w:rsidRDefault="00562BE9" w:rsidP="00562BE9">
      <w:pPr>
        <w:tabs>
          <w:tab w:val="left" w:pos="810"/>
        </w:tabs>
        <w:jc w:val="both"/>
        <w:rPr>
          <w:rFonts w:ascii="Arial" w:hAnsi="Arial" w:cs="Arial"/>
          <w:b/>
        </w:rPr>
      </w:pPr>
      <w:r>
        <w:rPr>
          <w:rFonts w:ascii="Arial" w:hAnsi="Arial" w:cs="Arial"/>
          <w:b/>
        </w:rPr>
        <w:t>……</w:t>
      </w:r>
    </w:p>
    <w:p w:rsidR="004B5545" w:rsidRDefault="004B5545"/>
    <w:sectPr w:rsidR="004B5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26831"/>
    <w:multiLevelType w:val="hybridMultilevel"/>
    <w:tmpl w:val="C5BC38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394C52F5"/>
    <w:multiLevelType w:val="hybridMultilevel"/>
    <w:tmpl w:val="BECAF4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BE9"/>
    <w:rsid w:val="004B5545"/>
    <w:rsid w:val="00562B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1FE5D4-A9A6-4D63-9757-01E74625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BE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62B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924</Words>
  <Characters>5088</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6001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1</cp:revision>
  <dcterms:created xsi:type="dcterms:W3CDTF">2016-03-29T19:52:00Z</dcterms:created>
  <dcterms:modified xsi:type="dcterms:W3CDTF">2016-03-29T19:52:00Z</dcterms:modified>
</cp:coreProperties>
</file>