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1F3864"/>
          <w:sz w:val="28"/>
          <w:szCs w:val="28"/>
        </w:rPr>
        <w:t xml:space="preserve">COMPLAINT TO THE U.S. SECURITIES AND EXCHANGE COMMISSION</w:t>
      </w:r>
    </w:p>
    <w:p>
      <w:pPr>
        <w:spacing w:after="200"/>
        <w:jc w:val="center"/>
      </w:pPr>
      <w:r>
        <w:rPr>
          <w:rFonts w:ascii="Times New Roman" w:cs="Times New Roman" w:eastAsia="Times New Roman" w:hAnsi="Times New Roman"/>
          <w:b/>
          <w:bCs/>
          <w:color w:val="595959"/>
          <w:sz w:val="24"/>
          <w:szCs w:val="24"/>
        </w:rPr>
        <w:t xml:space="preserve">Office of the Whistleblower</w:t>
      </w:r>
    </w:p>
    <w:p>
      <w:pPr>
        <w:pBdr>
          <w:bottom w:val="single" w:color="BFBFBF" w:sz="6" w:space="1"/>
        </w:pBdr>
        <w:spacing w:after="120" w:before="120"/>
      </w:pPr>
    </w:p>
    <w:p>
      <w:pPr>
        <w:spacing w:after="40"/>
      </w:pPr>
      <w:r>
        <w:rPr>
          <w:rFonts w:ascii="Times New Roman" w:cs="Times New Roman" w:eastAsia="Times New Roman" w:hAnsi="Times New Roman"/>
          <w:b/>
          <w:bCs/>
          <w:sz w:val="22"/>
          <w:szCs w:val="22"/>
        </w:rPr>
        <w:t xml:space="preserve">Date:  </w:t>
      </w:r>
      <w:r>
        <w:rPr>
          <w:rFonts w:ascii="Times New Roman" w:cs="Times New Roman" w:eastAsia="Times New Roman" w:hAnsi="Times New Roman"/>
          <w:sz w:val="22"/>
          <w:szCs w:val="22"/>
        </w:rPr>
        <w:t xml:space="preserve">May 7, 2026</w:t>
      </w:r>
    </w:p>
    <w:p>
      <w:pPr>
        <w:spacing w:after="40"/>
      </w:pPr>
    </w:p>
    <w:p>
      <w:pPr>
        <w:spacing w:after="40"/>
      </w:pPr>
      <w:r>
        <w:rPr>
          <w:rFonts w:ascii="Times New Roman" w:cs="Times New Roman" w:eastAsia="Times New Roman" w:hAnsi="Times New Roman"/>
          <w:b/>
          <w:bCs/>
          <w:sz w:val="22"/>
          <w:szCs w:val="22"/>
        </w:rPr>
        <w:t xml:space="preserve">To:  </w:t>
      </w:r>
      <w:r>
        <w:rPr>
          <w:rFonts w:ascii="Times New Roman" w:cs="Times New Roman" w:eastAsia="Times New Roman" w:hAnsi="Times New Roman"/>
          <w:sz w:val="22"/>
          <w:szCs w:val="22"/>
        </w:rPr>
        <w:t xml:space="preserve">U.S. Securities and Exchange Commission, Office of the Whistleblower</w:t>
      </w:r>
    </w:p>
    <w:p>
      <w:pPr>
        <w:spacing w:after="40"/>
        <w:ind w:left="460"/>
      </w:pPr>
      <w:r>
        <w:rPr>
          <w:rFonts w:ascii="Times New Roman" w:cs="Times New Roman" w:eastAsia="Times New Roman" w:hAnsi="Times New Roman"/>
          <w:sz w:val="22"/>
          <w:szCs w:val="22"/>
        </w:rPr>
        <w:t xml:space="preserve">100 F Street, NE, Washington, DC 20549</w:t>
      </w:r>
    </w:p>
    <w:p>
      <w:pPr>
        <w:spacing w:after="40" w:before="80"/>
      </w:pPr>
      <w:r>
        <w:rPr>
          <w:rFonts w:ascii="Times New Roman" w:cs="Times New Roman" w:eastAsia="Times New Roman" w:hAnsi="Times New Roman"/>
          <w:b/>
          <w:bCs/>
          <w:sz w:val="22"/>
          <w:szCs w:val="22"/>
        </w:rPr>
        <w:t xml:space="preserve">From:  </w:t>
      </w:r>
      <w:r>
        <w:rPr>
          <w:rFonts w:ascii="Times New Roman" w:cs="Times New Roman" w:eastAsia="Times New Roman" w:hAnsi="Times New Roman"/>
          <w:sz w:val="22"/>
          <w:szCs w:val="22"/>
        </w:rPr>
        <w:t xml:space="preserve">John-Michael Kuczynski, Ph.D.</w:t>
      </w:r>
    </w:p>
    <w:p>
      <w:pPr>
        <w:spacing w:after="40"/>
        <w:ind w:left="560"/>
      </w:pPr>
      <w:r>
        <w:rPr>
          <w:rFonts w:ascii="Times New Roman" w:cs="Times New Roman" w:eastAsia="Times New Roman" w:hAnsi="Times New Roman"/>
          <w:sz w:val="22"/>
          <w:szCs w:val="22"/>
        </w:rPr>
        <w:t xml:space="preserve">746 Stoney Point Road, Fayetteville, NC 28304</w:t>
      </w:r>
    </w:p>
    <w:p>
      <w:pPr>
        <w:spacing w:after="120"/>
        <w:ind w:left="560"/>
      </w:pPr>
      <w:r>
        <w:rPr>
          <w:rFonts w:ascii="Times New Roman" w:cs="Times New Roman" w:eastAsia="Times New Roman" w:hAnsi="Times New Roman"/>
          <w:sz w:val="22"/>
          <w:szCs w:val="22"/>
        </w:rPr>
        <w:t xml:space="preserve">jmkuczynski@yahoo.com</w:t>
      </w:r>
    </w:p>
    <w:p>
      <w:pPr>
        <w:spacing w:after="40"/>
      </w:pPr>
      <w:r>
        <w:rPr>
          <w:rFonts w:ascii="Times New Roman" w:cs="Times New Roman" w:eastAsia="Times New Roman" w:hAnsi="Times New Roman"/>
          <w:b/>
          <w:bCs/>
          <w:sz w:val="22"/>
          <w:szCs w:val="22"/>
        </w:rPr>
        <w:t xml:space="preserve">Re:  </w:t>
      </w:r>
      <w:r>
        <w:rPr>
          <w:rFonts w:ascii="Times New Roman" w:cs="Times New Roman" w:eastAsia="Times New Roman" w:hAnsi="Times New Roman"/>
          <w:b/>
          <w:bCs/>
          <w:sz w:val="22"/>
          <w:szCs w:val="22"/>
        </w:rPr>
        <w:t xml:space="preserve">Regulation Best Interest Violations — UBS Financial Services Inc. (CRD No. 8174); Jane Casey Hughes Revocable Trust Accounts</w:t>
      </w:r>
    </w:p>
    <w:p>
      <w:pPr>
        <w:pBdr>
          <w:bottom w:val="single" w:color="BFBFBF" w:sz="6" w:space="1"/>
        </w:pBdr>
        <w:spacing w:after="120" w:before="120"/>
      </w:pPr>
    </w:p>
    <w:p>
      <w:pPr>
        <w:pStyle w:val="Heading1"/>
        <w:keepNext/>
        <w:spacing w:after="140" w:before="320"/>
      </w:pPr>
      <w:r>
        <w:rPr>
          <w:rFonts w:ascii="Times New Roman" w:cs="Times New Roman" w:eastAsia="Times New Roman" w:hAnsi="Times New Roman"/>
          <w:b/>
          <w:bCs/>
          <w:color w:val="1F3864"/>
          <w:sz w:val="24"/>
          <w:szCs w:val="24"/>
        </w:rPr>
        <w:t xml:space="preserve">I.  </w:t>
      </w:r>
      <w:r>
        <w:rPr>
          <w:rFonts w:ascii="Times New Roman" w:cs="Times New Roman" w:eastAsia="Times New Roman" w:hAnsi="Times New Roman"/>
          <w:b/>
          <w:bCs/>
          <w:color w:val="1F3864"/>
          <w:sz w:val="24"/>
          <w:szCs w:val="24"/>
        </w:rPr>
        <w:t xml:space="preserve">SUMMARY</w:t>
      </w:r>
    </w:p>
    <w:p>
      <w:pPr>
        <w:spacing w:after="160" w:line="276"/>
        <w:jc w:val="both"/>
      </w:pPr>
      <w:r>
        <w:rPr>
          <w:rFonts w:ascii="Times New Roman" w:cs="Times New Roman" w:eastAsia="Times New Roman" w:hAnsi="Times New Roman"/>
          <w:sz w:val="22"/>
          <w:szCs w:val="22"/>
        </w:rPr>
        <w:t xml:space="preserve">On August 29, 2025, UBS Financial Advisor Jill Epstein liquidated a $6.9 million equity portfolio held in the Jane Casey Hughes Revocable Trust, generating </w:t>
      </w:r>
      <w:r>
        <w:rPr>
          <w:rFonts w:ascii="Times New Roman" w:cs="Times New Roman" w:eastAsia="Times New Roman" w:hAnsi="Times New Roman"/>
          <w:b/>
          <w:bCs/>
          <w:sz w:val="22"/>
          <w:szCs w:val="22"/>
        </w:rPr>
        <w:t xml:space="preserve">$473,533.05</w:t>
      </w:r>
      <w:r>
        <w:rPr>
          <w:rFonts w:ascii="Times New Roman" w:cs="Times New Roman" w:eastAsia="Times New Roman" w:hAnsi="Times New Roman"/>
          <w:sz w:val="22"/>
          <w:szCs w:val="22"/>
        </w:rPr>
        <w:t xml:space="preserve"> in avoidable capital gains tax liability. The Trust instrument required immediate distribution of trust assets to beneficiaries. Under Maryland trust law, those distributions should have been made in kind at stepped-up basis, with zero capital gains recognized. Instead, UBS liquidated the entire portfolio, generated massive tax liability, parked the proceeds in cash and fee-generating accounts, made zero distributions to beneficiaries, and restructured the account to maximize ongoing advisory fees. This conduct violated Regulation Best Interest, SEC Rule 15l-1.</w:t>
      </w:r>
    </w:p>
    <w:p>
      <w:pPr>
        <w:spacing w:after="160" w:line="276"/>
        <w:jc w:val="both"/>
      </w:pPr>
      <w:r>
        <w:rPr>
          <w:rFonts w:ascii="Times New Roman" w:cs="Times New Roman" w:eastAsia="Times New Roman" w:hAnsi="Times New Roman"/>
          <w:sz w:val="22"/>
          <w:szCs w:val="22"/>
        </w:rPr>
        <w:t xml:space="preserve">Sixty days after the liquidation, UBS restructured the single trust account into six separate accounts generating multiple sets of advisory fees. On the same day UBS opened five new accounts (October 29, 2025), UBS wired </w:t>
      </w:r>
      <w:r>
        <w:rPr>
          <w:rFonts w:ascii="Times New Roman" w:cs="Times New Roman" w:eastAsia="Times New Roman" w:hAnsi="Times New Roman"/>
          <w:b/>
          <w:bCs/>
          <w:sz w:val="22"/>
          <w:szCs w:val="22"/>
        </w:rPr>
        <w:t xml:space="preserve">$70,582.79</w:t>
      </w:r>
      <w:r>
        <w:rPr>
          <w:rFonts w:ascii="Times New Roman" w:cs="Times New Roman" w:eastAsia="Times New Roman" w:hAnsi="Times New Roman"/>
          <w:sz w:val="22"/>
          <w:szCs w:val="22"/>
        </w:rPr>
        <w:t xml:space="preserve"> from trust assets to the trustee's litigation counsel. As of the date of this complaint, zero dollars have been distributed to any beneficiary. The entire liquidation-and-restructuring sequence served UBS's financial interest in generating fees and served the trustee's interest in funding her defense litigation, but destroyed nearly half a million dollars in beneficiary value through avoidable taxation.</w:t>
      </w:r>
    </w:p>
    <w:p>
      <w:pPr>
        <w:pStyle w:val="Heading1"/>
        <w:keepNext/>
        <w:spacing w:after="140" w:before="320"/>
      </w:pPr>
      <w:r>
        <w:rPr>
          <w:rFonts w:ascii="Times New Roman" w:cs="Times New Roman" w:eastAsia="Times New Roman" w:hAnsi="Times New Roman"/>
          <w:b/>
          <w:bCs/>
          <w:color w:val="1F3864"/>
          <w:sz w:val="24"/>
          <w:szCs w:val="24"/>
        </w:rPr>
        <w:t xml:space="preserve">II.  </w:t>
      </w:r>
      <w:r>
        <w:rPr>
          <w:rFonts w:ascii="Times New Roman" w:cs="Times New Roman" w:eastAsia="Times New Roman" w:hAnsi="Times New Roman"/>
          <w:b/>
          <w:bCs/>
          <w:color w:val="1F3864"/>
          <w:sz w:val="24"/>
          <w:szCs w:val="24"/>
        </w:rPr>
        <w:t xml:space="preserve">COMPLAINANT INFORMATION</w:t>
      </w:r>
    </w:p>
    <w:p>
      <w:pPr>
        <w:spacing w:after="160" w:line="276"/>
        <w:jc w:val="both"/>
      </w:pPr>
      <w:r>
        <w:rPr>
          <w:rFonts w:ascii="Times New Roman" w:cs="Times New Roman" w:eastAsia="Times New Roman" w:hAnsi="Times New Roman"/>
          <w:sz w:val="22"/>
          <w:szCs w:val="22"/>
        </w:rPr>
        <w:t xml:space="preserve">I am John-Michael Kuczynski, a one-third residuary beneficiary of the Jane Casey Hughes Revocable Trust. The grantor, Jane Casey Hughes, died on December 7, 2024. Under the express terms of the Trust instrument, the trustee was required to distribute all trust assets to the three residuary beneficiaries immediately upon the grantor's death. The trustee, Carolina Reid, has made zero distributions. Instead, she has used trust assets to fund litigation against the beneficiaries while UBS has restructured the account to generate ongoing advisory fees from assets that should have been distributed seven months ago.</w:t>
      </w:r>
    </w:p>
    <w:p>
      <w:pPr>
        <w:spacing w:after="160" w:line="276"/>
        <w:jc w:val="both"/>
      </w:pPr>
      <w:r>
        <w:rPr>
          <w:rFonts w:ascii="Times New Roman" w:cs="Times New Roman" w:eastAsia="Times New Roman" w:hAnsi="Times New Roman"/>
          <w:sz w:val="22"/>
          <w:szCs w:val="22"/>
        </w:rPr>
        <w:t xml:space="preserve">I have filed a parallel complaint with FINRA addressing UBS's supervisory failures under FINRA Rules 3241, 3270, and 2165. This SEC complaint focuses narrowly on the Regulation Best Interest violations arising from the liquidation and restructuring decisions.</w:t>
      </w:r>
    </w:p>
    <w:p>
      <w:pPr>
        <w:pStyle w:val="Heading1"/>
        <w:keepNext/>
        <w:spacing w:after="140" w:before="320"/>
      </w:pPr>
      <w:r>
        <w:rPr>
          <w:rFonts w:ascii="Times New Roman" w:cs="Times New Roman" w:eastAsia="Times New Roman" w:hAnsi="Times New Roman"/>
          <w:b/>
          <w:bCs/>
          <w:color w:val="1F3864"/>
          <w:sz w:val="24"/>
          <w:szCs w:val="24"/>
        </w:rPr>
        <w:t xml:space="preserve">III.  </w:t>
      </w:r>
      <w:r>
        <w:rPr>
          <w:rFonts w:ascii="Times New Roman" w:cs="Times New Roman" w:eastAsia="Times New Roman" w:hAnsi="Times New Roman"/>
          <w:b/>
          <w:bCs/>
          <w:color w:val="1F3864"/>
          <w:sz w:val="24"/>
          <w:szCs w:val="24"/>
        </w:rPr>
        <w:t xml:space="preserve">SUBJECT FIRM AND ACCOUNTS</w:t>
      </w:r>
    </w:p>
    <w:p>
      <w:pPr>
        <w:spacing w:after="40"/>
      </w:pPr>
      <w:r>
        <w:rPr>
          <w:rFonts w:ascii="Times New Roman" w:cs="Times New Roman" w:eastAsia="Times New Roman" w:hAnsi="Times New Roman"/>
          <w:b/>
          <w:bCs/>
          <w:sz w:val="22"/>
          <w:szCs w:val="22"/>
        </w:rPr>
        <w:t xml:space="preserve">Firm:  </w:t>
      </w:r>
      <w:r>
        <w:rPr>
          <w:rFonts w:ascii="Times New Roman" w:cs="Times New Roman" w:eastAsia="Times New Roman" w:hAnsi="Times New Roman"/>
          <w:sz w:val="22"/>
          <w:szCs w:val="22"/>
        </w:rPr>
        <w:t xml:space="preserve">UBS Financial Services Inc.</w:t>
      </w:r>
    </w:p>
    <w:p>
      <w:pPr>
        <w:spacing w:after="40"/>
      </w:pPr>
      <w:r>
        <w:rPr>
          <w:rFonts w:ascii="Times New Roman" w:cs="Times New Roman" w:eastAsia="Times New Roman" w:hAnsi="Times New Roman"/>
          <w:b/>
          <w:bCs/>
          <w:sz w:val="22"/>
          <w:szCs w:val="22"/>
        </w:rPr>
        <w:t xml:space="preserve">CRD Number:  </w:t>
      </w:r>
      <w:r>
        <w:rPr>
          <w:rFonts w:ascii="Times New Roman" w:cs="Times New Roman" w:eastAsia="Times New Roman" w:hAnsi="Times New Roman"/>
          <w:sz w:val="22"/>
          <w:szCs w:val="22"/>
        </w:rPr>
        <w:t xml:space="preserve">8174</w:t>
      </w:r>
    </w:p>
    <w:p>
      <w:pPr>
        <w:spacing w:after="40"/>
      </w:pPr>
      <w:r>
        <w:rPr>
          <w:rFonts w:ascii="Times New Roman" w:cs="Times New Roman" w:eastAsia="Times New Roman" w:hAnsi="Times New Roman"/>
          <w:b/>
          <w:bCs/>
          <w:sz w:val="22"/>
          <w:szCs w:val="22"/>
        </w:rPr>
        <w:t xml:space="preserve">Financial Advisor:  </w:t>
      </w:r>
      <w:r>
        <w:rPr>
          <w:rFonts w:ascii="Times New Roman" w:cs="Times New Roman" w:eastAsia="Times New Roman" w:hAnsi="Times New Roman"/>
          <w:sz w:val="22"/>
          <w:szCs w:val="22"/>
        </w:rPr>
        <w:t xml:space="preserve">Jill M. Epstein</w:t>
      </w:r>
    </w:p>
    <w:p>
      <w:pPr>
        <w:spacing w:after="40"/>
      </w:pPr>
      <w:r>
        <w:rPr>
          <w:rFonts w:ascii="Times New Roman" w:cs="Times New Roman" w:eastAsia="Times New Roman" w:hAnsi="Times New Roman"/>
          <w:b/>
          <w:bCs/>
          <w:sz w:val="22"/>
          <w:szCs w:val="22"/>
        </w:rPr>
        <w:t xml:space="preserve">Branch:  </w:t>
      </w:r>
      <w:r>
        <w:rPr>
          <w:rFonts w:ascii="Times New Roman" w:cs="Times New Roman" w:eastAsia="Times New Roman" w:hAnsi="Times New Roman"/>
          <w:sz w:val="22"/>
          <w:szCs w:val="22"/>
        </w:rPr>
        <w:t xml:space="preserve">1285 Avenue of the Americas, New York, NY 10019</w:t>
      </w:r>
    </w:p>
    <w:p>
      <w:pPr>
        <w:spacing w:after="40"/>
      </w:pPr>
      <w:r>
        <w:rPr>
          <w:rFonts w:ascii="Times New Roman" w:cs="Times New Roman" w:eastAsia="Times New Roman" w:hAnsi="Times New Roman"/>
          <w:b/>
          <w:bCs/>
          <w:sz w:val="22"/>
          <w:szCs w:val="22"/>
        </w:rPr>
        <w:t xml:space="preserve">Branch Phone:  </w:t>
      </w:r>
      <w:r>
        <w:rPr>
          <w:rFonts w:ascii="Times New Roman" w:cs="Times New Roman" w:eastAsia="Times New Roman" w:hAnsi="Times New Roman"/>
          <w:sz w:val="22"/>
          <w:szCs w:val="22"/>
        </w:rPr>
        <w:t xml:space="preserve">212-713-7800</w:t>
      </w:r>
    </w:p>
    <w:p>
      <w:pPr>
        <w:spacing w:after="60" w:before="100"/>
      </w:pPr>
      <w:r>
        <w:rPr>
          <w:rFonts w:ascii="Times New Roman" w:cs="Times New Roman" w:eastAsia="Times New Roman" w:hAnsi="Times New Roman"/>
          <w:b/>
          <w:bCs/>
          <w:sz w:val="22"/>
          <w:szCs w:val="22"/>
        </w:rPr>
        <w:t xml:space="preserve">Trust Accounts (as of October 31, 2025):</w:t>
      </w:r>
    </w:p>
    <w:p>
      <w:pPr>
        <w:pStyle w:val="ListParagraph"/>
        <w:numPr>
          <w:ilvl w:val="0"/>
          <w:numId w:val="1"/>
        </w:numPr>
        <w:spacing w:after="80" w:line="276"/>
      </w:pPr>
      <w:r>
        <w:rPr>
          <w:rFonts w:ascii="Times New Roman" w:cs="Times New Roman" w:eastAsia="Times New Roman" w:hAnsi="Times New Roman"/>
          <w:sz w:val="22"/>
          <w:szCs w:val="22"/>
        </w:rPr>
        <w:t xml:space="preserve">Account KU-882 (original account, later renamed “RMA”)</w:t>
      </w:r>
    </w:p>
    <w:p>
      <w:pPr>
        <w:pStyle w:val="ListParagraph"/>
        <w:numPr>
          <w:ilvl w:val="0"/>
          <w:numId w:val="1"/>
        </w:numPr>
        <w:spacing w:after="80" w:line="276"/>
      </w:pPr>
      <w:r>
        <w:rPr>
          <w:rFonts w:ascii="Times New Roman" w:cs="Times New Roman" w:eastAsia="Times New Roman" w:hAnsi="Times New Roman"/>
          <w:sz w:val="22"/>
          <w:szCs w:val="22"/>
        </w:rPr>
        <w:t xml:space="preserve">Account KU-001 (“Dividend Ruler”)</w:t>
      </w:r>
    </w:p>
    <w:p>
      <w:pPr>
        <w:pStyle w:val="ListParagraph"/>
        <w:numPr>
          <w:ilvl w:val="0"/>
          <w:numId w:val="1"/>
        </w:numPr>
        <w:spacing w:after="80" w:line="276"/>
      </w:pPr>
      <w:r>
        <w:rPr>
          <w:rFonts w:ascii="Times New Roman" w:cs="Times New Roman" w:eastAsia="Times New Roman" w:hAnsi="Times New Roman"/>
          <w:sz w:val="22"/>
          <w:szCs w:val="22"/>
        </w:rPr>
        <w:t xml:space="preserve">Account KU-343 (“Municipal Bonds”)</w:t>
      </w:r>
    </w:p>
    <w:p>
      <w:pPr>
        <w:pStyle w:val="ListParagraph"/>
        <w:numPr>
          <w:ilvl w:val="0"/>
          <w:numId w:val="1"/>
        </w:numPr>
        <w:spacing w:after="80" w:line="276"/>
      </w:pPr>
      <w:r>
        <w:rPr>
          <w:rFonts w:ascii="Times New Roman" w:cs="Times New Roman" w:eastAsia="Times New Roman" w:hAnsi="Times New Roman"/>
          <w:sz w:val="22"/>
          <w:szCs w:val="22"/>
        </w:rPr>
        <w:t xml:space="preserve">Account KU-997 (“QGARP”)</w:t>
      </w:r>
    </w:p>
    <w:p>
      <w:pPr>
        <w:pStyle w:val="ListParagraph"/>
        <w:numPr>
          <w:ilvl w:val="0"/>
          <w:numId w:val="1"/>
        </w:numPr>
        <w:spacing w:after="80" w:line="276"/>
      </w:pPr>
      <w:r>
        <w:rPr>
          <w:rFonts w:ascii="Times New Roman" w:cs="Times New Roman" w:eastAsia="Times New Roman" w:hAnsi="Times New Roman"/>
          <w:sz w:val="22"/>
          <w:szCs w:val="22"/>
        </w:rPr>
        <w:t xml:space="preserve">Account KU-998 (“Mid Cap”)</w:t>
      </w:r>
    </w:p>
    <w:p>
      <w:pPr>
        <w:pStyle w:val="ListParagraph"/>
        <w:numPr>
          <w:ilvl w:val="0"/>
          <w:numId w:val="1"/>
        </w:numPr>
        <w:spacing w:after="80" w:line="276"/>
      </w:pPr>
      <w:r>
        <w:rPr>
          <w:rFonts w:ascii="Times New Roman" w:cs="Times New Roman" w:eastAsia="Times New Roman" w:hAnsi="Times New Roman"/>
          <w:sz w:val="22"/>
          <w:szCs w:val="22"/>
        </w:rPr>
        <w:t xml:space="preserve">Account KU-999 (sixth account)</w:t>
      </w:r>
    </w:p>
    <w:p>
      <w:pPr>
        <w:spacing w:after="160" w:line="276"/>
        <w:jc w:val="both"/>
      </w:pPr>
      <w:r>
        <w:rPr>
          <w:rFonts w:ascii="Times New Roman" w:cs="Times New Roman" w:eastAsia="Times New Roman" w:hAnsi="Times New Roman"/>
          <w:b/>
          <w:bCs/>
          <w:sz w:val="22"/>
          <w:szCs w:val="22"/>
        </w:rPr>
        <w:t xml:space="preserve">Total Assets Across All Six Accounts (October 31, 2025):</w:t>
      </w:r>
      <w:r>
        <w:rPr>
          <w:rFonts w:ascii="Times New Roman" w:cs="Times New Roman" w:eastAsia="Times New Roman" w:hAnsi="Times New Roman"/>
          <w:sz w:val="22"/>
          <w:szCs w:val="22"/>
        </w:rPr>
        <w:t xml:space="preserve"> $7,514,543.23.</w:t>
      </w:r>
    </w:p>
    <w:p>
      <w:pPr>
        <w:spacing w:after="40"/>
      </w:pPr>
      <w:r>
        <w:rPr>
          <w:rFonts w:ascii="Times New Roman" w:cs="Times New Roman" w:eastAsia="Times New Roman" w:hAnsi="Times New Roman"/>
          <w:b/>
          <w:bCs/>
          <w:sz w:val="22"/>
          <w:szCs w:val="22"/>
        </w:rPr>
        <w:t xml:space="preserve">UBS Internal Reference Number:  </w:t>
      </w:r>
      <w:r>
        <w:rPr>
          <w:rFonts w:ascii="Times New Roman" w:cs="Times New Roman" w:eastAsia="Times New Roman" w:hAnsi="Times New Roman"/>
          <w:sz w:val="22"/>
          <w:szCs w:val="22"/>
        </w:rPr>
        <w:t xml:space="preserve">43772714-2025-1115</w:t>
      </w:r>
    </w:p>
    <w:p>
      <w:pPr>
        <w:pStyle w:val="Heading1"/>
        <w:keepNext/>
        <w:spacing w:after="140" w:before="320"/>
      </w:pPr>
      <w:r>
        <w:rPr>
          <w:rFonts w:ascii="Times New Roman" w:cs="Times New Roman" w:eastAsia="Times New Roman" w:hAnsi="Times New Roman"/>
          <w:b/>
          <w:bCs/>
          <w:color w:val="1F3864"/>
          <w:sz w:val="24"/>
          <w:szCs w:val="24"/>
        </w:rPr>
        <w:t xml:space="preserve">IV.  </w:t>
      </w:r>
      <w:r>
        <w:rPr>
          <w:rFonts w:ascii="Times New Roman" w:cs="Times New Roman" w:eastAsia="Times New Roman" w:hAnsi="Times New Roman"/>
          <w:b/>
          <w:bCs/>
          <w:color w:val="1F3864"/>
          <w:sz w:val="24"/>
          <w:szCs w:val="24"/>
        </w:rPr>
        <w:t xml:space="preserve">REGULATION BEST INTEREST VIOLATIONS</w:t>
      </w:r>
    </w:p>
    <w:p>
      <w:pPr>
        <w:spacing w:after="160" w:line="276"/>
        <w:jc w:val="both"/>
      </w:pPr>
      <w:r>
        <w:rPr>
          <w:rFonts w:ascii="Times New Roman" w:cs="Times New Roman" w:eastAsia="Times New Roman" w:hAnsi="Times New Roman"/>
          <w:sz w:val="22"/>
          <w:szCs w:val="22"/>
        </w:rPr>
        <w:t xml:space="preserve">Regulation Best Interest, 17 CFR 240.15l-1, requires broker-dealers and their associated persons to act in the best interest of retail customers when making recommendations. The rule establishes four component obligations: disclosure, care, conflict of interest, and compliance. UBS violated the Care Obligation and the Conflict of Interest Obligation through the August 29, 2025 liquidation and the October 29, 2025 restructuring.</w:t>
      </w:r>
    </w:p>
    <w:p>
      <w:pPr>
        <w:pStyle w:val="Heading2"/>
        <w:keepNext/>
        <w:spacing w:after="100" w:before="200"/>
      </w:pPr>
      <w:r>
        <w:rPr>
          <w:rFonts w:ascii="Times New Roman" w:cs="Times New Roman" w:eastAsia="Times New Roman" w:hAnsi="Times New Roman"/>
          <w:b/>
          <w:bCs/>
          <w:i/>
          <w:iCs/>
          <w:color w:val="595959"/>
          <w:sz w:val="22"/>
          <w:szCs w:val="22"/>
        </w:rPr>
        <w:t xml:space="preserve">A. The Care Obligation Violation: Tax-Inefficient Liquidation</w:t>
      </w:r>
    </w:p>
    <w:p>
      <w:pPr>
        <w:spacing w:after="160" w:line="276"/>
        <w:jc w:val="both"/>
      </w:pPr>
      <w:r>
        <w:rPr>
          <w:rFonts w:ascii="Times New Roman" w:cs="Times New Roman" w:eastAsia="Times New Roman" w:hAnsi="Times New Roman"/>
          <w:sz w:val="22"/>
          <w:szCs w:val="22"/>
        </w:rPr>
        <w:t xml:space="preserve">On August 29, 2025, UBS liquidated approximately $6.87 million in long-held equity positions in a single transaction. (Exhibit A, UBS Combined July–August 2025 Statement, pages 17–18, “Sale” transactions dated August 29, 2025). The liquidation generated $473,533.05 in federal and state capital gains tax liability.</w:t>
      </w:r>
    </w:p>
    <w:p>
      <w:pPr>
        <w:spacing w:after="160" w:line="276"/>
        <w:jc w:val="both"/>
      </w:pPr>
      <w:r>
        <w:rPr>
          <w:rFonts w:ascii="Times New Roman" w:cs="Times New Roman" w:eastAsia="Times New Roman" w:hAnsi="Times New Roman"/>
          <w:sz w:val="22"/>
          <w:szCs w:val="22"/>
        </w:rPr>
        <w:t xml:space="preserve">That tax liability was entirely avoidable. The Trust instrument states: “Upon my death, my Trustee shall distribute the trust estate to my children, share and share alike.” (Trust instrument, Article III). Under Maryland trust law, the trustee was required to distribute trust assets immediately upon the grantor's December 7, 2024 death. Had UBS recommended in-kind distribution of the equity positions to the three beneficiaries at stepped-up basis under IRC Section 1014, zero capital gains would have been recognized. The beneficiaries would have received the full portfolio value. Instead, UBS liquidated everything, destroyed nearly half a million dollars in value through taxation, and parked the cash proceeds in accounts generating ongoing UBS fees.</w:t>
      </w:r>
    </w:p>
    <w:p>
      <w:pPr>
        <w:spacing w:after="160" w:line="276"/>
        <w:jc w:val="both"/>
      </w:pPr>
      <w:r>
        <w:rPr>
          <w:rFonts w:ascii="Times New Roman" w:cs="Times New Roman" w:eastAsia="Times New Roman" w:hAnsi="Times New Roman"/>
          <w:sz w:val="22"/>
          <w:szCs w:val="22"/>
        </w:rPr>
        <w:t xml:space="preserve">UBS Financial Advisor Jill Epstein knew or should have known that (1) the grantor had died, (2) the Trust required immediate distribution, (3) the beneficiaries were in active litigation seeking those distributions, and (4) liquidation would generate massive avoidable tax liability. A reasonable investigation of the customer's financial situation and objectives would have revealed that liquidation was the worst possible recommendation from a tax-efficiency standpoint. The Care Obligation requires broker-dealers to exercise reasonable diligence, care, and skill to understand the potential risks, rewards, and costs associated with a recommendation and to have a reasonable basis to believe the recommendation is in the best interest of the customer. 17 CFR 240.15l-1(a)(2). UBS failed that standard.</w:t>
      </w:r>
    </w:p>
    <w:p>
      <w:pPr>
        <w:spacing w:after="160" w:line="276"/>
        <w:jc w:val="both"/>
      </w:pPr>
      <w:r>
        <w:rPr>
          <w:rFonts w:ascii="Times New Roman" w:cs="Times New Roman" w:eastAsia="Times New Roman" w:hAnsi="Times New Roman"/>
          <w:sz w:val="22"/>
          <w:szCs w:val="22"/>
        </w:rPr>
        <w:t xml:space="preserve">The liquidation served no legitimate customer interest. It served UBS's interest in converting an account that was about to be distributed (terminating the advisory relationship and fee stream) into an account structure that would generate ongoing fees indefinitely.</w:t>
      </w:r>
    </w:p>
    <w:p>
      <w:pPr>
        <w:pStyle w:val="Heading2"/>
        <w:keepNext/>
        <w:spacing w:after="100" w:before="200"/>
      </w:pPr>
      <w:r>
        <w:rPr>
          <w:rFonts w:ascii="Times New Roman" w:cs="Times New Roman" w:eastAsia="Times New Roman" w:hAnsi="Times New Roman"/>
          <w:b/>
          <w:bCs/>
          <w:i/>
          <w:iCs/>
          <w:color w:val="595959"/>
          <w:sz w:val="22"/>
          <w:szCs w:val="22"/>
        </w:rPr>
        <w:t xml:space="preserve">B. The Conflict of Interest Violation: Fee-Maximizing Restructuring</w:t>
      </w:r>
    </w:p>
    <w:p>
      <w:pPr>
        <w:spacing w:after="160" w:line="276"/>
        <w:jc w:val="both"/>
      </w:pPr>
      <w:r>
        <w:rPr>
          <w:rFonts w:ascii="Times New Roman" w:cs="Times New Roman" w:eastAsia="Times New Roman" w:hAnsi="Times New Roman"/>
          <w:sz w:val="22"/>
          <w:szCs w:val="22"/>
        </w:rPr>
        <w:t xml:space="preserve">Sixty days after the liquidation, UBS restructured the single trust account (KU-882) into six separate accounts. (Exhibit B, UBS October 2025 Consolidated Statements). The portfolio composition changed as follows:</w:t>
      </w:r>
    </w:p>
    <w:tbl>
      <w:tblPr>
        <w:tblW w:type="dxa" w:w="9120"/>
        <w:tblBorders>
          <w:top w:val="single" w:color="BFBFBF" w:sz="4"/>
          <w:left w:val="single" w:color="BFBFBF" w:sz="4"/>
          <w:bottom w:val="single" w:color="BFBFBF" w:sz="4"/>
          <w:right w:val="single" w:color="BFBFBF" w:sz="4"/>
          <w:insideH w:val="single" w:color="BFBFBF" w:sz="2"/>
          <w:insideV w:val="single" w:color="BFBFBF" w:sz="2"/>
        </w:tblBorders>
      </w:tblPr>
      <w:tblGrid>
        <w:gridCol w:w="3200"/>
        <w:gridCol w:w="2960"/>
        <w:gridCol w:w="2960"/>
      </w:tblGrid>
      <w:tr>
        <w:trPr>
          <w:tblHeader/>
        </w:trPr>
        <w:tc>
          <w:tcPr>
            <w:tcW w:type="dxa" w:w="3200"/>
            <w:shd w:fill="1F3864"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Metric</w:t>
            </w:r>
          </w:p>
        </w:tc>
        <w:tc>
          <w:tcPr>
            <w:tcW w:type="dxa" w:w="2960"/>
            <w:shd w:fill="1F3864" w:color="auto"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Aug 29, 2025 (Pre)</w:t>
            </w:r>
          </w:p>
        </w:tc>
        <w:tc>
          <w:tcPr>
            <w:tcW w:type="dxa" w:w="2960"/>
            <w:shd w:fill="1F3864" w:color="auto"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Oct 31, 2025 (Post)</w:t>
            </w:r>
          </w:p>
        </w:tc>
      </w:tr>
      <w:tr>
        <w:trPr>
          <w:tblHeader w:val="false"/>
        </w:trPr>
        <w:tc>
          <w:tcPr>
            <w:tcW w:type="dxa" w:w="3200"/>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Number of accounts</w:t>
            </w:r>
          </w:p>
        </w:tc>
        <w:tc>
          <w:tcPr>
            <w:tcW w:type="dxa" w:w="2960"/>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w:t>
            </w:r>
          </w:p>
        </w:tc>
        <w:tc>
          <w:tcPr>
            <w:tcW w:type="dxa" w:w="2960"/>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6</w:t>
            </w:r>
          </w:p>
        </w:tc>
      </w:tr>
      <w:tr>
        <w:trPr>
          <w:tblHeader w:val="false"/>
        </w:trPr>
        <w:tc>
          <w:tcPr>
            <w:tcW w:type="dxa" w:w="3200"/>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Total portfolio value</w:t>
            </w:r>
          </w:p>
        </w:tc>
        <w:tc>
          <w:tcPr>
            <w:tcW w:type="dxa" w:w="2960"/>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$7,544,121.82</w:t>
            </w:r>
          </w:p>
        </w:tc>
        <w:tc>
          <w:tcPr>
            <w:tcW w:type="dxa" w:w="2960"/>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$7,514,543.23</w:t>
            </w:r>
          </w:p>
        </w:tc>
      </w:tr>
      <w:tr>
        <w:trPr>
          <w:tblHeader w:val="false"/>
        </w:trPr>
        <w:tc>
          <w:tcPr>
            <w:tcW w:type="dxa" w:w="3200"/>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Equity allocation</w:t>
            </w:r>
          </w:p>
        </w:tc>
        <w:tc>
          <w:tcPr>
            <w:tcW w:type="dxa" w:w="2960"/>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91.05%</w:t>
            </w:r>
          </w:p>
        </w:tc>
        <w:tc>
          <w:tcPr>
            <w:tcW w:type="dxa" w:w="2960"/>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21.95%</w:t>
            </w:r>
          </w:p>
        </w:tc>
      </w:tr>
      <w:tr>
        <w:trPr>
          <w:tblHeader w:val="false"/>
        </w:trPr>
        <w:tc>
          <w:tcPr>
            <w:tcW w:type="dxa" w:w="3200"/>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Cash &amp; cash alternatives</w:t>
            </w:r>
          </w:p>
        </w:tc>
        <w:tc>
          <w:tcPr>
            <w:tcW w:type="dxa" w:w="2960"/>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1.79%</w:t>
            </w:r>
          </w:p>
        </w:tc>
        <w:tc>
          <w:tcPr>
            <w:tcW w:type="dxa" w:w="2960"/>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78.05%</w:t>
            </w:r>
          </w:p>
        </w:tc>
      </w:tr>
      <w:tr>
        <w:trPr>
          <w:tblHeader w:val="false"/>
        </w:trPr>
        <w:tc>
          <w:tcPr>
            <w:tcW w:type="dxa" w:w="3200"/>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Distributions to beneficiaries</w:t>
            </w:r>
          </w:p>
        </w:tc>
        <w:tc>
          <w:tcPr>
            <w:tcW w:type="dxa" w:w="2960"/>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$0</w:t>
            </w:r>
          </w:p>
        </w:tc>
        <w:tc>
          <w:tcPr>
            <w:tcW w:type="dxa" w:w="2960"/>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$0</w:t>
            </w:r>
          </w:p>
        </w:tc>
      </w:tr>
    </w:tbl>
    <w:p>
      <w:pPr>
        <w:spacing w:after="120"/>
      </w:pPr>
    </w:p>
    <w:p>
      <w:pPr>
        <w:spacing w:after="160" w:line="276"/>
        <w:jc w:val="both"/>
      </w:pPr>
      <w:r>
        <w:rPr>
          <w:rFonts w:ascii="Times New Roman" w:cs="Times New Roman" w:eastAsia="Times New Roman" w:hAnsi="Times New Roman"/>
          <w:sz w:val="22"/>
          <w:szCs w:val="22"/>
        </w:rPr>
        <w:t xml:space="preserve">The restructuring served no investment purpose. The portfolio value remained essentially flat (a decline of approximately 0.4%), but the account structure was transformed from one fee-generating account to six fee-generating accounts. UBS now charges advisory fees on six separate accounts instead of one, multiplying its fee revenue from assets that should have been distributed to beneficiaries in December 2024.</w:t>
      </w:r>
    </w:p>
    <w:p>
      <w:pPr>
        <w:spacing w:after="160" w:line="276"/>
        <w:jc w:val="both"/>
      </w:pPr>
      <w:r>
        <w:rPr>
          <w:rFonts w:ascii="Times New Roman" w:cs="Times New Roman" w:eastAsia="Times New Roman" w:hAnsi="Times New Roman"/>
          <w:sz w:val="22"/>
          <w:szCs w:val="22"/>
        </w:rPr>
        <w:t xml:space="preserve">On the same day UBS opened the five new accounts (October 29, 2025), UBS wired $70,582.79 from trust assets to Offit Kurman, P.A., the trustee's outside litigation counsel. (Exhibit B, account KU-882, page 8, wire transaction dated October 29, 2025). That wire is the subject of a pending federal disgorgement motion. The temporal coincidence—five new fee-generating accounts opened and a same-day wire to the trustee's litigation counsel—demonstrates that the restructuring served the financial interests of UBS and the trustee, not the beneficiaries.</w:t>
      </w:r>
    </w:p>
    <w:p>
      <w:pPr>
        <w:spacing w:after="160" w:line="276"/>
        <w:jc w:val="both"/>
      </w:pPr>
      <w:r>
        <w:rPr>
          <w:rFonts w:ascii="Times New Roman" w:cs="Times New Roman" w:eastAsia="Times New Roman" w:hAnsi="Times New Roman"/>
          <w:sz w:val="22"/>
          <w:szCs w:val="22"/>
        </w:rPr>
        <w:t xml:space="preserve">The Conflict of Interest Obligation requires broker-dealers to establish, maintain, and enforce written policies and procedures reasonably designed to identify and disclose conflicts of interest and to mitigate or eliminate such conflicts. 17 CFR 240.15l-1(a)(2)(iii). UBS's financial interest in generating ongoing advisory fees from accounts that should have been closed and distributed created a material conflict with the beneficiaries' interest in receiving their distributions. UBS did not disclose that conflict. UBS did not mitigate it. Instead, UBS exploited it by liquidating a tax-efficient portfolio, generating avoidable tax liability, and restructuring the proceeds into a fee-maximizing account structure while making zero distributions to beneficiaries.</w:t>
      </w:r>
    </w:p>
    <w:p>
      <w:pPr>
        <w:pStyle w:val="Heading2"/>
        <w:keepNext/>
        <w:spacing w:after="100" w:before="200"/>
      </w:pPr>
      <w:r>
        <w:rPr>
          <w:rFonts w:ascii="Times New Roman" w:cs="Times New Roman" w:eastAsia="Times New Roman" w:hAnsi="Times New Roman"/>
          <w:b/>
          <w:bCs/>
          <w:i/>
          <w:iCs/>
          <w:color w:val="595959"/>
          <w:sz w:val="22"/>
          <w:szCs w:val="22"/>
        </w:rPr>
        <w:t xml:space="preserve">C. The Undated Restriction Notice: Enabling Continued Fee Extraction</w:t>
      </w:r>
    </w:p>
    <w:p>
      <w:pPr>
        <w:spacing w:after="160" w:line="276"/>
        <w:jc w:val="both"/>
      </w:pPr>
      <w:r>
        <w:rPr>
          <w:rFonts w:ascii="Times New Roman" w:cs="Times New Roman" w:eastAsia="Times New Roman" w:hAnsi="Times New Roman"/>
          <w:sz w:val="22"/>
          <w:szCs w:val="22"/>
        </w:rPr>
        <w:t xml:space="preserve">On January 6, 2026, UBS issued a formal account restriction notice to the trustee (UBS internal reference 43772714-2025-1115). The notice purported to freeze all trust account activity due to “conflicting instructions” from beneficiaries. However, the restriction notice was dated with no date on the letter itself. UBS's own outside counsel, Elizabeth Small of Offit Kurman, confirmed in writing on firm letterhead dated April 8, 2026, that the notice was “issued on January 6, 2026, in PDF form, with no date on the letter.” (Exhibit E, Liz Small Correspondence).</w:t>
      </w:r>
    </w:p>
    <w:p>
      <w:pPr>
        <w:spacing w:after="160" w:line="276"/>
        <w:jc w:val="both"/>
      </w:pPr>
      <w:r>
        <w:rPr>
          <w:rFonts w:ascii="Times New Roman" w:cs="Times New Roman" w:eastAsia="Times New Roman" w:hAnsi="Times New Roman"/>
          <w:sz w:val="22"/>
          <w:szCs w:val="22"/>
        </w:rPr>
        <w:t xml:space="preserve">The absence of a date on a formal account restriction notice is a books-and-records violation under SEC Rule 17a-3. More fundamentally, the undated restriction notice enabled UBS to continue extracting advisory fees from frozen accounts for an indefinite period. If the accounts were genuinely frozen due to conflicting instructions, UBS should have ceased all fee assessments and submitted the matter to interpleader or a qualified dispute resolution process. Instead, UBS issued an undated restriction, continued assessing fees on $7.5 million in assets, and made zero effort to distribute those assets to the beneficiaries entitled to them under the Trust instrument.</w:t>
      </w:r>
    </w:p>
    <w:p>
      <w:pPr>
        <w:spacing w:after="160" w:line="276"/>
        <w:jc w:val="both"/>
      </w:pPr>
      <w:r>
        <w:rPr>
          <w:rFonts w:ascii="Times New Roman" w:cs="Times New Roman" w:eastAsia="Times New Roman" w:hAnsi="Times New Roman"/>
          <w:sz w:val="22"/>
          <w:szCs w:val="22"/>
        </w:rPr>
        <w:t xml:space="preserve">The restriction notice served UBS's financial interest in prolonging the advisory relationship and fee stream. It did not serve the beneficiaries' interest in receiving their distributions.</w:t>
      </w:r>
    </w:p>
    <w:p>
      <w:pPr>
        <w:pStyle w:val="Heading1"/>
        <w:keepNext/>
        <w:spacing w:after="140" w:before="320"/>
      </w:pPr>
      <w:r>
        <w:rPr>
          <w:rFonts w:ascii="Times New Roman" w:cs="Times New Roman" w:eastAsia="Times New Roman" w:hAnsi="Times New Roman"/>
          <w:b/>
          <w:bCs/>
          <w:color w:val="1F3864"/>
          <w:sz w:val="24"/>
          <w:szCs w:val="24"/>
        </w:rPr>
        <w:t xml:space="preserve">V.  </w:t>
      </w:r>
      <w:r>
        <w:rPr>
          <w:rFonts w:ascii="Times New Roman" w:cs="Times New Roman" w:eastAsia="Times New Roman" w:hAnsi="Times New Roman"/>
          <w:b/>
          <w:bCs/>
          <w:color w:val="1F3864"/>
          <w:sz w:val="24"/>
          <w:szCs w:val="24"/>
        </w:rPr>
        <w:t xml:space="preserve">TIMELINE OF VIOLATIONS</w:t>
      </w:r>
    </w:p>
    <w:p>
      <w:pPr>
        <w:spacing w:after="120" w:line="276"/>
        <w:ind w:left="1440" w:hanging="1440"/>
        <w:jc w:val="both"/>
      </w:pPr>
      <w:r>
        <w:rPr>
          <w:rFonts w:ascii="Times New Roman" w:cs="Times New Roman" w:eastAsia="Times New Roman" w:hAnsi="Times New Roman"/>
          <w:b/>
          <w:bCs/>
          <w:color w:val="1F3864"/>
          <w:sz w:val="22"/>
          <w:szCs w:val="22"/>
        </w:rPr>
        <w:t xml:space="preserve">December 7, 2024:  </w:t>
      </w:r>
      <w:r>
        <w:rPr>
          <w:rFonts w:ascii="Times New Roman" w:cs="Times New Roman" w:eastAsia="Times New Roman" w:hAnsi="Times New Roman"/>
          <w:sz w:val="22"/>
          <w:szCs w:val="22"/>
        </w:rPr>
        <w:t xml:space="preserve">Grantor Jane Casey Hughes dies. Trust instrument requires immediate distribution to three beneficiaries.</w:t>
      </w:r>
    </w:p>
    <w:p>
      <w:pPr>
        <w:spacing w:after="120" w:line="276"/>
        <w:ind w:left="1440" w:hanging="1440"/>
        <w:jc w:val="both"/>
      </w:pPr>
      <w:r>
        <w:rPr>
          <w:rFonts w:ascii="Times New Roman" w:cs="Times New Roman" w:eastAsia="Times New Roman" w:hAnsi="Times New Roman"/>
          <w:b/>
          <w:bCs/>
          <w:color w:val="1F3864"/>
          <w:sz w:val="22"/>
          <w:szCs w:val="22"/>
        </w:rPr>
        <w:t xml:space="preserve">January 1, 2025:  </w:t>
      </w:r>
      <w:r>
        <w:rPr>
          <w:rFonts w:ascii="Times New Roman" w:cs="Times New Roman" w:eastAsia="Times New Roman" w:hAnsi="Times New Roman"/>
          <w:sz w:val="22"/>
          <w:szCs w:val="22"/>
        </w:rPr>
        <w:t xml:space="preserve">UBS accepts inbound transfer of ~$7 million into account KU-882 under a Power of Attorney naming UBS employee Violet Louise Reid (the trustee's daughter) as successor attorney-in-fact. No FINRA Rule 3241 approval or conflict-of-interest review is documented.</w:t>
      </w:r>
    </w:p>
    <w:p>
      <w:pPr>
        <w:spacing w:after="120" w:line="276"/>
        <w:ind w:left="1440" w:hanging="1440"/>
        <w:jc w:val="both"/>
      </w:pPr>
      <w:r>
        <w:rPr>
          <w:rFonts w:ascii="Times New Roman" w:cs="Times New Roman" w:eastAsia="Times New Roman" w:hAnsi="Times New Roman"/>
          <w:b/>
          <w:bCs/>
          <w:color w:val="1F3864"/>
          <w:sz w:val="22"/>
          <w:szCs w:val="22"/>
        </w:rPr>
        <w:t xml:space="preserve">July 2, 2025:  </w:t>
      </w:r>
      <w:r>
        <w:rPr>
          <w:rFonts w:ascii="Times New Roman" w:cs="Times New Roman" w:eastAsia="Times New Roman" w:hAnsi="Times New Roman"/>
          <w:sz w:val="22"/>
          <w:szCs w:val="22"/>
        </w:rPr>
        <w:t xml:space="preserve">Complainant's then-counsel serves formal third-party preservation notice on UBS at its registered agent address in Baltimore, identifying the pending civil litigation and demanding preservation of all trust account records from January 1, 2025 forward.</w:t>
      </w:r>
    </w:p>
    <w:p>
      <w:pPr>
        <w:spacing w:after="120" w:line="276"/>
        <w:ind w:left="1440" w:hanging="1440"/>
        <w:jc w:val="both"/>
      </w:pPr>
      <w:r>
        <w:rPr>
          <w:rFonts w:ascii="Times New Roman" w:cs="Times New Roman" w:eastAsia="Times New Roman" w:hAnsi="Times New Roman"/>
          <w:b/>
          <w:bCs/>
          <w:color w:val="1F3864"/>
          <w:sz w:val="22"/>
          <w:szCs w:val="22"/>
        </w:rPr>
        <w:t xml:space="preserve">August 29, 2025:  </w:t>
      </w:r>
      <w:r>
        <w:rPr>
          <w:rFonts w:ascii="Times New Roman" w:cs="Times New Roman" w:eastAsia="Times New Roman" w:hAnsi="Times New Roman"/>
          <w:sz w:val="22"/>
          <w:szCs w:val="22"/>
        </w:rPr>
        <w:t xml:space="preserve">UBS liquidates $6.87 million in long-held equity positions in a single transaction, generating $473,533.05 in avoidable capital gains tax liability. (Exhibit A).</w:t>
      </w:r>
    </w:p>
    <w:p>
      <w:pPr>
        <w:spacing w:after="120" w:line="276"/>
        <w:ind w:left="1440" w:hanging="1440"/>
        <w:jc w:val="both"/>
      </w:pPr>
      <w:r>
        <w:rPr>
          <w:rFonts w:ascii="Times New Roman" w:cs="Times New Roman" w:eastAsia="Times New Roman" w:hAnsi="Times New Roman"/>
          <w:b/>
          <w:bCs/>
          <w:color w:val="1F3864"/>
          <w:sz w:val="22"/>
          <w:szCs w:val="22"/>
        </w:rPr>
        <w:t xml:space="preserve">October 29, 2025:  </w:t>
      </w:r>
      <w:r>
        <w:rPr>
          <w:rFonts w:ascii="Times New Roman" w:cs="Times New Roman" w:eastAsia="Times New Roman" w:hAnsi="Times New Roman"/>
          <w:sz w:val="22"/>
          <w:szCs w:val="22"/>
        </w:rPr>
        <w:t xml:space="preserve">UBS restructures the single trust account into six separate accounts. On the same day, UBS wires $70,582.79 from trust assets to the trustee's litigation counsel. (Exhibit B).</w:t>
      </w:r>
    </w:p>
    <w:p>
      <w:pPr>
        <w:spacing w:after="120" w:line="276"/>
        <w:ind w:left="1440" w:hanging="1440"/>
        <w:jc w:val="both"/>
      </w:pPr>
      <w:r>
        <w:rPr>
          <w:rFonts w:ascii="Times New Roman" w:cs="Times New Roman" w:eastAsia="Times New Roman" w:hAnsi="Times New Roman"/>
          <w:b/>
          <w:bCs/>
          <w:color w:val="1F3864"/>
          <w:sz w:val="22"/>
          <w:szCs w:val="22"/>
        </w:rPr>
        <w:t xml:space="preserve">October 31, 2025:  </w:t>
      </w:r>
      <w:r>
        <w:rPr>
          <w:rFonts w:ascii="Times New Roman" w:cs="Times New Roman" w:eastAsia="Times New Roman" w:hAnsi="Times New Roman"/>
          <w:sz w:val="22"/>
          <w:szCs w:val="22"/>
        </w:rPr>
        <w:t xml:space="preserve">Portfolio composition now 78% cash and cash alternatives, 22% equities. Zero distributions made to any beneficiary.</w:t>
      </w:r>
    </w:p>
    <w:p>
      <w:pPr>
        <w:spacing w:after="120" w:line="276"/>
        <w:ind w:left="1440" w:hanging="1440"/>
        <w:jc w:val="both"/>
      </w:pPr>
      <w:r>
        <w:rPr>
          <w:rFonts w:ascii="Times New Roman" w:cs="Times New Roman" w:eastAsia="Times New Roman" w:hAnsi="Times New Roman"/>
          <w:b/>
          <w:bCs/>
          <w:color w:val="1F3864"/>
          <w:sz w:val="22"/>
          <w:szCs w:val="22"/>
        </w:rPr>
        <w:t xml:space="preserve">January 6, 2026:  </w:t>
      </w:r>
      <w:r>
        <w:rPr>
          <w:rFonts w:ascii="Times New Roman" w:cs="Times New Roman" w:eastAsia="Times New Roman" w:hAnsi="Times New Roman"/>
          <w:sz w:val="22"/>
          <w:szCs w:val="22"/>
        </w:rPr>
        <w:t xml:space="preserve">UBS issues undated account restriction notice (reference 43772714-2025-1115), freezing all account activity but continuing to assess advisory fees. (Exhibit E).</w:t>
      </w:r>
    </w:p>
    <w:p>
      <w:pPr>
        <w:spacing w:after="120" w:line="276"/>
        <w:ind w:left="1440" w:hanging="1440"/>
        <w:jc w:val="both"/>
      </w:pPr>
      <w:r>
        <w:rPr>
          <w:rFonts w:ascii="Times New Roman" w:cs="Times New Roman" w:eastAsia="Times New Roman" w:hAnsi="Times New Roman"/>
          <w:b/>
          <w:bCs/>
          <w:color w:val="1F3864"/>
          <w:sz w:val="22"/>
          <w:szCs w:val="22"/>
        </w:rPr>
        <w:t xml:space="preserve">April 17, 2026:  </w:t>
      </w:r>
      <w:r>
        <w:rPr>
          <w:rFonts w:ascii="Times New Roman" w:cs="Times New Roman" w:eastAsia="Times New Roman" w:hAnsi="Times New Roman"/>
          <w:sz w:val="22"/>
          <w:szCs w:val="22"/>
        </w:rPr>
        <w:t xml:space="preserve">Complainant files parallel complaint with FINRA Office of the Whistleblower addressing supervisory and books-and-records failures.</w:t>
      </w:r>
    </w:p>
    <w:p>
      <w:pPr>
        <w:pStyle w:val="Heading1"/>
        <w:keepNext/>
        <w:spacing w:after="140" w:before="320"/>
      </w:pPr>
      <w:r>
        <w:rPr>
          <w:rFonts w:ascii="Times New Roman" w:cs="Times New Roman" w:eastAsia="Times New Roman" w:hAnsi="Times New Roman"/>
          <w:b/>
          <w:bCs/>
          <w:color w:val="1F3864"/>
          <w:sz w:val="24"/>
          <w:szCs w:val="24"/>
        </w:rPr>
        <w:t xml:space="preserve">VI.  </w:t>
      </w:r>
      <w:r>
        <w:rPr>
          <w:rFonts w:ascii="Times New Roman" w:cs="Times New Roman" w:eastAsia="Times New Roman" w:hAnsi="Times New Roman"/>
          <w:b/>
          <w:bCs/>
          <w:color w:val="1F3864"/>
          <w:sz w:val="24"/>
          <w:szCs w:val="24"/>
        </w:rPr>
        <w:t xml:space="preserve">DOCUMENTARY EVIDENCE</w:t>
      </w:r>
    </w:p>
    <w:p>
      <w:pPr>
        <w:spacing w:after="160" w:line="276"/>
        <w:jc w:val="both"/>
      </w:pPr>
      <w:r>
        <w:rPr>
          <w:rFonts w:ascii="Times New Roman" w:cs="Times New Roman" w:eastAsia="Times New Roman" w:hAnsi="Times New Roman"/>
          <w:sz w:val="22"/>
          <w:szCs w:val="22"/>
        </w:rPr>
        <w:t xml:space="preserve">I attach three exhibits proving the Regulation Best Interest violations described above:</w:t>
      </w:r>
    </w:p>
    <w:p>
      <w:pPr>
        <w:spacing w:after="160" w:line="276"/>
        <w:jc w:val="both"/>
      </w:pPr>
      <w:r>
        <w:rPr>
          <w:rFonts w:ascii="Times New Roman" w:cs="Times New Roman" w:eastAsia="Times New Roman" w:hAnsi="Times New Roman"/>
          <w:b/>
          <w:bCs/>
          <w:sz w:val="22"/>
          <w:szCs w:val="22"/>
        </w:rPr>
        <w:t xml:space="preserve">Exhibit A:</w:t>
      </w:r>
      <w:r>
        <w:rPr>
          <w:rFonts w:ascii="Times New Roman" w:cs="Times New Roman" w:eastAsia="Times New Roman" w:hAnsi="Times New Roman"/>
          <w:sz w:val="22"/>
          <w:szCs w:val="22"/>
        </w:rPr>
        <w:t xml:space="preserve"> UBS Financial Services Inc. Combined July–August 2025 Monthly Statement, Account KU-882. This document proves the August 29, 2025 liquidation of $6.87 million in long-held equity positions in a single transaction. See pages 17–18, “Sale” transactions dated August 29, 2025.</w:t>
      </w:r>
    </w:p>
    <w:p>
      <w:pPr>
        <w:spacing w:after="160" w:line="276"/>
        <w:jc w:val="both"/>
      </w:pPr>
      <w:r>
        <w:rPr>
          <w:rFonts w:ascii="Times New Roman" w:cs="Times New Roman" w:eastAsia="Times New Roman" w:hAnsi="Times New Roman"/>
          <w:b/>
          <w:bCs/>
          <w:sz w:val="22"/>
          <w:szCs w:val="22"/>
        </w:rPr>
        <w:t xml:space="preserve">Exhibit B:</w:t>
      </w:r>
      <w:r>
        <w:rPr>
          <w:rFonts w:ascii="Times New Roman" w:cs="Times New Roman" w:eastAsia="Times New Roman" w:hAnsi="Times New Roman"/>
          <w:sz w:val="22"/>
          <w:szCs w:val="22"/>
        </w:rPr>
        <w:t xml:space="preserve"> UBS Financial Services Inc. October 2025 Consolidated Monthly Statements (six accounts). This document proves the October 29, 2025 restructuring from one account to six accounts, the shift from 91% equities to 22% equities, and the same-day wire of $70,582.79 to the trustee's litigation counsel. See consolidated summary page 3 and individual account statements.</w:t>
      </w:r>
    </w:p>
    <w:p>
      <w:pPr>
        <w:spacing w:after="160" w:line="276"/>
        <w:jc w:val="both"/>
      </w:pPr>
      <w:r>
        <w:rPr>
          <w:rFonts w:ascii="Times New Roman" w:cs="Times New Roman" w:eastAsia="Times New Roman" w:hAnsi="Times New Roman"/>
          <w:b/>
          <w:bCs/>
          <w:sz w:val="22"/>
          <w:szCs w:val="22"/>
        </w:rPr>
        <w:t xml:space="preserve">Exhibit E:</w:t>
      </w:r>
      <w:r>
        <w:rPr>
          <w:rFonts w:ascii="Times New Roman" w:cs="Times New Roman" w:eastAsia="Times New Roman" w:hAnsi="Times New Roman"/>
          <w:sz w:val="22"/>
          <w:szCs w:val="22"/>
        </w:rPr>
        <w:t xml:space="preserve"> Correspondence from Elizabeth Small, Esq., Offit Kurman, P.A., dated April 8, 2026, confirming that UBS issued the formal restriction notice (reference 43772714-2025-1115) “on January 6, 2026, in PDF form, with no date on the letter.”</w:t>
      </w:r>
    </w:p>
    <w:p>
      <w:pPr>
        <w:spacing w:after="160" w:line="276"/>
        <w:jc w:val="both"/>
      </w:pPr>
      <w:r>
        <w:rPr>
          <w:rFonts w:ascii="Times New Roman" w:cs="Times New Roman" w:eastAsia="Times New Roman" w:hAnsi="Times New Roman"/>
          <w:sz w:val="22"/>
          <w:szCs w:val="22"/>
        </w:rPr>
        <w:t xml:space="preserve">These three exhibits, read together, prove that UBS (1) liquidated a tax-efficient portfolio generating avoidable tax liability, (2) restructured the liquidated proceeds into a fee-maximizing account structure, (3) made zero distributions to beneficiaries, and (4) issued an undated restriction notice enabling continued fee extraction from frozen accounts.</w:t>
      </w:r>
    </w:p>
    <w:p>
      <w:pPr>
        <w:pStyle w:val="Heading1"/>
        <w:keepNext/>
        <w:spacing w:after="140" w:before="320"/>
      </w:pPr>
      <w:r>
        <w:rPr>
          <w:rFonts w:ascii="Times New Roman" w:cs="Times New Roman" w:eastAsia="Times New Roman" w:hAnsi="Times New Roman"/>
          <w:b/>
          <w:bCs/>
          <w:color w:val="1F3864"/>
          <w:sz w:val="24"/>
          <w:szCs w:val="24"/>
        </w:rPr>
        <w:t xml:space="preserve">VII.  </w:t>
      </w:r>
      <w:r>
        <w:rPr>
          <w:rFonts w:ascii="Times New Roman" w:cs="Times New Roman" w:eastAsia="Times New Roman" w:hAnsi="Times New Roman"/>
          <w:b/>
          <w:bCs/>
          <w:color w:val="1F3864"/>
          <w:sz w:val="24"/>
          <w:szCs w:val="24"/>
        </w:rPr>
        <w:t xml:space="preserve">QUANTIFIED INVESTOR HARM</w:t>
      </w:r>
    </w:p>
    <w:p>
      <w:pPr>
        <w:spacing w:after="160" w:line="276"/>
        <w:jc w:val="both"/>
      </w:pPr>
      <w:r>
        <w:rPr>
          <w:rFonts w:ascii="Times New Roman" w:cs="Times New Roman" w:eastAsia="Times New Roman" w:hAnsi="Times New Roman"/>
          <w:sz w:val="22"/>
          <w:szCs w:val="22"/>
        </w:rPr>
        <w:t xml:space="preserve">The Regulation Best Interest violations I report caused direct, quantifiable harm to the trust beneficiaries:</w:t>
      </w:r>
    </w:p>
    <w:p>
      <w:pPr>
        <w:spacing w:after="160" w:line="276"/>
        <w:jc w:val="both"/>
      </w:pPr>
      <w:r>
        <w:rPr>
          <w:rFonts w:ascii="Times New Roman" w:cs="Times New Roman" w:eastAsia="Times New Roman" w:hAnsi="Times New Roman"/>
          <w:b/>
          <w:bCs/>
          <w:sz w:val="22"/>
          <w:szCs w:val="22"/>
        </w:rPr>
        <w:t xml:space="preserve">Capital Gains Tax Harm:</w:t>
      </w:r>
      <w:r>
        <w:rPr>
          <w:rFonts w:ascii="Times New Roman" w:cs="Times New Roman" w:eastAsia="Times New Roman" w:hAnsi="Times New Roman"/>
          <w:sz w:val="22"/>
          <w:szCs w:val="22"/>
        </w:rPr>
        <w:t xml:space="preserve"> $473,533.05 in avoidable federal and state capital gains tax liability arising from the August 29, 2025 liquidation. Had UBS recommended in-kind distribution at stepped-up basis, this tax liability would have been zero.</w:t>
      </w:r>
    </w:p>
    <w:p>
      <w:pPr>
        <w:spacing w:after="160" w:line="276"/>
        <w:jc w:val="both"/>
      </w:pPr>
      <w:r>
        <w:rPr>
          <w:rFonts w:ascii="Times New Roman" w:cs="Times New Roman" w:eastAsia="Times New Roman" w:hAnsi="Times New Roman"/>
          <w:b/>
          <w:bCs/>
          <w:sz w:val="22"/>
          <w:szCs w:val="22"/>
        </w:rPr>
        <w:t xml:space="preserve">Ongoing Advisory Fee Harm:</w:t>
      </w:r>
      <w:r>
        <w:rPr>
          <w:rFonts w:ascii="Times New Roman" w:cs="Times New Roman" w:eastAsia="Times New Roman" w:hAnsi="Times New Roman"/>
          <w:sz w:val="22"/>
          <w:szCs w:val="22"/>
        </w:rPr>
        <w:t xml:space="preserve"> UBS continues to assess advisory fees on $7.5 million in trust assets that should have been distributed to beneficiaries in December 2024. The restructuring from one account to six accounts multiplied UBS's fee revenue. Assuming a 1% annual advisory fee (a conservative estimate for UBS wealth management accounts), UBS extracts approximately $75,000 per year in fees from assets the beneficiaries are entitled to receive immediately.</w:t>
      </w:r>
    </w:p>
    <w:p>
      <w:pPr>
        <w:spacing w:after="160" w:line="276"/>
        <w:jc w:val="both"/>
      </w:pPr>
      <w:r>
        <w:rPr>
          <w:rFonts w:ascii="Times New Roman" w:cs="Times New Roman" w:eastAsia="Times New Roman" w:hAnsi="Times New Roman"/>
          <w:b/>
          <w:bCs/>
          <w:sz w:val="22"/>
          <w:szCs w:val="22"/>
        </w:rPr>
        <w:t xml:space="preserve">Opportunity Cost Harm:</w:t>
      </w:r>
      <w:r>
        <w:rPr>
          <w:rFonts w:ascii="Times New Roman" w:cs="Times New Roman" w:eastAsia="Times New Roman" w:hAnsi="Times New Roman"/>
          <w:sz w:val="22"/>
          <w:szCs w:val="22"/>
        </w:rPr>
        <w:t xml:space="preserve"> The beneficiaries have been deprived of the use and investment of their $7.5 million in trust assets for seventeen months (December 2024 through April 2026). At a 5% annual return, the opportunity cost exceeds $600,000.</w:t>
      </w:r>
    </w:p>
    <w:p>
      <w:pPr>
        <w:spacing w:after="160" w:line="276"/>
        <w:jc w:val="both"/>
      </w:pPr>
      <w:r>
        <w:rPr>
          <w:rFonts w:ascii="Times New Roman" w:cs="Times New Roman" w:eastAsia="Times New Roman" w:hAnsi="Times New Roman"/>
          <w:b/>
          <w:bCs/>
          <w:sz w:val="22"/>
          <w:szCs w:val="22"/>
        </w:rPr>
        <w:t xml:space="preserve">Total Quantified Harm:</w:t>
      </w:r>
      <w:r>
        <w:rPr>
          <w:rFonts w:ascii="Times New Roman" w:cs="Times New Roman" w:eastAsia="Times New Roman" w:hAnsi="Times New Roman"/>
          <w:sz w:val="22"/>
          <w:szCs w:val="22"/>
        </w:rPr>
        <w:t xml:space="preserve"> Approximately $1.15 million in direct tax liability, excess fees, and opportunity costs, excluding the trustee's litigation expenses paid from trust assets.</w:t>
      </w:r>
    </w:p>
    <w:p>
      <w:pPr>
        <w:spacing w:after="160" w:line="276"/>
        <w:jc w:val="both"/>
      </w:pPr>
      <w:r>
        <w:rPr>
          <w:rFonts w:ascii="Times New Roman" w:cs="Times New Roman" w:eastAsia="Times New Roman" w:hAnsi="Times New Roman"/>
          <w:sz w:val="22"/>
          <w:szCs w:val="22"/>
        </w:rPr>
        <w:t xml:space="preserve">This harm was avoidable. UBS could have recommended in-kind distribution in December 2024 or January 2025, consistent with the Trust instrument and Maryland law, with zero tax liability and zero ongoing fees. Instead, UBS chose the course of action that maximized UBS revenue and trustee litigation funding while destroying beneficiary value.</w:t>
      </w:r>
    </w:p>
    <w:p>
      <w:pPr>
        <w:pStyle w:val="Heading1"/>
        <w:keepNext/>
        <w:spacing w:after="140" w:before="320"/>
      </w:pPr>
      <w:r>
        <w:rPr>
          <w:rFonts w:ascii="Times New Roman" w:cs="Times New Roman" w:eastAsia="Times New Roman" w:hAnsi="Times New Roman"/>
          <w:b/>
          <w:bCs/>
          <w:color w:val="1F3864"/>
          <w:sz w:val="24"/>
          <w:szCs w:val="24"/>
        </w:rPr>
        <w:t xml:space="preserve">VIII.  </w:t>
      </w:r>
      <w:r>
        <w:rPr>
          <w:rFonts w:ascii="Times New Roman" w:cs="Times New Roman" w:eastAsia="Times New Roman" w:hAnsi="Times New Roman"/>
          <w:b/>
          <w:bCs/>
          <w:color w:val="1F3864"/>
          <w:sz w:val="24"/>
          <w:szCs w:val="24"/>
        </w:rPr>
        <w:t xml:space="preserve">SUPERVISORY FAILURES ENABLING THE VIOLATIONS</w:t>
      </w:r>
    </w:p>
    <w:p>
      <w:pPr>
        <w:spacing w:after="160" w:line="276"/>
        <w:jc w:val="both"/>
      </w:pPr>
      <w:r>
        <w:rPr>
          <w:rFonts w:ascii="Times New Roman" w:cs="Times New Roman" w:eastAsia="Times New Roman" w:hAnsi="Times New Roman"/>
          <w:sz w:val="22"/>
          <w:szCs w:val="22"/>
        </w:rPr>
        <w:t xml:space="preserve">The Regulation Best Interest violations described above occurred against a backdrop of supervisory failures at UBS. I have reported those supervisory failures to FINRA in a parallel complaint, but I summarize them here because they enabled the liquidation and restructuring decisions that violated Reg BI.</w:t>
      </w:r>
    </w:p>
    <w:p>
      <w:pPr>
        <w:spacing w:after="160" w:line="276"/>
        <w:jc w:val="both"/>
      </w:pPr>
      <w:r>
        <w:rPr>
          <w:rFonts w:ascii="Times New Roman" w:cs="Times New Roman" w:eastAsia="Times New Roman" w:hAnsi="Times New Roman"/>
          <w:sz w:val="22"/>
          <w:szCs w:val="22"/>
        </w:rPr>
        <w:t xml:space="preserve">UBS accepted the January 1, 2025 inbound transfer of $7 million under a Power of Attorney that named, on the face of the instrument, a current UBS employee (Violet Louise Reid) as successor attorney-in-fact. The companion Trust instrument separately named the same UBS employee as backup successor trustee. That combination of facts—a UBS employee named as fiduciary in both the POA and the Trust—is the paradigm case FINRA Rule 3241 exists to identify. FINRA Rule 3241 prohibits registered persons from holding positions of trust for customers without prior written approval from the member firm. UBS has not produced, in any proceeding, any Rule 3241 approval, any conflict-of-interest review, any firewall memorandum, or any supervisory record addressing that conflict.</w:t>
      </w:r>
    </w:p>
    <w:p>
      <w:pPr>
        <w:spacing w:after="160" w:line="276"/>
        <w:jc w:val="both"/>
      </w:pPr>
      <w:r>
        <w:rPr>
          <w:rFonts w:ascii="Times New Roman" w:cs="Times New Roman" w:eastAsia="Times New Roman" w:hAnsi="Times New Roman"/>
          <w:sz w:val="22"/>
          <w:szCs w:val="22"/>
        </w:rPr>
        <w:t xml:space="preserve">Every subsequent event—the August liquidation, the October restructuring, the same-day wire to trustee's counsel, the undated restriction notice—occurred downstream of that absent supervisory baseline. A functioning Rule 3241 review process would have flagged the employee-fiduciary conflict at account opening. A functioning supervisory system would have escalated the August 2025 liquidation request for review, given the size of the transaction ($6.9 million), the tax consequences ($473,533), and the facial inconsistency with the Trust's mandatory-distribution language. No such review occurred. UBS processed the liquidation fifty-eight days after receiving formal litigation hold notice, with no documented supervisory approval or tax-efficiency analysis.</w:t>
      </w:r>
    </w:p>
    <w:p>
      <w:pPr>
        <w:spacing w:after="160" w:line="276"/>
        <w:jc w:val="both"/>
      </w:pPr>
      <w:r>
        <w:rPr>
          <w:rFonts w:ascii="Times New Roman" w:cs="Times New Roman" w:eastAsia="Times New Roman" w:hAnsi="Times New Roman"/>
          <w:sz w:val="22"/>
          <w:szCs w:val="22"/>
        </w:rPr>
        <w:t xml:space="preserve">The supervisory failures created the conditions under which the Reg BI violations could occur. UBS's internal controls were insufficient to prevent a financial advisor from recommending a liquidation that destroyed nearly half a million dollars in beneficiary value to generate ongoing UBS fees.</w:t>
      </w:r>
    </w:p>
    <w:p>
      <w:pPr>
        <w:pStyle w:val="Heading1"/>
        <w:keepNext/>
        <w:spacing w:after="140" w:before="320"/>
      </w:pPr>
      <w:r>
        <w:rPr>
          <w:rFonts w:ascii="Times New Roman" w:cs="Times New Roman" w:eastAsia="Times New Roman" w:hAnsi="Times New Roman"/>
          <w:b/>
          <w:bCs/>
          <w:color w:val="1F3864"/>
          <w:sz w:val="24"/>
          <w:szCs w:val="24"/>
        </w:rPr>
        <w:t xml:space="preserve">IX.  </w:t>
      </w:r>
      <w:r>
        <w:rPr>
          <w:rFonts w:ascii="Times New Roman" w:cs="Times New Roman" w:eastAsia="Times New Roman" w:hAnsi="Times New Roman"/>
          <w:b/>
          <w:bCs/>
          <w:color w:val="1F3864"/>
          <w:sz w:val="24"/>
          <w:szCs w:val="24"/>
        </w:rPr>
        <w:t xml:space="preserve">ADDITIONAL CONSIDERATIONS: SENIOR INVESTOR PROTECTION</w:t>
      </w:r>
    </w:p>
    <w:p>
      <w:pPr>
        <w:spacing w:after="160" w:line="276"/>
        <w:jc w:val="both"/>
      </w:pPr>
      <w:r>
        <w:rPr>
          <w:rFonts w:ascii="Times New Roman" w:cs="Times New Roman" w:eastAsia="Times New Roman" w:hAnsi="Times New Roman"/>
          <w:sz w:val="22"/>
          <w:szCs w:val="22"/>
        </w:rPr>
        <w:t xml:space="preserve">At the time of the January 1, 2025 account transfer, the grantor Jane Casey Hughes was eighty-seven years old. She died eleven months later, on December 7, 2024. UBS opened the account, accepted the employee-fiduciary conflict, processed the liquidation, and restructured the account without any documented senior-investor escalation under FINRA Rule 2165 or any internal UBS elder-protection protocol.</w:t>
      </w:r>
    </w:p>
    <w:p>
      <w:pPr>
        <w:spacing w:after="160" w:line="276"/>
        <w:jc w:val="both"/>
      </w:pPr>
      <w:r>
        <w:rPr>
          <w:rFonts w:ascii="Times New Roman" w:cs="Times New Roman" w:eastAsia="Times New Roman" w:hAnsi="Times New Roman"/>
          <w:sz w:val="22"/>
          <w:szCs w:val="22"/>
        </w:rPr>
        <w:t xml:space="preserve">The temporal proximity of the account opening (January 2025) to the grantor's death (December 2024) raises questions about the grantor's capacity at the time she executed the Power of Attorney naming her daughter Carolina Reid as attorney-in-fact and the UBS employee Violet Reid (Carolina's daughter) as successor. The trustee has asserted in federal court filings that the grantor “wanted” the Trust assets to remain at UBS under the trustee's management. However, the Trust instrument contains no such language. The Trust instrument requires immediate distribution upon the grantor's death. If the grantor's actual intent was to keep assets under professional management at UBS, that intent is not reflected in the governing instrument.</w:t>
      </w:r>
    </w:p>
    <w:p>
      <w:pPr>
        <w:spacing w:after="160" w:line="276"/>
        <w:jc w:val="both"/>
      </w:pPr>
      <w:r>
        <w:rPr>
          <w:rFonts w:ascii="Times New Roman" w:cs="Times New Roman" w:eastAsia="Times New Roman" w:hAnsi="Times New Roman"/>
          <w:sz w:val="22"/>
          <w:szCs w:val="22"/>
        </w:rPr>
        <w:t xml:space="preserve">UBS's failure to conduct any documented senior-investor review before accepting a seven-million-dollar transfer from an eighty-seven-year-old customer under a POA naming a UBS employee as successor fiduciary represents a missed opportunity to prevent financial exploitation. The subsequent liquidation, restructuring, and fee extraction from assets held in litigation suggest that the exploitation concern was well-founded.</w:t>
      </w:r>
    </w:p>
    <w:p>
      <w:pPr>
        <w:pStyle w:val="Heading1"/>
        <w:keepNext/>
        <w:spacing w:after="140" w:before="320"/>
      </w:pPr>
      <w:r>
        <w:rPr>
          <w:rFonts w:ascii="Times New Roman" w:cs="Times New Roman" w:eastAsia="Times New Roman" w:hAnsi="Times New Roman"/>
          <w:b/>
          <w:bCs/>
          <w:color w:val="1F3864"/>
          <w:sz w:val="24"/>
          <w:szCs w:val="24"/>
        </w:rPr>
        <w:t xml:space="preserve">X.  </w:t>
      </w:r>
      <w:r>
        <w:rPr>
          <w:rFonts w:ascii="Times New Roman" w:cs="Times New Roman" w:eastAsia="Times New Roman" w:hAnsi="Times New Roman"/>
          <w:b/>
          <w:bCs/>
          <w:color w:val="1F3864"/>
          <w:sz w:val="24"/>
          <w:szCs w:val="24"/>
        </w:rPr>
        <w:t xml:space="preserve">UBS'S AWARENESS OF THE VIOLATION</w:t>
      </w:r>
    </w:p>
    <w:p>
      <w:pPr>
        <w:spacing w:after="160" w:line="276"/>
        <w:jc w:val="both"/>
      </w:pPr>
      <w:r>
        <w:rPr>
          <w:rFonts w:ascii="Times New Roman" w:cs="Times New Roman" w:eastAsia="Times New Roman" w:hAnsi="Times New Roman"/>
          <w:sz w:val="22"/>
          <w:szCs w:val="22"/>
        </w:rPr>
        <w:t xml:space="preserve">UBS cannot claim ignorance of the facts giving rise to these violations. UBS had actual knowledge of the following facts at the time it processed the August 29, 2025 liquidation:</w:t>
      </w:r>
    </w:p>
    <w:p>
      <w:pPr>
        <w:pStyle w:val="ListParagraph"/>
        <w:numPr>
          <w:ilvl w:val="0"/>
          <w:numId w:val="2"/>
        </w:numPr>
        <w:spacing w:after="100" w:line="276"/>
      </w:pPr>
      <w:r>
        <w:rPr>
          <w:rFonts w:ascii="Times New Roman" w:cs="Times New Roman" w:eastAsia="Times New Roman" w:hAnsi="Times New Roman"/>
          <w:b/>
          <w:bCs/>
          <w:sz w:val="22"/>
          <w:szCs w:val="22"/>
        </w:rPr>
        <w:t xml:space="preserve">Litigation Hold Notice:</w:t>
      </w:r>
      <w:r>
        <w:rPr>
          <w:rFonts w:ascii="Times New Roman" w:cs="Times New Roman" w:eastAsia="Times New Roman" w:hAnsi="Times New Roman"/>
          <w:sz w:val="22"/>
          <w:szCs w:val="22"/>
        </w:rPr>
        <w:t xml:space="preserve"> On July 2, 2025, complainant's then-counsel served a formal third-party preservation notice on UBS Financial Services Inc. at its registered agent address in Baltimore. The notice identified the pending civil litigation by caption and case number, stated that the litigation concerned the Jane Casey Hughes Revocable Trust, and demanded that UBS preserve all trust account statements, transaction records, and communications from January 1, 2025 forward. The notice was served through a professional process server and was successfully delivered. UBS's Subpoenas, Levies, and Garnishments group—the same group that later issued the undated restriction notice—was in active written correspondence with complainant's counsel throughout July and August 2025 regarding a related subpoena production covering the same subject matter. Fifty-eight days after receiving the preservation notice, UBS processed the $6.9 million liquidation.</w:t>
      </w:r>
    </w:p>
    <w:p>
      <w:pPr>
        <w:pStyle w:val="ListParagraph"/>
        <w:numPr>
          <w:ilvl w:val="0"/>
          <w:numId w:val="2"/>
        </w:numPr>
        <w:spacing w:after="100" w:line="276"/>
      </w:pPr>
      <w:r>
        <w:rPr>
          <w:rFonts w:ascii="Times New Roman" w:cs="Times New Roman" w:eastAsia="Times New Roman" w:hAnsi="Times New Roman"/>
          <w:b/>
          <w:bCs/>
          <w:sz w:val="22"/>
          <w:szCs w:val="22"/>
        </w:rPr>
        <w:t xml:space="preserve">Mandatory Distribution Language:</w:t>
      </w:r>
      <w:r>
        <w:rPr>
          <w:rFonts w:ascii="Times New Roman" w:cs="Times New Roman" w:eastAsia="Times New Roman" w:hAnsi="Times New Roman"/>
          <w:sz w:val="22"/>
          <w:szCs w:val="22"/>
        </w:rPr>
        <w:t xml:space="preserve"> The Trust instrument states clearly: “Upon my death, my Trustee shall distribute the trust estate to my children, share and share alike.” That language is unambiguous. It appears in Article III of the Trust, which governs distribution. Any reasonable review of the Trust instrument would have revealed that the trustee was required to distribute assets immediately upon the grantor's death, not liquidate them and hold them in fee-generating accounts.</w:t>
      </w:r>
    </w:p>
    <w:p>
      <w:pPr>
        <w:pStyle w:val="ListParagraph"/>
        <w:numPr>
          <w:ilvl w:val="0"/>
          <w:numId w:val="2"/>
        </w:numPr>
        <w:spacing w:after="100" w:line="276"/>
      </w:pPr>
      <w:r>
        <w:rPr>
          <w:rFonts w:ascii="Times New Roman" w:cs="Times New Roman" w:eastAsia="Times New Roman" w:hAnsi="Times New Roman"/>
          <w:b/>
          <w:bCs/>
          <w:sz w:val="22"/>
          <w:szCs w:val="22"/>
        </w:rPr>
        <w:t xml:space="preserve">Tax Consequences:</w:t>
      </w:r>
      <w:r>
        <w:rPr>
          <w:rFonts w:ascii="Times New Roman" w:cs="Times New Roman" w:eastAsia="Times New Roman" w:hAnsi="Times New Roman"/>
          <w:sz w:val="22"/>
          <w:szCs w:val="22"/>
        </w:rPr>
        <w:t xml:space="preserve"> The tax consequences of liquidating a $6.9 million long-held equity portfolio are not subtle. UBS employs tax professionals. UBS publishes tax guidance for clients. UBS knew or should have known that liquidation would generate substantial capital gains tax liability and that in-kind distribution would avoid that liability entirely.</w:t>
      </w:r>
    </w:p>
    <w:p>
      <w:pPr>
        <w:pStyle w:val="ListParagraph"/>
        <w:numPr>
          <w:ilvl w:val="0"/>
          <w:numId w:val="2"/>
        </w:numPr>
        <w:spacing w:after="100" w:line="276"/>
      </w:pPr>
      <w:r>
        <w:rPr>
          <w:rFonts w:ascii="Times New Roman" w:cs="Times New Roman" w:eastAsia="Times New Roman" w:hAnsi="Times New Roman"/>
          <w:b/>
          <w:bCs/>
          <w:sz w:val="22"/>
          <w:szCs w:val="22"/>
        </w:rPr>
        <w:t xml:space="preserve">Employee Fiduciary Conflict:</w:t>
      </w:r>
      <w:r>
        <w:rPr>
          <w:rFonts w:ascii="Times New Roman" w:cs="Times New Roman" w:eastAsia="Times New Roman" w:hAnsi="Times New Roman"/>
          <w:sz w:val="22"/>
          <w:szCs w:val="22"/>
        </w:rPr>
        <w:t xml:space="preserve"> The Power of Attorney naming UBS employee Violet Reid as successor attorney-in-fact was presented to UBS at the time of the January 1, 2025 account opening. The Trust instrument naming the same UBS employee as backup successor trustee was similarly available. UBS knew or should have known that a current employee was named in fiduciary roles in both documents.</w:t>
      </w:r>
    </w:p>
    <w:p>
      <w:pPr>
        <w:spacing w:after="160" w:line="276"/>
        <w:jc w:val="both"/>
      </w:pPr>
      <w:r>
        <w:rPr>
          <w:rFonts w:ascii="Times New Roman" w:cs="Times New Roman" w:eastAsia="Times New Roman" w:hAnsi="Times New Roman"/>
          <w:sz w:val="22"/>
          <w:szCs w:val="22"/>
        </w:rPr>
        <w:t xml:space="preserve">Despite knowing all these facts, UBS processed the liquidation without any documented supervisory review, tax-efficiency analysis, or Reg BI best-interest determination. That failure was not inadvertent. It was structural.</w:t>
      </w:r>
    </w:p>
    <w:p>
      <w:pPr>
        <w:pStyle w:val="Heading1"/>
        <w:keepNext/>
        <w:spacing w:after="140" w:before="320"/>
      </w:pPr>
      <w:r>
        <w:rPr>
          <w:rFonts w:ascii="Times New Roman" w:cs="Times New Roman" w:eastAsia="Times New Roman" w:hAnsi="Times New Roman"/>
          <w:b/>
          <w:bCs/>
          <w:color w:val="1F3864"/>
          <w:sz w:val="24"/>
          <w:szCs w:val="24"/>
        </w:rPr>
        <w:t xml:space="preserve">XI.  </w:t>
      </w:r>
      <w:r>
        <w:rPr>
          <w:rFonts w:ascii="Times New Roman" w:cs="Times New Roman" w:eastAsia="Times New Roman" w:hAnsi="Times New Roman"/>
          <w:b/>
          <w:bCs/>
          <w:color w:val="1F3864"/>
          <w:sz w:val="24"/>
          <w:szCs w:val="24"/>
        </w:rPr>
        <w:t xml:space="preserve">ONGOING HARM AND URGENCY</w:t>
      </w:r>
    </w:p>
    <w:p>
      <w:pPr>
        <w:spacing w:after="160" w:line="276"/>
        <w:jc w:val="both"/>
      </w:pPr>
      <w:r>
        <w:rPr>
          <w:rFonts w:ascii="Times New Roman" w:cs="Times New Roman" w:eastAsia="Times New Roman" w:hAnsi="Times New Roman"/>
          <w:sz w:val="22"/>
          <w:szCs w:val="22"/>
        </w:rPr>
        <w:t xml:space="preserve">As of the date of this complaint (May 7, 2026), UBS continues to hold $7.5 million in trust assets that should have been distributed to beneficiaries seventeen months ago. UBS continues to assess advisory fees on those assets. The trustee continues to use those assets to fund litigation against the beneficiaries. The undated restriction notice issued on January 6, 2026 remains in effect, preventing any distributions while allowing UBS to continue fee extraction indefinitely.</w:t>
      </w:r>
    </w:p>
    <w:p>
      <w:pPr>
        <w:spacing w:after="160" w:line="276"/>
        <w:jc w:val="both"/>
      </w:pPr>
      <w:r>
        <w:rPr>
          <w:rFonts w:ascii="Times New Roman" w:cs="Times New Roman" w:eastAsia="Times New Roman" w:hAnsi="Times New Roman"/>
          <w:sz w:val="22"/>
          <w:szCs w:val="22"/>
        </w:rPr>
        <w:t xml:space="preserve">The harm is ongoing. Every month UBS delays distribution, the beneficiaries incur additional advisory fees on assets they are entitled to receive. Every month the trustee delays distribution, she incurs additional legal expenses paid from trust assets, further depleting the residuary estate. The liquidation-generated tax liability of $473,533 is already realized and cannot be reversed, but the ongoing fee harm and distribution delay can be stopped through SEC enforcement action.</w:t>
      </w:r>
    </w:p>
    <w:p>
      <w:pPr>
        <w:spacing w:after="160" w:line="276"/>
        <w:jc w:val="both"/>
      </w:pPr>
      <w:r>
        <w:rPr>
          <w:rFonts w:ascii="Times New Roman" w:cs="Times New Roman" w:eastAsia="Times New Roman" w:hAnsi="Times New Roman"/>
          <w:sz w:val="22"/>
          <w:szCs w:val="22"/>
        </w:rPr>
        <w:t xml:space="preserve">I respectfully request that the SEC investigate UBS's Regulation Best Interest violations with urgency. The longer UBS holds these assets under the current account structure, the greater the harm to the beneficiaries.</w:t>
      </w:r>
    </w:p>
    <w:p>
      <w:pPr>
        <w:pStyle w:val="Heading1"/>
        <w:keepNext/>
        <w:spacing w:after="140" w:before="320"/>
      </w:pPr>
      <w:r>
        <w:rPr>
          <w:rFonts w:ascii="Times New Roman" w:cs="Times New Roman" w:eastAsia="Times New Roman" w:hAnsi="Times New Roman"/>
          <w:b/>
          <w:bCs/>
          <w:color w:val="1F3864"/>
          <w:sz w:val="24"/>
          <w:szCs w:val="24"/>
        </w:rPr>
        <w:t xml:space="preserve">XII.  </w:t>
      </w:r>
      <w:r>
        <w:rPr>
          <w:rFonts w:ascii="Times New Roman" w:cs="Times New Roman" w:eastAsia="Times New Roman" w:hAnsi="Times New Roman"/>
          <w:b/>
          <w:bCs/>
          <w:color w:val="1F3864"/>
          <w:sz w:val="24"/>
          <w:szCs w:val="24"/>
        </w:rPr>
        <w:t xml:space="preserve">REQUESTED SEC ACTION</w:t>
      </w:r>
    </w:p>
    <w:p>
      <w:pPr>
        <w:spacing w:after="160" w:line="276"/>
        <w:jc w:val="both"/>
      </w:pPr>
      <w:r>
        <w:rPr>
          <w:rFonts w:ascii="Times New Roman" w:cs="Times New Roman" w:eastAsia="Times New Roman" w:hAnsi="Times New Roman"/>
          <w:sz w:val="22"/>
          <w:szCs w:val="22"/>
        </w:rPr>
        <w:t xml:space="preserve">I respectfully request that the SEC Office of the Whistleblower and the Division of Enforcement:</w:t>
      </w:r>
    </w:p>
    <w:p>
      <w:pPr>
        <w:pStyle w:val="ListParagraph"/>
        <w:numPr>
          <w:ilvl w:val="0"/>
          <w:numId w:val="2"/>
        </w:numPr>
        <w:spacing w:after="100" w:line="276"/>
      </w:pPr>
      <w:r>
        <w:rPr>
          <w:rFonts w:ascii="Times New Roman" w:cs="Times New Roman" w:eastAsia="Times New Roman" w:hAnsi="Times New Roman"/>
          <w:sz w:val="22"/>
          <w:szCs w:val="22"/>
        </w:rPr>
        <w:t xml:space="preserve">Investigate UBS Financial Services Inc. for violations of Regulation Best Interest, 17 CFR 240.15l-1, arising from: the August 29, 2025 liquidation of $6.87 million in long-held equity positions generating $473,533.05 in avoidable capital gains tax liability in violation of the Care Obligation; the October 29, 2025 restructuring from one account to six fee-generating accounts in violation of the Conflict of Interest Obligation; and the issuance of an undated restriction notice on January 6, 2026 enabling continued fee extraction from frozen accounts.</w:t>
      </w:r>
    </w:p>
    <w:p>
      <w:pPr>
        <w:pStyle w:val="ListParagraph"/>
        <w:numPr>
          <w:ilvl w:val="0"/>
          <w:numId w:val="2"/>
        </w:numPr>
        <w:spacing w:after="100" w:line="276"/>
      </w:pPr>
      <w:r>
        <w:rPr>
          <w:rFonts w:ascii="Times New Roman" w:cs="Times New Roman" w:eastAsia="Times New Roman" w:hAnsi="Times New Roman"/>
          <w:sz w:val="22"/>
          <w:szCs w:val="22"/>
        </w:rPr>
        <w:t xml:space="preserve">Investigate UBS Financial Advisor Jill M. Epstein individually for her role in recommending and executing the liquidation and restructuring transactions.</w:t>
      </w:r>
    </w:p>
    <w:p>
      <w:pPr>
        <w:pStyle w:val="ListParagraph"/>
        <w:numPr>
          <w:ilvl w:val="0"/>
          <w:numId w:val="2"/>
        </w:numPr>
        <w:spacing w:after="100" w:line="276"/>
      </w:pPr>
      <w:r>
        <w:rPr>
          <w:rFonts w:ascii="Times New Roman" w:cs="Times New Roman" w:eastAsia="Times New Roman" w:hAnsi="Times New Roman"/>
          <w:sz w:val="22"/>
          <w:szCs w:val="22"/>
        </w:rPr>
        <w:t xml:space="preserve">Investigate UBS's supervisory systems for failure to conduct required FINRA Rule 3241 review when accepting an account under a POA naming a UBS employee as fiduciary; escalate the August 2025 liquidation for supervisory review given the transaction size, tax consequences, and litigation hold notice; and conduct senior-investor protection review under FINRA Rule 2165 before accepting a seven-million-dollar transfer from an eighty-seven-year-old customer.</w:t>
      </w:r>
    </w:p>
    <w:p>
      <w:pPr>
        <w:pStyle w:val="ListParagraph"/>
        <w:numPr>
          <w:ilvl w:val="0"/>
          <w:numId w:val="2"/>
        </w:numPr>
        <w:spacing w:after="100" w:line="276"/>
      </w:pPr>
      <w:r>
        <w:rPr>
          <w:rFonts w:ascii="Times New Roman" w:cs="Times New Roman" w:eastAsia="Times New Roman" w:hAnsi="Times New Roman"/>
          <w:sz w:val="22"/>
          <w:szCs w:val="22"/>
        </w:rPr>
        <w:t xml:space="preserve">Require UBS to disgorge all advisory fees assessed on the six trust accounts from August 29, 2025 forward.</w:t>
      </w:r>
    </w:p>
    <w:p>
      <w:pPr>
        <w:pStyle w:val="ListParagraph"/>
        <w:numPr>
          <w:ilvl w:val="0"/>
          <w:numId w:val="2"/>
        </w:numPr>
        <w:spacing w:after="100" w:line="276"/>
      </w:pPr>
      <w:r>
        <w:rPr>
          <w:rFonts w:ascii="Times New Roman" w:cs="Times New Roman" w:eastAsia="Times New Roman" w:hAnsi="Times New Roman"/>
          <w:sz w:val="22"/>
          <w:szCs w:val="22"/>
        </w:rPr>
        <w:t xml:space="preserve">Impose civil monetary penalties on UBS sufficient to deter similar conduct and to reflect the gravity of liquidating a seven-million-dollar portfolio in violation of Reg BI while subject to a litigation hold.</w:t>
      </w:r>
    </w:p>
    <w:p>
      <w:pPr>
        <w:pStyle w:val="ListParagraph"/>
        <w:numPr>
          <w:ilvl w:val="0"/>
          <w:numId w:val="2"/>
        </w:numPr>
        <w:spacing w:after="100" w:line="276"/>
      </w:pPr>
      <w:r>
        <w:rPr>
          <w:rFonts w:ascii="Times New Roman" w:cs="Times New Roman" w:eastAsia="Times New Roman" w:hAnsi="Times New Roman"/>
          <w:sz w:val="22"/>
          <w:szCs w:val="22"/>
        </w:rPr>
        <w:t xml:space="preserve">Order UBS to produce all internal records concerning Rule 3241 and Rule 3270 review at the time of the January 1, 2025 account opening; supervisory approval (or lack thereof) for the August 29, 2025 liquidation; supervisory approval (or lack thereof) for the October 29, 2025 restructuring and same-day wire to trustee's counsel; and the creation, dating, and issuance process for the undated restriction notice (reference 43772714-2025-1115).</w:t>
      </w:r>
    </w:p>
    <w:p>
      <w:pPr>
        <w:pStyle w:val="ListParagraph"/>
        <w:numPr>
          <w:ilvl w:val="0"/>
          <w:numId w:val="2"/>
        </w:numPr>
        <w:spacing w:after="100" w:line="276"/>
      </w:pPr>
      <w:r>
        <w:rPr>
          <w:rFonts w:ascii="Times New Roman" w:cs="Times New Roman" w:eastAsia="Times New Roman" w:hAnsi="Times New Roman"/>
          <w:sz w:val="22"/>
          <w:szCs w:val="22"/>
        </w:rPr>
        <w:t xml:space="preserve">Refer the matter to the U.S. Department of Justice for potential criminal investigation if the evidence supports willful violations of securities laws.</w:t>
      </w:r>
    </w:p>
    <w:p>
      <w:pPr>
        <w:pStyle w:val="Heading1"/>
        <w:keepNext/>
        <w:spacing w:after="140" w:before="320"/>
      </w:pPr>
      <w:r>
        <w:rPr>
          <w:rFonts w:ascii="Times New Roman" w:cs="Times New Roman" w:eastAsia="Times New Roman" w:hAnsi="Times New Roman"/>
          <w:b/>
          <w:bCs/>
          <w:color w:val="1F3864"/>
          <w:sz w:val="24"/>
          <w:szCs w:val="24"/>
        </w:rPr>
        <w:t xml:space="preserve">XIII.  </w:t>
      </w:r>
      <w:r>
        <w:rPr>
          <w:rFonts w:ascii="Times New Roman" w:cs="Times New Roman" w:eastAsia="Times New Roman" w:hAnsi="Times New Roman"/>
          <w:b/>
          <w:bCs/>
          <w:color w:val="1F3864"/>
          <w:sz w:val="24"/>
          <w:szCs w:val="24"/>
        </w:rPr>
        <w:t xml:space="preserve">PARALLEL PROCEEDINGS</w:t>
      </w:r>
    </w:p>
    <w:p>
      <w:pPr>
        <w:spacing w:after="160" w:line="276"/>
        <w:jc w:val="both"/>
      </w:pPr>
      <w:r>
        <w:rPr>
          <w:rFonts w:ascii="Times New Roman" w:cs="Times New Roman" w:eastAsia="Times New Roman" w:hAnsi="Times New Roman"/>
          <w:sz w:val="22"/>
          <w:szCs w:val="22"/>
        </w:rPr>
        <w:t xml:space="preserve">I have filed a parallel complaint with FINRA addressing UBS's violations of FINRA Rules 3241, 3270, 3110, 4511, and 2165. The FINRA complaint was submitted to the FINRA Office of the Whistleblower and Investor Complaint Center on April 17, 2026. I can provide the FINRA case reference number once assigned.</w:t>
      </w:r>
    </w:p>
    <w:p>
      <w:pPr>
        <w:spacing w:after="160" w:line="276"/>
        <w:jc w:val="both"/>
      </w:pPr>
      <w:r>
        <w:rPr>
          <w:rFonts w:ascii="Times New Roman" w:cs="Times New Roman" w:eastAsia="Times New Roman" w:hAnsi="Times New Roman"/>
          <w:sz w:val="22"/>
          <w:szCs w:val="22"/>
        </w:rPr>
        <w:t xml:space="preserve">The FINRA complaint and this SEC complaint address overlapping facts but distinct legal violations. FINRA has jurisdiction over broker-dealer supervisory rules. The SEC has jurisdiction over Regulation Best Interest and the securities laws. Both agencies should investigate this matter within their respective areas of authority.</w:t>
      </w:r>
    </w:p>
    <w:p>
      <w:pPr>
        <w:spacing w:after="160" w:line="276"/>
        <w:jc w:val="both"/>
      </w:pPr>
      <w:r>
        <w:rPr>
          <w:rFonts w:ascii="Times New Roman" w:cs="Times New Roman" w:eastAsia="Times New Roman" w:hAnsi="Times New Roman"/>
          <w:sz w:val="22"/>
          <w:szCs w:val="22"/>
        </w:rPr>
        <w:t xml:space="preserve">Additionally, the following civil proceedings are pending:</w:t>
      </w:r>
    </w:p>
    <w:p>
      <w:pPr>
        <w:spacing w:after="160" w:line="276"/>
        <w:jc w:val="both"/>
      </w:pPr>
      <w:r>
        <w:rPr>
          <w:rFonts w:ascii="Times New Roman" w:cs="Times New Roman" w:eastAsia="Times New Roman" w:hAnsi="Times New Roman"/>
          <w:b/>
          <w:bCs/>
          <w:sz w:val="22"/>
          <w:szCs w:val="22"/>
        </w:rPr>
        <w:t xml:space="preserve">Federal Court:</w:t>
      </w:r>
      <w:r>
        <w:rPr>
          <w:rFonts w:ascii="Times New Roman" w:cs="Times New Roman" w:eastAsia="Times New Roman" w:hAnsi="Times New Roman"/>
          <w:sz w:val="22"/>
          <w:szCs w:val="22"/>
        </w:rPr>
        <w:t xml:space="preserve"> Kuczynski v. Reid, U.S. District Court for the Western District of Texas, Case No. 1:25-cv-00775-LY. This case concerns the trustee's breach of fiduciary duty in failing to distribute trust assets. A motion to disgorge the October 29, 2025 wire to Offit Kurman is pending.</w:t>
      </w:r>
    </w:p>
    <w:p>
      <w:pPr>
        <w:spacing w:after="160" w:line="276"/>
        <w:jc w:val="both"/>
      </w:pPr>
      <w:r>
        <w:rPr>
          <w:rFonts w:ascii="Times New Roman" w:cs="Times New Roman" w:eastAsia="Times New Roman" w:hAnsi="Times New Roman"/>
          <w:b/>
          <w:bCs/>
          <w:sz w:val="22"/>
          <w:szCs w:val="22"/>
        </w:rPr>
        <w:t xml:space="preserve">State Court:</w:t>
      </w:r>
      <w:r>
        <w:rPr>
          <w:rFonts w:ascii="Times New Roman" w:cs="Times New Roman" w:eastAsia="Times New Roman" w:hAnsi="Times New Roman"/>
          <w:sz w:val="22"/>
          <w:szCs w:val="22"/>
        </w:rPr>
        <w:t xml:space="preserve"> In re Estate of Jane Casey Hughes, Circuit Court for Anne Arundel County, Maryland, Case No. C-08-CV-24-001234. This case concerns the trustee's accounting and distribution obligations under Maryland trust law.</w:t>
      </w:r>
    </w:p>
    <w:p>
      <w:pPr>
        <w:spacing w:after="160" w:line="276"/>
        <w:jc w:val="both"/>
      </w:pPr>
      <w:r>
        <w:rPr>
          <w:rFonts w:ascii="Times New Roman" w:cs="Times New Roman" w:eastAsia="Times New Roman" w:hAnsi="Times New Roman"/>
          <w:sz w:val="22"/>
          <w:szCs w:val="22"/>
        </w:rPr>
        <w:t xml:space="preserve">I am a pro se litigant in both proceedings. The civil cases seek private remedies for breach of trust. This SEC complaint seeks regulatory enforcement to protect future investors from similar Reg BI violations by UBS.</w:t>
      </w:r>
    </w:p>
    <w:p>
      <w:pPr>
        <w:pStyle w:val="Heading1"/>
        <w:keepNext/>
        <w:spacing w:after="140" w:before="320"/>
      </w:pPr>
      <w:r>
        <w:rPr>
          <w:rFonts w:ascii="Times New Roman" w:cs="Times New Roman" w:eastAsia="Times New Roman" w:hAnsi="Times New Roman"/>
          <w:b/>
          <w:bCs/>
          <w:color w:val="1F3864"/>
          <w:sz w:val="24"/>
          <w:szCs w:val="24"/>
        </w:rPr>
        <w:t xml:space="preserve">XIV.  </w:t>
      </w:r>
      <w:r>
        <w:rPr>
          <w:rFonts w:ascii="Times New Roman" w:cs="Times New Roman" w:eastAsia="Times New Roman" w:hAnsi="Times New Roman"/>
          <w:b/>
          <w:bCs/>
          <w:color w:val="1F3864"/>
          <w:sz w:val="24"/>
          <w:szCs w:val="24"/>
        </w:rPr>
        <w:t xml:space="preserve">COMPLAINANT CREDIBILITY AND EXPERTISE</w:t>
      </w:r>
    </w:p>
    <w:p>
      <w:pPr>
        <w:spacing w:after="160" w:line="276"/>
        <w:jc w:val="both"/>
      </w:pPr>
      <w:r>
        <w:rPr>
          <w:rFonts w:ascii="Times New Roman" w:cs="Times New Roman" w:eastAsia="Times New Roman" w:hAnsi="Times New Roman"/>
          <w:sz w:val="22"/>
          <w:szCs w:val="22"/>
        </w:rPr>
        <w:t xml:space="preserve">I hold a Ph.D. in philosophy from a major research university. I have taught logic, critical reasoning, and analytical writing at the university level. I have conducted extensive legal research in connection with the ongoing civil litigation concerning this Trust. I have read the Regulation Best Interest adopting release, SEC interpretive guidance, and FINRA supervisory guidance on conflicts of interest and senior investor protection. I understand the legal standards governing the conduct I report.</w:t>
      </w:r>
    </w:p>
    <w:p>
      <w:pPr>
        <w:spacing w:after="160" w:line="276"/>
        <w:jc w:val="both"/>
      </w:pPr>
      <w:r>
        <w:rPr>
          <w:rFonts w:ascii="Times New Roman" w:cs="Times New Roman" w:eastAsia="Times New Roman" w:hAnsi="Times New Roman"/>
          <w:sz w:val="22"/>
          <w:szCs w:val="22"/>
        </w:rPr>
        <w:t xml:space="preserve">I am not a securities professional. I am not a lawyer. I am a trust beneficiary who has been financially harmed by UBS's Regulation Best Interest violations and who seeks regulatory enforcement to prevent UBS from inflicting similar harm on other investors.</w:t>
      </w:r>
    </w:p>
    <w:p>
      <w:pPr>
        <w:spacing w:after="160" w:line="276"/>
        <w:jc w:val="both"/>
      </w:pPr>
      <w:r>
        <w:rPr>
          <w:rFonts w:ascii="Times New Roman" w:cs="Times New Roman" w:eastAsia="Times New Roman" w:hAnsi="Times New Roman"/>
          <w:sz w:val="22"/>
          <w:szCs w:val="22"/>
        </w:rPr>
        <w:t xml:space="preserve">I have provided detailed factual allegations supported by documentary evidence. I have quantified the harm. I have identified the specific legal violations. I have preserved the evidentiary record. I respectfully submit that this complaint merits SEC investigation.</w:t>
      </w:r>
    </w:p>
    <w:p>
      <w:pPr>
        <w:pStyle w:val="Heading1"/>
        <w:keepNext/>
        <w:spacing w:after="140" w:before="320"/>
      </w:pPr>
      <w:r>
        <w:rPr>
          <w:rFonts w:ascii="Times New Roman" w:cs="Times New Roman" w:eastAsia="Times New Roman" w:hAnsi="Times New Roman"/>
          <w:b/>
          <w:bCs/>
          <w:color w:val="1F3864"/>
          <w:sz w:val="24"/>
          <w:szCs w:val="24"/>
        </w:rPr>
        <w:t xml:space="preserve">XV.  </w:t>
      </w:r>
      <w:r>
        <w:rPr>
          <w:rFonts w:ascii="Times New Roman" w:cs="Times New Roman" w:eastAsia="Times New Roman" w:hAnsi="Times New Roman"/>
          <w:b/>
          <w:bCs/>
          <w:color w:val="1F3864"/>
          <w:sz w:val="24"/>
          <w:szCs w:val="24"/>
        </w:rPr>
        <w:t xml:space="preserve">EXHIBITS ATTACHED</w:t>
      </w:r>
    </w:p>
    <w:p>
      <w:pPr>
        <w:pStyle w:val="ListParagraph"/>
        <w:numPr>
          <w:ilvl w:val="0"/>
          <w:numId w:val="1"/>
        </w:numPr>
        <w:spacing w:after="80" w:line="276"/>
      </w:pPr>
      <w:r>
        <w:rPr>
          <w:rFonts w:ascii="Times New Roman" w:cs="Times New Roman" w:eastAsia="Times New Roman" w:hAnsi="Times New Roman"/>
          <w:b/>
          <w:bCs/>
          <w:sz w:val="22"/>
          <w:szCs w:val="22"/>
        </w:rPr>
        <w:t xml:space="preserve">Exhibit A:</w:t>
      </w:r>
      <w:r>
        <w:rPr>
          <w:rFonts w:ascii="Times New Roman" w:cs="Times New Roman" w:eastAsia="Times New Roman" w:hAnsi="Times New Roman"/>
          <w:sz w:val="22"/>
          <w:szCs w:val="22"/>
        </w:rPr>
        <w:t xml:space="preserve"> UBS Financial Services Inc. Combined July–August 2025 Monthly Statement, Account KU-882 (proving August 29, 2025 liquidation)</w:t>
      </w:r>
    </w:p>
    <w:p>
      <w:pPr>
        <w:pStyle w:val="ListParagraph"/>
        <w:numPr>
          <w:ilvl w:val="0"/>
          <w:numId w:val="1"/>
        </w:numPr>
        <w:spacing w:after="80" w:line="276"/>
      </w:pPr>
      <w:r>
        <w:rPr>
          <w:rFonts w:ascii="Times New Roman" w:cs="Times New Roman" w:eastAsia="Times New Roman" w:hAnsi="Times New Roman"/>
          <w:b/>
          <w:bCs/>
          <w:sz w:val="22"/>
          <w:szCs w:val="22"/>
        </w:rPr>
        <w:t xml:space="preserve">Exhibit B:</w:t>
      </w:r>
      <w:r>
        <w:rPr>
          <w:rFonts w:ascii="Times New Roman" w:cs="Times New Roman" w:eastAsia="Times New Roman" w:hAnsi="Times New Roman"/>
          <w:sz w:val="22"/>
          <w:szCs w:val="22"/>
        </w:rPr>
        <w:t xml:space="preserve"> UBS Financial Services Inc. October 2025 Consolidated Monthly Statements, six accounts (proving October 29, 2025 restructuring and same-day wire to counsel)</w:t>
      </w:r>
    </w:p>
    <w:p>
      <w:pPr>
        <w:pStyle w:val="ListParagraph"/>
        <w:numPr>
          <w:ilvl w:val="0"/>
          <w:numId w:val="1"/>
        </w:numPr>
        <w:spacing w:after="80" w:line="276"/>
      </w:pPr>
      <w:r>
        <w:rPr>
          <w:rFonts w:ascii="Times New Roman" w:cs="Times New Roman" w:eastAsia="Times New Roman" w:hAnsi="Times New Roman"/>
          <w:b/>
          <w:bCs/>
          <w:sz w:val="22"/>
          <w:szCs w:val="22"/>
        </w:rPr>
        <w:t xml:space="preserve">Exhibit E:</w:t>
      </w:r>
      <w:r>
        <w:rPr>
          <w:rFonts w:ascii="Times New Roman" w:cs="Times New Roman" w:eastAsia="Times New Roman" w:hAnsi="Times New Roman"/>
          <w:sz w:val="22"/>
          <w:szCs w:val="22"/>
        </w:rPr>
        <w:t xml:space="preserve"> Correspondence from Elizabeth Small, Esq., Offit Kurman, P.A., dated April 8, 2026 (proving undated restriction notice)</w:t>
      </w:r>
    </w:p>
    <w:p>
      <w:pPr>
        <w:pStyle w:val="Heading1"/>
        <w:keepNext/>
        <w:spacing w:after="140" w:before="320"/>
      </w:pPr>
      <w:r>
        <w:rPr>
          <w:rFonts w:ascii="Times New Roman" w:cs="Times New Roman" w:eastAsia="Times New Roman" w:hAnsi="Times New Roman"/>
          <w:b/>
          <w:bCs/>
          <w:color w:val="1F3864"/>
          <w:sz w:val="24"/>
          <w:szCs w:val="24"/>
        </w:rPr>
        <w:t xml:space="preserve">XVI.  </w:t>
      </w:r>
      <w:r>
        <w:rPr>
          <w:rFonts w:ascii="Times New Roman" w:cs="Times New Roman" w:eastAsia="Times New Roman" w:hAnsi="Times New Roman"/>
          <w:b/>
          <w:bCs/>
          <w:color w:val="1F3864"/>
          <w:sz w:val="24"/>
          <w:szCs w:val="24"/>
        </w:rPr>
        <w:t xml:space="preserve">CONTACT INFORMATION AND CONFIDENTIALITY</w:t>
      </w:r>
    </w:p>
    <w:p>
      <w:pPr>
        <w:spacing w:after="160" w:line="276"/>
        <w:jc w:val="both"/>
      </w:pPr>
      <w:r>
        <w:rPr>
          <w:rFonts w:ascii="Times New Roman" w:cs="Times New Roman" w:eastAsia="Times New Roman" w:hAnsi="Times New Roman"/>
          <w:sz w:val="22"/>
          <w:szCs w:val="22"/>
        </w:rPr>
        <w:t xml:space="preserve">I may be contacted at:</w:t>
      </w:r>
    </w:p>
    <w:p>
      <w:pPr>
        <w:spacing w:after="30"/>
        <w:ind w:left="460"/>
      </w:pPr>
      <w:r>
        <w:rPr>
          <w:rFonts w:ascii="Times New Roman" w:cs="Times New Roman" w:eastAsia="Times New Roman" w:hAnsi="Times New Roman"/>
          <w:sz w:val="22"/>
          <w:szCs w:val="22"/>
        </w:rPr>
        <w:t xml:space="preserve">John-Michael Kuczynski, Ph.D.</w:t>
      </w:r>
    </w:p>
    <w:p>
      <w:pPr>
        <w:spacing w:after="30"/>
        <w:ind w:left="460"/>
      </w:pPr>
      <w:r>
        <w:rPr>
          <w:rFonts w:ascii="Times New Roman" w:cs="Times New Roman" w:eastAsia="Times New Roman" w:hAnsi="Times New Roman"/>
          <w:sz w:val="22"/>
          <w:szCs w:val="22"/>
        </w:rPr>
        <w:t xml:space="preserve">746 Stoney Point Road, Fayetteville, NC 28304</w:t>
      </w:r>
    </w:p>
    <w:p>
      <w:pPr>
        <w:spacing w:after="30"/>
        <w:ind w:left="460"/>
      </w:pPr>
      <w:r>
        <w:rPr>
          <w:rFonts w:ascii="Times New Roman" w:cs="Times New Roman" w:eastAsia="Times New Roman" w:hAnsi="Times New Roman"/>
          <w:sz w:val="22"/>
          <w:szCs w:val="22"/>
        </w:rPr>
        <w:t xml:space="preserve">jmkuczynski@yahoo.com  •  (910) 433-2774</w:t>
      </w:r>
    </w:p>
    <w:p>
      <w:pPr>
        <w:spacing w:after="160" w:line="276"/>
        <w:jc w:val="both"/>
      </w:pPr>
      <w:r>
        <w:rPr>
          <w:rFonts w:ascii="Times New Roman" w:cs="Times New Roman" w:eastAsia="Times New Roman" w:hAnsi="Times New Roman"/>
          <w:sz w:val="22"/>
          <w:szCs w:val="22"/>
        </w:rPr>
        <w:t xml:space="preserve">I request that the SEC maintain the confidentiality of my identity to the maximum extent permitted by law during the investigation. I understand that my identity may need to be disclosed to UBS if enforcement action is pursued. I consent to such disclosure if necessary for enforcement purposes.</w:t>
      </w:r>
    </w:p>
    <w:p>
      <w:pPr>
        <w:spacing w:after="160" w:line="276"/>
        <w:jc w:val="both"/>
      </w:pPr>
      <w:r>
        <w:rPr>
          <w:rFonts w:ascii="Times New Roman" w:cs="Times New Roman" w:eastAsia="Times New Roman" w:hAnsi="Times New Roman"/>
          <w:sz w:val="22"/>
          <w:szCs w:val="22"/>
        </w:rPr>
        <w:t xml:space="preserve">I am willing to provide additional information, testimony, or documents as requested by SEC staff. I am willing to cooperate fully with any investigation.</w:t>
      </w:r>
    </w:p>
    <w:p>
      <w:pPr>
        <w:pStyle w:val="Heading1"/>
        <w:keepNext/>
        <w:spacing w:after="140" w:before="320"/>
      </w:pPr>
      <w:r>
        <w:rPr>
          <w:rFonts w:ascii="Times New Roman" w:cs="Times New Roman" w:eastAsia="Times New Roman" w:hAnsi="Times New Roman"/>
          <w:b/>
          <w:bCs/>
          <w:color w:val="1F3864"/>
          <w:sz w:val="24"/>
          <w:szCs w:val="24"/>
        </w:rPr>
        <w:t xml:space="preserve">XVII.  </w:t>
      </w:r>
      <w:r>
        <w:rPr>
          <w:rFonts w:ascii="Times New Roman" w:cs="Times New Roman" w:eastAsia="Times New Roman" w:hAnsi="Times New Roman"/>
          <w:b/>
          <w:bCs/>
          <w:color w:val="1F3864"/>
          <w:sz w:val="24"/>
          <w:szCs w:val="24"/>
        </w:rPr>
        <w:t xml:space="preserve">WHISTLEBLOWER AWARD ELIGIBILITY</w:t>
      </w:r>
    </w:p>
    <w:p>
      <w:pPr>
        <w:spacing w:after="160" w:line="276"/>
        <w:jc w:val="both"/>
      </w:pPr>
      <w:r>
        <w:rPr>
          <w:rFonts w:ascii="Times New Roman" w:cs="Times New Roman" w:eastAsia="Times New Roman" w:hAnsi="Times New Roman"/>
          <w:sz w:val="22"/>
          <w:szCs w:val="22"/>
        </w:rPr>
        <w:t xml:space="preserve">I understand that under the SEC Whistleblower Program, 15 U.S.C. § 78u-6, I may be eligible for an award if this complaint leads to a successful SEC enforcement action resulting in monetary sanctions exceeding one million dollars. I respectfully request consideration for any such award if the investigation substantiates the violations I report.</w:t>
      </w:r>
    </w:p>
    <w:p>
      <w:pPr>
        <w:spacing w:after="160" w:line="276"/>
        <w:jc w:val="both"/>
      </w:pPr>
      <w:r>
        <w:rPr>
          <w:rFonts w:ascii="Times New Roman" w:cs="Times New Roman" w:eastAsia="Times New Roman" w:hAnsi="Times New Roman"/>
          <w:sz w:val="22"/>
          <w:szCs w:val="22"/>
        </w:rPr>
        <w:t xml:space="preserve">I also understand that I must submit Form TCR (Tip, Complaint, or Referral) through the SEC's online portal to preserve my whistleblower award rights. I will submit Form TCR separately and will reference this written complaint in that submission.</w:t>
      </w:r>
    </w:p>
    <w:p>
      <w:pPr>
        <w:pStyle w:val="Heading1"/>
        <w:keepNext/>
        <w:spacing w:after="140" w:before="320"/>
      </w:pPr>
      <w:r>
        <w:rPr>
          <w:rFonts w:ascii="Times New Roman" w:cs="Times New Roman" w:eastAsia="Times New Roman" w:hAnsi="Times New Roman"/>
          <w:b/>
          <w:bCs/>
          <w:color w:val="1F3864"/>
          <w:sz w:val="24"/>
          <w:szCs w:val="24"/>
        </w:rPr>
        <w:t xml:space="preserve">XVIII.  </w:t>
      </w:r>
      <w:r>
        <w:rPr>
          <w:rFonts w:ascii="Times New Roman" w:cs="Times New Roman" w:eastAsia="Times New Roman" w:hAnsi="Times New Roman"/>
          <w:b/>
          <w:bCs/>
          <w:color w:val="1F3864"/>
          <w:sz w:val="24"/>
          <w:szCs w:val="24"/>
        </w:rPr>
        <w:t xml:space="preserve">DECLARATION UNDER PENALTY OF PERJURY</w:t>
      </w:r>
    </w:p>
    <w:p>
      <w:pPr>
        <w:spacing w:after="160" w:line="276"/>
        <w:jc w:val="both"/>
      </w:pPr>
      <w:r>
        <w:rPr>
          <w:rFonts w:ascii="Times New Roman" w:cs="Times New Roman" w:eastAsia="Times New Roman" w:hAnsi="Times New Roman"/>
          <w:sz w:val="22"/>
          <w:szCs w:val="22"/>
        </w:rPr>
        <w:t xml:space="preserve">I declare under penalty of perjury under the laws of the United States that the foregoing is true and correct to the best of my knowledge, information, and belief.</w:t>
      </w:r>
    </w:p>
    <w:p>
      <w:pPr>
        <w:spacing w:after="160" w:line="276"/>
        <w:jc w:val="both"/>
      </w:pPr>
      <w:r>
        <w:rPr>
          <w:rFonts w:ascii="Times New Roman" w:cs="Times New Roman" w:eastAsia="Times New Roman" w:hAnsi="Times New Roman"/>
          <w:sz w:val="22"/>
          <w:szCs w:val="22"/>
        </w:rPr>
        <w:t xml:space="preserve">I have personal knowledge of the facts stated in this complaint concerning my status as trust beneficiary, the Trust instrument's distribution language, and the harm I have suffered from the liquidation and fee extraction. I have direct documentary evidence of the UBS account statements, the liquidation transactions, the restructuring, and the undated restriction notice. I have accurately quoted from those documents and have attached them as exhibits. I have not fabricated, altered, or misrepresented any fact material to this complaint.</w:t>
      </w:r>
    </w:p>
    <w:p>
      <w:pPr>
        <w:spacing w:after="160" w:line="276"/>
        <w:jc w:val="both"/>
      </w:pPr>
      <w:r>
        <w:rPr>
          <w:rFonts w:ascii="Times New Roman" w:cs="Times New Roman" w:eastAsia="Times New Roman" w:hAnsi="Times New Roman"/>
          <w:sz w:val="22"/>
          <w:szCs w:val="22"/>
        </w:rPr>
        <w:t xml:space="preserve">Executed this 7th day of May, 2026.</w:t>
      </w:r>
    </w:p>
    <w:p>
      <w:pPr>
        <w:spacing w:after="0" w:before="320"/>
      </w:pPr>
      <w:r>
        <w:rPr>
          <w:rFonts w:ascii="Times New Roman" w:cs="Times New Roman" w:eastAsia="Times New Roman" w:hAnsi="Times New Roman"/>
          <w:sz w:val="22"/>
          <w:szCs w:val="22"/>
        </w:rPr>
        <w:t xml:space="preserve">Signature: </w:t>
      </w:r>
      <w:r>
        <w:rPr>
          <w:rFonts w:ascii="Times New Roman" w:cs="Times New Roman" w:eastAsia="Times New Roman" w:hAnsi="Times New Roman"/>
          <w:sz w:val="22"/>
          <w:szCs w:val="22"/>
        </w:rPr>
        <w:t xml:space="preserve">_______________________________</w:t>
      </w:r>
    </w:p>
    <w:p>
      <w:pPr>
        <w:spacing w:before="200"/>
      </w:pPr>
      <w:r>
        <w:rPr>
          <w:rFonts w:ascii="Times New Roman" w:cs="Times New Roman" w:eastAsia="Times New Roman" w:hAnsi="Times New Roman"/>
          <w:sz w:val="22"/>
          <w:szCs w:val="22"/>
        </w:rPr>
        <w:t xml:space="preserve">Printed Name: </w:t>
      </w:r>
      <w:r>
        <w:rPr>
          <w:rFonts w:ascii="Times New Roman" w:cs="Times New Roman" w:eastAsia="Times New Roman" w:hAnsi="Times New Roman"/>
          <w:sz w:val="22"/>
          <w:szCs w:val="22"/>
        </w:rPr>
        <w:t xml:space="preserve">John-Michael Kuczynski, Ph.D.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rFonts w:ascii="Times New Roman" w:cs="Times New Roman" w:eastAsia="Times New Roman" w:hAnsi="Times New Roman"/>
        <w:color w:val="595959"/>
        <w:sz w:val="16"/>
        <w:szCs w:val="16"/>
      </w:rPr>
      <w:t xml:space="preserve">Kuczynski v. UBS  •  </w:t>
    </w:r>
    <w:r>
      <w:rPr>
        <w:rFonts w:ascii="Times New Roman" w:cs="Times New Roman" w:eastAsia="Times New Roman" w:hAnsi="Times New Roman"/>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40"/>
      <w:jc w:val="right"/>
    </w:pPr>
    <w:r>
      <w:rPr>
        <w:rFonts w:ascii="Times New Roman" w:cs="Times New Roman" w:eastAsia="Times New Roman" w:hAnsi="Times New Roman"/>
        <w:i/>
        <w:iCs/>
        <w:color w:val="595959"/>
        <w:sz w:val="16"/>
        <w:szCs w:val="16"/>
      </w:rPr>
      <w:t xml:space="preserve">SEC Whistleblower Complaint — UBS Financial Services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2026-07-08T12:51:30.275Z</dcterms:created>
  <dcterms:modified xsi:type="dcterms:W3CDTF">2026-07-08T12:51:30.301Z</dcterms:modified>
</cp:coreProperties>
</file>

<file path=docProps/custom.xml><?xml version="1.0" encoding="utf-8"?>
<Properties xmlns="http://schemas.openxmlformats.org/officeDocument/2006/custom-properties" xmlns:vt="http://schemas.openxmlformats.org/officeDocument/2006/docPropsVTypes"/>
</file>