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4"/>
          <w:szCs w:val="24"/>
        </w:rPr>
        <w:t xml:space="preserve">ZHI SYSTEMS</w:t>
      </w:r>
    </w:p>
    <w:p>
      <w:pPr>
        <w:spacing w:after="200"/>
      </w:pPr>
      <w:r>
        <w:rPr>
          <w:color w:val="595959"/>
          <w:sz w:val="20"/>
          <w:szCs w:val="20"/>
        </w:rPr>
        <w:t xml:space="preserve">AI-Powered Courseware &amp; Outcomes Infrastructure</w:t>
      </w:r>
    </w:p>
    <w:p>
      <w:pPr>
        <w:pBdr>
          <w:bottom w:val="single" w:color="1F4E79" w:sz="6" w:space="1"/>
        </w:pBdr>
        <w:spacing w:after="200"/>
      </w:pPr>
    </w:p>
    <w:p>
      <w:pPr>
        <w:spacing w:after="60"/>
      </w:pPr>
      <w:r>
        <w:rPr>
          <w:b/>
          <w:bCs/>
          <w:color w:val="000000"/>
          <w:sz w:val="36"/>
          <w:szCs w:val="36"/>
        </w:rPr>
        <w:t xml:space="preserve">A Proposal for University of Phoenix</w:t>
      </w:r>
    </w:p>
    <w:p>
      <w:pPr>
        <w:spacing w:after="260"/>
      </w:pPr>
      <w:r>
        <w:rPr>
          <w:color w:val="595959"/>
          <w:sz w:val="22"/>
          <w:szCs w:val="22"/>
        </w:rPr>
        <w:t xml:space="preserve">Career-Aligned Course Delivery and Embedded Job-Readiness Diagnostics</w:t>
      </w:r>
    </w:p>
    <w:p>
      <w:pPr>
        <w:pStyle w:val="Heading1"/>
      </w:pPr>
      <w:r>
        <w:t xml:space="preserve">The opportunity</w:t>
      </w:r>
    </w:p>
    <w:p>
      <w:pPr>
        <w:spacing w:after="140" w:line="276"/>
      </w:pPr>
      <w:r>
        <w:t xml:space="preserve">University of Phoenix has built its mission around one promise: that a credential should translate into real, demonstrable workplace capability for the working adult who earns it. Every program open for new enrollment is now aligned to career-relevant skills. The remaining gap is infrastructure — a way to deliver core courses at scale while proving, course by course, that graduates actually hold the competencies employers expect.</w:t>
      </w:r>
    </w:p>
    <w:p>
      <w:pPr>
        <w:spacing w:after="140" w:line="276"/>
      </w:pPr>
      <w:r>
        <w:t xml:space="preserve">Zhi Systems builds that infrastructure. We supply AI-powered versions of your highest-volume, highest-stakes courses, each carrying embedded diagnostics that verify job-readiness against live industry norms. The result is lower delivery cost, stronger retention through your most fragile early courses, and outcomes evidence you can put in front of employers and accreditors.</w:t>
      </w:r>
    </w:p>
    <w:p>
      <w:pPr>
        <w:pStyle w:val="Heading1"/>
      </w:pPr>
      <w:r>
        <w:t xml:space="preserve">What we deliver</w:t>
      </w:r>
    </w:p>
    <w:p>
      <w:pPr>
        <w:pStyle w:val="Heading2"/>
      </w:pPr>
      <w:r>
        <w:t xml:space="preserve">1. A priority courseware package</w:t>
      </w:r>
    </w:p>
    <w:p>
      <w:pPr>
        <w:spacing w:after="140" w:line="276"/>
      </w:pPr>
      <w:r>
        <w:t xml:space="preserve">We have identified the seventeen courses where University of Phoenix has genuine institutional need — the general-education gateways that drive early attrition, the College of Business cores, and the skills-aligned analytics competencies in highest employer demand. Each is delivered as a fully built, AI-powered course ready for your 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600"/>
        <w:gridCol w:w="5140"/>
      </w:tblGrid>
      <w:tr>
        <w:trPr>
          <w:tblHeader/>
        </w:trPr>
        <w:tc>
          <w:tcPr>
            <w:tcW w:type="dxa" w:w="62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center"/>
            </w:pPr>
            <w:r>
              <w:rPr>
                <w:b/>
                <w:bCs/>
                <w:color w:val="FFFFFF"/>
                <w:sz w:val="21"/>
                <w:szCs w:val="21"/>
              </w:rPr>
              <w:t xml:space="preserve">#</w:t>
            </w:r>
          </w:p>
        </w:tc>
        <w:tc>
          <w:tcPr>
            <w:tcW w:type="dxa" w:w="360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left"/>
            </w:pPr>
            <w:r>
              <w:rPr>
                <w:b/>
                <w:bCs/>
                <w:color w:val="FFFFFF"/>
                <w:sz w:val="21"/>
                <w:szCs w:val="21"/>
              </w:rPr>
              <w:t xml:space="preserve">Course</w:t>
            </w:r>
          </w:p>
        </w:tc>
        <w:tc>
          <w:tcPr>
            <w:tcW w:type="dxa" w:w="514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left"/>
            </w:pPr>
            <w:r>
              <w:rPr>
                <w:b/>
                <w:bCs/>
                <w:color w:val="FFFFFF"/>
                <w:sz w:val="21"/>
                <w:szCs w:val="21"/>
              </w:rPr>
              <w:t xml:space="preserve">Institutional role</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Developmental Mathematics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Gen-ed remediation; primary first-term attrition point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2</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Critical Thinking</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Universal general-education requirement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3</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Quantitative Reasoning</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Universal quantitative requirement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4</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Public Speaking</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Universal communication requirement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5</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Business Ethics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College of Business core; accreditation-aligned</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6</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Finance</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College of Business core</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7</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Data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Highest-demand skills-aligned competency</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8</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AI 101</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Responsible-AI initiative alignment</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9</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Financial &amp; Managerial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and accounting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10</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Marketing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11</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Predictive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Analytics specialization</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12</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Operations &amp; Supply Chain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and operations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13</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Workforce Analytics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Human-resources and management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14</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Revenue Management</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Business and hospitality pathways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15</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Criminal Psychology</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Criminal-justice programs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16</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Basic Developmental Psychology</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Psychology programs</w:t>
            </w:r>
          </w:p>
        </w:tc>
      </w:tr>
      <w:tr>
        <w:tc>
          <w:tcPr>
            <w:tcW w:type="dxa" w:w="62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center"/>
            </w:pPr>
            <w:r>
              <w:rPr>
                <w:b w:val="false"/>
                <w:bCs w:val="false"/>
                <w:color w:val="000000"/>
                <w:sz w:val="21"/>
                <w:szCs w:val="21"/>
              </w:rPr>
              <w:t xml:space="preserve">17</w:t>
            </w:r>
          </w:p>
        </w:tc>
        <w:tc>
          <w:tcPr>
            <w:tcW w:type="dxa" w:w="36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bCs/>
                <w:color w:val="000000"/>
                <w:sz w:val="21"/>
                <w:szCs w:val="21"/>
              </w:rPr>
              <w:t xml:space="preserve">Ethics 101 (with Embedded Diagnostics)</w:t>
            </w:r>
          </w:p>
        </w:tc>
        <w:tc>
          <w:tcPr>
            <w:tcW w:type="dxa" w:w="514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vAlign w:val="center"/>
          </w:tcPr>
          <w:p>
            <w:pPr>
              <w:jc w:val="left"/>
            </w:pPr>
            <w:r>
              <w:rPr>
                <w:b w:val="false"/>
                <w:bCs w:val="false"/>
                <w:color w:val="000000"/>
                <w:sz w:val="21"/>
                <w:szCs w:val="21"/>
              </w:rPr>
              <w:t xml:space="preserve">Gen-ed ethics; native diagnostics showcase</w:t>
            </w:r>
          </w:p>
        </w:tc>
      </w:tr>
    </w:tbl>
    <w:p>
      <w:pPr>
        <w:spacing w:after="120"/>
      </w:pPr>
    </w:p>
    <w:p>
      <w:pPr>
        <w:pStyle w:val="Heading2"/>
      </w:pPr>
      <w:r>
        <w:t xml:space="preserve">2. Embedded job-readiness diagnostics</w:t>
      </w:r>
    </w:p>
    <w:p>
      <w:pPr>
        <w:spacing w:after="140" w:line="276"/>
      </w:pPr>
      <w:r>
        <w:t xml:space="preserve">Every course in the package ships with diagnostics that do more than grade — they measure whether a student has actually acquired the competency the credential claims, and they recalibrate continuously against current industry standards. This converts your career-skills commitment from a statement of intent into auditable, employer-facing evidence.</w:t>
      </w:r>
    </w:p>
    <w:p>
      <w:pPr>
        <w:pStyle w:val="ListParagraph"/>
        <w:numPr>
          <w:ilvl w:val="0"/>
          <w:numId w:val="2"/>
        </w:numPr>
        <w:spacing w:after="80" w:line="276"/>
      </w:pPr>
      <w:r>
        <w:t xml:space="preserve">Competency verification at the course level, not just completion tracking.</w:t>
      </w:r>
    </w:p>
    <w:p>
      <w:pPr>
        <w:pStyle w:val="ListParagraph"/>
        <w:numPr>
          <w:ilvl w:val="0"/>
          <w:numId w:val="2"/>
        </w:numPr>
        <w:spacing w:after="80" w:line="276"/>
      </w:pPr>
      <w:r>
        <w:t xml:space="preserve">Continuous calibration against live labor-market and employer norms.</w:t>
      </w:r>
    </w:p>
    <w:p>
      <w:pPr>
        <w:pStyle w:val="ListParagraph"/>
        <w:numPr>
          <w:ilvl w:val="0"/>
          <w:numId w:val="2"/>
        </w:numPr>
        <w:spacing w:after="80" w:line="276"/>
      </w:pPr>
      <w:r>
        <w:t xml:space="preserve">Outcomes data formatted for accreditation review and employer partnerships.</w:t>
      </w:r>
    </w:p>
    <w:p>
      <w:pPr>
        <w:pStyle w:val="Heading1"/>
      </w:pPr>
      <w:r>
        <w:t xml:space="preserve">Investment</w:t>
      </w:r>
    </w:p>
    <w:p>
      <w:pPr>
        <w:spacing w:after="140" w:line="276"/>
      </w:pPr>
      <w:r>
        <w:t xml:space="preserve">Pricing is transparent and fixed: a one-time install per component and a flat annual license. There is no per-seat metering and no enrollment-based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300"/>
        <w:gridCol w:w="2300"/>
      </w:tblGrid>
      <w:tr>
        <w:trPr>
          <w:tblHeader/>
        </w:trPr>
        <w:tc>
          <w:tcPr>
            <w:tcW w:type="dxa" w:w="476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left"/>
            </w:pPr>
            <w:r>
              <w:rPr>
                <w:b/>
                <w:bCs/>
                <w:color w:val="FFFFFF"/>
                <w:sz w:val="21"/>
                <w:szCs w:val="21"/>
              </w:rPr>
              <w:t xml:space="preserve">Component</w:t>
            </w:r>
          </w:p>
        </w:tc>
        <w:tc>
          <w:tcPr>
            <w:tcW w:type="dxa" w:w="230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center"/>
            </w:pPr>
            <w:r>
              <w:rPr>
                <w:b/>
                <w:bCs/>
                <w:color w:val="FFFFFF"/>
                <w:sz w:val="21"/>
                <w:szCs w:val="21"/>
              </w:rPr>
              <w:t xml:space="preserve">One-time install</w:t>
            </w:r>
          </w:p>
        </w:tc>
        <w:tc>
          <w:tcPr>
            <w:tcW w:type="dxa" w:w="2300"/>
            <w:tcBorders>
              <w:top w:val="single" w:color="BFBFBF" w:sz="1"/>
              <w:left w:val="single" w:color="BFBFBF" w:sz="1"/>
              <w:bottom w:val="single" w:color="BFBFBF" w:sz="1"/>
              <w:right w:val="single" w:color="BFBFBF" w:sz="1"/>
            </w:tcBorders>
            <w:shd w:fill="1F4E79" w:val="clear"/>
            <w:tcMar>
              <w:top w:type="dxa" w:w="90"/>
              <w:left w:type="dxa" w:w="130"/>
              <w:bottom w:type="dxa" w:w="90"/>
              <w:right w:type="dxa" w:w="130"/>
            </w:tcMar>
            <w:vAlign w:val="center"/>
          </w:tcPr>
          <w:p>
            <w:pPr>
              <w:jc w:val="center"/>
            </w:pPr>
            <w:r>
              <w:rPr>
                <w:b/>
                <w:bCs/>
                <w:color w:val="FFFFFF"/>
                <w:sz w:val="21"/>
                <w:szCs w:val="21"/>
              </w:rPr>
              <w:t xml:space="preserve">Annual license</w:t>
            </w:r>
          </w:p>
        </w:tc>
      </w:tr>
      <w:tr>
        <w:tc>
          <w:tcPr>
            <w:tcW w:type="dxa" w:w="476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r>
              <w:rPr>
                <w:b w:val="false"/>
                <w:bCs w:val="false"/>
                <w:sz w:val="21"/>
                <w:szCs w:val="21"/>
              </w:rPr>
              <w:t xml:space="preserve">Priority courseware package (all 17 courses)</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$620,000</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$310,000</w:t>
            </w:r>
          </w:p>
        </w:tc>
      </w:tr>
      <w:tr>
        <w:tc>
          <w:tcPr>
            <w:tcW w:type="dxa" w:w="476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r>
              <w:rPr>
                <w:b w:val="false"/>
                <w:bCs w:val="false"/>
                <w:sz w:val="21"/>
                <w:szCs w:val="21"/>
              </w:rPr>
              <w:t xml:space="preserve">Embedded job-readiness diagnostics</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$140,000</w:t>
            </w:r>
          </w:p>
        </w:tc>
        <w:tc>
          <w:tcPr>
            <w:tcW w:type="dxa" w:w="2300"/>
            <w:tcBorders>
              <w:top w:val="single" w:color="BFBFBF" w:sz="1"/>
              <w:left w:val="single" w:color="BFBFBF" w:sz="1"/>
              <w:bottom w:val="single" w:color="BFBFBF" w:sz="1"/>
              <w:right w:val="single" w:color="BFBFBF" w:sz="1"/>
            </w:tcBorders>
            <w:shd w:fill="FFFFFF" w:val="clear"/>
            <w:tcMar>
              <w:top w:type="dxa" w:w="90"/>
              <w:left w:type="dxa" w:w="130"/>
              <w:bottom w:type="dxa" w:w="90"/>
              <w:right w:type="dxa" w:w="130"/>
            </w:tcMar>
          </w:tcPr>
          <w:p>
            <w:pPr>
              <w:jc w:val="center"/>
            </w:pPr>
            <w:r>
              <w:rPr>
                <w:b w:val="false"/>
                <w:bCs w:val="false"/>
                <w:sz w:val="21"/>
                <w:szCs w:val="21"/>
              </w:rPr>
              <w:t xml:space="preserve">$95,000</w:t>
            </w:r>
          </w:p>
        </w:tc>
      </w:tr>
      <w:tr>
        <w:tc>
          <w:tcPr>
            <w:tcW w:type="dxa" w:w="4760"/>
            <w:tcBorders>
              <w:top w:val="single" w:color="BFBFBF" w:sz="1"/>
              <w:left w:val="single" w:color="BFBFBF" w:sz="1"/>
              <w:bottom w:val="single" w:color="BFBFBF" w:sz="1"/>
              <w:right w:val="single" w:color="BFBFBF" w:sz="1"/>
            </w:tcBorders>
            <w:shd w:fill="DCE6F1" w:val="clear"/>
            <w:tcMar>
              <w:top w:type="dxa" w:w="90"/>
              <w:left w:type="dxa" w:w="130"/>
              <w:bottom w:type="dxa" w:w="90"/>
              <w:right w:type="dxa" w:w="130"/>
            </w:tcMar>
          </w:tcPr>
          <w:p>
            <w:r>
              <w:rPr>
                <w:b/>
                <w:bCs/>
                <w:sz w:val="21"/>
                <w:szCs w:val="21"/>
              </w:rPr>
              <w:t xml:space="preserve">Total</w:t>
            </w:r>
          </w:p>
        </w:tc>
        <w:tc>
          <w:tcPr>
            <w:tcW w:type="dxa" w:w="2300"/>
            <w:tcBorders>
              <w:top w:val="single" w:color="BFBFBF" w:sz="1"/>
              <w:left w:val="single" w:color="BFBFBF" w:sz="1"/>
              <w:bottom w:val="single" w:color="BFBFBF" w:sz="1"/>
              <w:right w:val="single" w:color="BFBFBF" w:sz="1"/>
            </w:tcBorders>
            <w:shd w:fill="DCE6F1" w:val="clear"/>
            <w:tcMar>
              <w:top w:type="dxa" w:w="90"/>
              <w:left w:type="dxa" w:w="130"/>
              <w:bottom w:type="dxa" w:w="90"/>
              <w:right w:type="dxa" w:w="130"/>
            </w:tcMar>
          </w:tcPr>
          <w:p>
            <w:pPr>
              <w:jc w:val="center"/>
            </w:pPr>
            <w:r>
              <w:rPr>
                <w:b/>
                <w:bCs/>
                <w:sz w:val="21"/>
                <w:szCs w:val="21"/>
              </w:rPr>
              <w:t xml:space="preserve">$760,000</w:t>
            </w:r>
          </w:p>
        </w:tc>
        <w:tc>
          <w:tcPr>
            <w:tcW w:type="dxa" w:w="2300"/>
            <w:tcBorders>
              <w:top w:val="single" w:color="BFBFBF" w:sz="1"/>
              <w:left w:val="single" w:color="BFBFBF" w:sz="1"/>
              <w:bottom w:val="single" w:color="BFBFBF" w:sz="1"/>
              <w:right w:val="single" w:color="BFBFBF" w:sz="1"/>
            </w:tcBorders>
            <w:shd w:fill="DCE6F1" w:val="clear"/>
            <w:tcMar>
              <w:top w:type="dxa" w:w="90"/>
              <w:left w:type="dxa" w:w="130"/>
              <w:bottom w:type="dxa" w:w="90"/>
              <w:right w:type="dxa" w:w="130"/>
            </w:tcMar>
          </w:tcPr>
          <w:p>
            <w:pPr>
              <w:jc w:val="center"/>
            </w:pPr>
            <w:r>
              <w:rPr>
                <w:b/>
                <w:bCs/>
                <w:sz w:val="21"/>
                <w:szCs w:val="21"/>
              </w:rPr>
              <w:t xml:space="preserve">$405,000</w:t>
            </w:r>
          </w:p>
        </w:tc>
      </w:tr>
    </w:tbl>
    <w:p>
      <w:pPr>
        <w:spacing w:after="120" w:before="120"/>
      </w:pPr>
      <w:r>
        <w:rPr>
          <w:b/>
          <w:bCs/>
          <w:sz w:val="22"/>
          <w:szCs w:val="22"/>
        </w:rPr>
        <w:t xml:space="preserve">First-year total: $1,165,000.  Recurring annual license thereafter: $405,000.</w:t>
      </w:r>
    </w:p>
    <w:p>
      <w:pPr>
        <w:pStyle w:val="Heading1"/>
      </w:pPr>
      <w:r>
        <w:t xml:space="preserve">Why this pays for itself</w:t>
      </w:r>
    </w:p>
    <w:p>
      <w:pPr>
        <w:spacing w:after="140" w:line="276"/>
      </w:pPr>
      <w:r>
        <w:t xml:space="preserve">The package targets the exact courses where students leave — developmental math and the gen-ed gateways — and the exact evidence gap that drives employer and accreditor scrutiny. Even a modest improvement in retention through these gateway courses, across an enrollment of your scale, returns the full first-year investment many times over in preserved tuition alone, before counting the strategic value of verifiable outcomes data.</w:t>
      </w:r>
    </w:p>
    <w:p>
      <w:pPr>
        <w:spacing w:after="140" w:line="276"/>
      </w:pPr>
      <w:r>
        <w:t xml:space="preserve">We are prepared to structure the engagement around agreed retention and outcomes benchmarks, so that the value is measured on your terms, in your numbers.</w:t>
      </w:r>
    </w:p>
    <w:p>
      <w:pPr>
        <w:pStyle w:val="Heading1"/>
      </w:pPr>
      <w:r>
        <w:t xml:space="preserve">Next steps</w:t>
      </w:r>
    </w:p>
    <w:p>
      <w:pPr>
        <w:pStyle w:val="ListParagraph"/>
        <w:numPr>
          <w:ilvl w:val="0"/>
          <w:numId w:val="2"/>
        </w:numPr>
        <w:spacing w:after="80" w:line="276"/>
      </w:pPr>
      <w:r>
        <w:t xml:space="preserve">A working session to confirm course priorities and LMS integration requirements.</w:t>
      </w:r>
    </w:p>
    <w:p>
      <w:pPr>
        <w:pStyle w:val="ListParagraph"/>
        <w:numPr>
          <w:ilvl w:val="0"/>
          <w:numId w:val="2"/>
        </w:numPr>
        <w:spacing w:after="80" w:line="276"/>
      </w:pPr>
      <w:r>
        <w:t xml:space="preserve">A scoped pilot on two gateway courses, with diagnostics live, to establish a retention baseline.</w:t>
      </w:r>
    </w:p>
    <w:p>
      <w:pPr>
        <w:pStyle w:val="ListParagraph"/>
        <w:numPr>
          <w:ilvl w:val="0"/>
          <w:numId w:val="2"/>
        </w:numPr>
        <w:spacing w:after="80" w:line="276"/>
      </w:pPr>
      <w:r>
        <w:t xml:space="preserve">Phased rollout of the full package on a schedule you set.</w:t>
      </w:r>
    </w:p>
    <w:p>
      <w:pPr>
        <w:pBdr>
          <w:bottom w:val="single" w:color="1F4E79" w:sz="6" w:space="1"/>
        </w:pBdr>
        <w:spacing w:after="200"/>
      </w:pPr>
    </w:p>
    <w:p>
      <w:pPr>
        <w:spacing w:before="120"/>
      </w:pPr>
      <w:r>
        <w:rPr>
          <w:color w:val="595959"/>
          <w:sz w:val="20"/>
          <w:szCs w:val="20"/>
        </w:rPr>
        <w:t xml:space="preserve">Zhi Systems  •  jmkuczynski@yahoo.com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2026-06-23T19:38:54.899Z</dcterms:created>
  <dcterms:modified xsi:type="dcterms:W3CDTF">2026-06-23T19:38:54.900Z</dcterms:modified>
</cp:coreProperties>
</file>

<file path=docProps/custom.xml><?xml version="1.0" encoding="utf-8"?>
<Properties xmlns="http://schemas.openxmlformats.org/officeDocument/2006/custom-properties" xmlns:vt="http://schemas.openxmlformats.org/officeDocument/2006/docPropsVTypes"/>
</file>