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The “Priced In” Canard</w:t>
      </w:r>
    </w:p>
    <w:p>
      <w:pPr>
        <w:spacing w:after="240"/>
        <w:jc w:val="center"/>
      </w:pPr>
      <w:r>
        <w:rPr>
          <w:i/>
          <w:iCs/>
          <w:sz w:val="26"/>
          <w:szCs w:val="26"/>
        </w:rPr>
        <w:t xml:space="preserve">On a Concept That Survives Every Outcome</w:t>
      </w:r>
    </w:p>
    <w:p>
      <w:pPr>
        <w:spacing w:after="480"/>
        <w:jc w:val="center"/>
      </w:pPr>
      <w:r>
        <w:rPr>
          <w:sz w:val="24"/>
          <w:szCs w:val="24"/>
        </w:rPr>
        <w:t xml:space="preserve">J.-M. Kuczynski, Ph.D.</w:t>
      </w:r>
    </w:p>
    <w:p>
      <w:pPr>
        <w:pStyle w:val="Heading1"/>
        <w:spacing w:after="200" w:before="300"/>
      </w:pPr>
      <w:r>
        <w:t xml:space="preserve">Abstract</w:t>
      </w:r>
    </w:p>
    <w:p>
      <w:pPr>
        <w:spacing w:after="200" w:line="360"/>
        <w:jc w:val="both"/>
      </w:pPr>
      <w:r>
        <w:t xml:space="preserve">The phrase “priced in” is pervasive in financial discussion and, in its ordinary usage, carries no content. It presupposes a counterfactual that cannot be run, collapses three distinct variables (knowledge, interpretation, and positioning) into one, and accommodates every possible outcome with a post-hoc rationalization. The empirical literature on anticipated Federal Reserve decisions bears this out: the correlation between correctly predicted policy and the market response is essentially absent once one controls for the surprise component. The term is not harmless. It is a piece of folk epistemology that has caused substantial capital destruction when treated as if it described a mechanism rather than a mood.</w:t>
      </w:r>
    </w:p>
    <w:p>
      <w:pPr>
        <w:pStyle w:val="Heading1"/>
        <w:spacing w:after="200" w:before="300"/>
      </w:pPr>
      <w:r>
        <w:t xml:space="preserve">1. The Problem</w:t>
      </w:r>
    </w:p>
    <w:p>
      <w:pPr>
        <w:spacing w:after="200" w:line="360"/>
        <w:jc w:val="both"/>
      </w:pPr>
      <w:r>
        <w:t xml:space="preserve">To say that information is “priced in” is, on the face of it, to say that the current price already reflects that information. The claim sounds measurable. It is not. To measure it, one would need access to the counterfactual price that would obtain in a world where the information was not known—a price that does not exist and cannot be constructed. The difference between the actual price and this unavailable counterfactual is what is supposedly priced in. The quantity is undefined.</w:t>
      </w:r>
    </w:p>
    <w:p>
      <w:pPr>
        <w:spacing w:after="200" w:line="360"/>
        <w:jc w:val="both"/>
      </w:pPr>
      <w:r>
        <w:t xml:space="preserve">This alone should give pause. But the deeper problem is that the term is used not as a measurement but as an explanation, and it explains anything one wishes.</w:t>
      </w:r>
    </w:p>
    <w:p>
      <w:pPr>
        <w:pStyle w:val="Heading1"/>
        <w:spacing w:after="200" w:before="300"/>
      </w:pPr>
      <w:r>
        <w:t xml:space="preserve">2. The Universal Explainer</w:t>
      </w:r>
    </w:p>
    <w:p>
      <w:pPr>
        <w:spacing w:after="200" w:line="360"/>
        <w:jc w:val="both"/>
      </w:pPr>
      <w:r>
        <w:t xml:space="preserve">Consider the pattern of usage. A company announces disappointing earnings and its stock rises: the bad news was priced in. A company announces disappointing earnings and its stock falls: the market had not fully priced in the bad news. A company announces strong results and its stock rises: the upside was not fully priced in. A company announces strong results and its stock falls: the good news was priced in and participants sold the event.</w:t>
      </w:r>
    </w:p>
    <w:p>
      <w:pPr>
        <w:spacing w:after="200" w:line="360"/>
        <w:jc w:val="both"/>
      </w:pPr>
      <w:r>
        <w:t xml:space="preserve">Four outcomes, four explanations, zero predictive content. The term is retrofitted to whatever happened. This is the structure of astrology, not of a scientific concept. A proposition that accommodates every observation is compatible with every world and informative about none.</w:t>
      </w:r>
    </w:p>
    <w:p>
      <w:pPr>
        <w:pStyle w:val="Heading1"/>
        <w:spacing w:after="200" w:before="300"/>
      </w:pPr>
      <w:r>
        <w:t xml:space="preserve">3. The Conflation at the Core</w:t>
      </w:r>
    </w:p>
    <w:p>
      <w:pPr>
        <w:spacing w:after="200" w:line="360"/>
        <w:jc w:val="both"/>
      </w:pPr>
      <w:r>
        <w:t xml:space="preserve">The concept treats information as a kind of substance that, once known, gets poured into the price and remains there. This picture misunderstands how prices are set. Prices are determined by marginal participants with capital, conviction, and timing. The diffuse state of what is publicly known is not, by itself, a determinant of price.</w:t>
      </w:r>
    </w:p>
    <w:p>
      <w:pPr>
        <w:spacing w:after="200" w:line="360"/>
        <w:jc w:val="both"/>
      </w:pPr>
      <w:r>
        <w:t xml:space="preserve">Three distinct variables must be kept separate. The first is what participants know—a matter of epistemics. The second is what they believe matters—a matter of interpretation. The third is what they are willing to bet on, at what size, with what leverage—a matter of positioning. Only the third moves price. The other two are ambient conditions that may or may not be converted into positioning by specific actors at specific moments.</w:t>
      </w:r>
    </w:p>
    <w:p>
      <w:pPr>
        <w:spacing w:after="200" w:line="360"/>
        <w:jc w:val="both"/>
      </w:pPr>
      <w:r>
        <w:t xml:space="preserve">The language of “priced in” collapses these three into one. It suggests that the mere fact of information being known is equivalent to its being reflected in price. It is not. Universally known facts go unreflected in price all the time, because the capital required to reflect them has not been deployed. Conversely, beliefs held by a few leveraged actors reshape prices dramatically, regardless of how widely they are shared.</w:t>
      </w:r>
    </w:p>
    <w:p>
      <w:pPr>
        <w:pStyle w:val="Heading1"/>
        <w:spacing w:after="200" w:before="300"/>
      </w:pPr>
      <w:r>
        <w:t xml:space="preserve">4. The Case of the Federal Reserve</w:t>
      </w:r>
    </w:p>
    <w:p>
      <w:pPr>
        <w:spacing w:after="200" w:line="360"/>
        <w:jc w:val="both"/>
      </w:pPr>
      <w:r>
        <w:t xml:space="preserve">The canonical example in popular financial commentary is Federal Reserve policy. Market participants are said to price in an expected decision—say, a decision not to lower rates—so that when the decision is announced, the price response should be small or opposite in sign (a “relief rally” once the expected bad news is confirmed).</w:t>
      </w:r>
    </w:p>
    <w:p>
      <w:pPr>
        <w:spacing w:after="200" w:line="360"/>
        <w:jc w:val="both"/>
      </w:pPr>
      <w:r>
        <w:t xml:space="preserve">The empirical record is unkind to this picture. Work by Kuttner and others decomposes policy announcements into an expected component and a surprise component using fed funds futures. The consistent finding is that only the surprise component reliably moves equity markets. The expected component—the portion that was, on this theory, already priced in—produces responses that are essentially noise.</w:t>
      </w:r>
    </w:p>
    <w:p>
      <w:pPr>
        <w:spacing w:after="200" w:line="360"/>
        <w:jc w:val="both"/>
      </w:pPr>
      <w:r>
        <w:t xml:space="preserve">This superficially vindicates the concept, but inspection reveals the reverse. The claim is reduced to: when the announcement contains no new information, markets do not respond to new information. This is a tautology, not a finding. What the priced-in narrative actually needs to explain is the substantial movement that accompanies fully anticipated announcements—movement driven by tone, phrasing in press conferences, dot plot revisions, Q&amp;A with reporters, and unrelated flows. None of this was or could have been priced in, because none of it existed prior to the announcement.</w:t>
      </w:r>
    </w:p>
    <w:p>
      <w:pPr>
        <w:spacing w:after="200" w:line="360"/>
        <w:jc w:val="both"/>
      </w:pPr>
      <w:r>
        <w:t xml:space="preserve">The pre-FOMC drift literature deepens the problem. Equity returns in the twenty-four hours preceding scheduled announcements drift systematically upward, independent of the eventual decision. If pricing-in worked as described, no such drift could exist. The existence of the drift indicates that positioning moves in ways disconnected from the expected content of the announcement itself.</w:t>
      </w:r>
    </w:p>
    <w:p>
      <w:pPr>
        <w:pStyle w:val="Heading1"/>
        <w:spacing w:after="200" w:before="300"/>
      </w:pPr>
      <w:r>
        <w:t xml:space="preserve">5. The Cost of the Concept</w:t>
      </w:r>
    </w:p>
    <w:p>
      <w:pPr>
        <w:spacing w:after="200" w:line="360"/>
        <w:jc w:val="both"/>
      </w:pPr>
      <w:r>
        <w:t xml:space="preserve">The term is not merely wrong. It has been expensive. Academic finance built its foundations on rational expectations and the assumption that public information is incorporated into prices promptly and correctly. Economists who crossed into trading—and there have been many—carried this assumption with them as a working heuristic.</w:t>
      </w:r>
    </w:p>
    <w:p>
      <w:pPr>
        <w:spacing w:after="200" w:line="360"/>
        <w:jc w:val="both"/>
      </w:pPr>
      <w:r>
        <w:t xml:space="preserve">The collapse of Long-Term Capital Management in 1998 is the most celebrated instance. The fund, which included two Nobel laureates on its roster, constructed positions on the assumption that deviations from model-implied fair value represented priced-in inefficiencies that would converge. The core trade—long off-the-run Treasuries against short on-the-run—assumed a stable, priced-in liquidity premium. When Russian default triggered a flight of capital, spreads widened. The model called this a larger opportunity. The tape was reporting something else: forced unwinding, margin calls, a liquidity crisis that had nothing to do with fair value. The fund required a coordinated bailout.</w:t>
      </w:r>
    </w:p>
    <w:p>
      <w:pPr>
        <w:spacing w:after="200" w:line="360"/>
        <w:jc w:val="both"/>
      </w:pPr>
      <w:r>
        <w:t xml:space="preserve">The pattern has repeated with Amaranth, with several quantitative funds during the August 2007 dislocation, and with a long catalogue of smaller blowups. The shape is consistent. The model treats current prices as the priced-in baseline, interprets deviations as opportunities, and adds to the position as deviations grow. The market is signaling that capital is leaving; the model reads it as an invitation to commit more capital. The outcome is foreseeable and, in hindsight, foreseen.</w:t>
      </w:r>
    </w:p>
    <w:p>
      <w:pPr>
        <w:pStyle w:val="Heading1"/>
        <w:spacing w:after="200" w:before="300"/>
      </w:pPr>
      <w:r>
        <w:t xml:space="preserve">6. Conclusion</w:t>
      </w:r>
    </w:p>
    <w:p>
      <w:pPr>
        <w:spacing w:after="200" w:line="360"/>
        <w:jc w:val="both"/>
      </w:pPr>
      <w:r>
        <w:t xml:space="preserve">The phrase “priced in” should be used with considerably more suspicion than it ordinarily receives. It refers to a counterfactual quantity that cannot be measured, accommodates every outcome without predictive content, and collapses distinct variables that markets themselves treat as distinct. Its survival in popular commentary is a matter of linguistic inertia. Its survival in academic models is more serious, because it has been a reliable precursor to capital destruction when treated as describing a real process.</w:t>
      </w:r>
    </w:p>
    <w:p>
      <w:pPr>
        <w:spacing w:after="200" w:line="360"/>
        <w:jc w:val="both"/>
      </w:pPr>
      <w:r>
        <w:t xml:space="preserve">A more honest vocabulary would keep separate the three variables the term collapses: what is known, what is believed to matter, and what has been acted upon. Only the third shapes price. The first two are weather. The concept of priced in allows users to mistake the weather for the wind, and the cost of that mistake is borne by whoever is short the right instrument at the wrong moment.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2026-04-20T05:04:05.675Z</dcterms:created>
  <dcterms:modified xsi:type="dcterms:W3CDTF">2026-04-20T05:04:05.676Z</dcterms:modified>
</cp:coreProperties>
</file>

<file path=docProps/custom.xml><?xml version="1.0" encoding="utf-8"?>
<Properties xmlns="http://schemas.openxmlformats.org/officeDocument/2006/custom-properties" xmlns:vt="http://schemas.openxmlformats.org/officeDocument/2006/docPropsVTypes"/>
</file>