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Possession Without Capacity: Why the Tenured Philosopher Is Dumber Than He Looks</w:t>
      </w:r>
    </w:p>
    <w:p>
      <w:pPr>
        <w:spacing w:after="160"/>
        <w:jc w:val="center"/>
      </w:pPr>
      <w:r>
        <w:rPr>
          <w:rFonts w:ascii="Times New Roman" w:cs="Times New Roman" w:eastAsia="Times New Roman" w:hAnsi="Times New Roman"/>
          <w:b w:val="false"/>
          <w:bCs w:val="false"/>
          <w:sz w:val="24"/>
          <w:szCs w:val="24"/>
        </w:rPr>
        <w:t xml:space="preserve">John-Michael Kuczynski, Ph.D.</w:t>
      </w:r>
    </w:p>
    <w:p>
      <w:pPr>
        <w:spacing w:after="160"/>
        <w:jc w:val="center"/>
      </w:pPr>
      <w:r>
        <w:rPr>
          <w:rFonts w:ascii="Times New Roman" w:cs="Times New Roman" w:eastAsia="Times New Roman" w:hAnsi="Times New Roman"/>
          <w:b w:val="false"/>
          <w:bCs w:val="false"/>
          <w:sz w:val="24"/>
          <w:szCs w:val="24"/>
        </w:rPr>
        <w:t xml:space="preserve"/>
      </w:r>
    </w:p>
    <w:p>
      <w:pPr>
        <w:spacing w:after="200" w:before="32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4"/>
          <w:szCs w:val="24"/>
        </w:rPr>
        <w:t xml:space="preserve">There is a distinction, routinely ignored in informal assessments of intelligence, between the cognitive capacity required to acquire an idea and the far smaller capacity required to maintain possession of that idea once acquired. Ideas, once assimilated, become fixtures: the cognitive activity of the possessor molds itself around them, and they persist as operative scaffolding even after the intelligence that originally deposited them has substantially eroded. This fact has serious consequences for how we evaluate mid- and late-career academics, particularly in disciplines like philosophy where the work consists largely of the redeployment of previously-acquired ideas rather than the acquisition of new ones. Observers reliably infer, from a senior philosopher's fluency with notions such as compositionality, counterfactuals, rigid designation, or possible-worlds semantics, that he currently possesses the intelligence required to acquire such notions. The inference is invalid. He possesses the notions. He may no longer possess anything like the intelligence that deposited them. This paper develops the distinction, illustrates it with concrete examples, and argues that the failure to see it is the principal reason why observers are systematically slow to recognize that many tenured philosophy professors are, at the time of observation, cognitively unimpressive.</w:t>
      </w:r>
    </w:p>
    <w:p>
      <w:pPr>
        <w:spacing w:after="200" w:before="320"/>
      </w:pPr>
      <w:r>
        <w:rPr>
          <w:rFonts w:ascii="Times New Roman" w:cs="Times New Roman" w:eastAsia="Times New Roman" w:hAnsi="Times New Roman"/>
          <w:b/>
          <w:bCs/>
          <w:sz w:val="26"/>
          <w:szCs w:val="26"/>
        </w:rPr>
        <w:t xml:space="preserve">1. The Distinction</w:t>
      </w:r>
    </w:p>
    <w:p>
      <w:pPr>
        <w:spacing w:after="160" w:line="300"/>
        <w:jc w:val="both"/>
      </w:pPr>
      <w:r>
        <w:rPr>
          <w:rFonts w:ascii="Times New Roman" w:cs="Times New Roman" w:eastAsia="Times New Roman" w:hAnsi="Times New Roman"/>
          <w:sz w:val="24"/>
          <w:szCs w:val="24"/>
        </w:rPr>
        <w:t xml:space="preserve">Consider the concept of compositionality: the principle that the meaning of a complex expression is determined by the meanings of its parts together with its mode of combination. The concept is not trivial. Grasping it the first time requires a certain intellectual effort, probably including the effort of working through counterexamples, recognizing why surface-syntactic accounts fail for idioms, seeing why the principle is required for learnability arguments, and so on. A reasonable estimate is that acquiring compositionality as a live cognitive tool requires an intelligence level somewhere in the upper-middle range, and probably takes place, in those for whom it takes place at all, sometime between the ages of 18 and 25.</w:t>
      </w:r>
    </w:p>
    <w:p>
      <w:pPr>
        <w:spacing w:after="160" w:line="300"/>
        <w:jc w:val="both"/>
      </w:pPr>
      <w:r>
        <w:rPr>
          <w:rFonts w:ascii="Times New Roman" w:cs="Times New Roman" w:eastAsia="Times New Roman" w:hAnsi="Times New Roman"/>
          <w:sz w:val="24"/>
          <w:szCs w:val="24"/>
        </w:rPr>
        <w:t xml:space="preserve">Once acquired, however, the concept is a fixture. The possessor's subsequent cognitive activity molds itself around it. When he encounters a new linguistic phenomenon, compositionality is already there, pre-installed, available to be applied without effort. He does not need to reconstruct it. He does not need to reacquire it. It is part of the equipment he brings to any new problem. And the intelligence required to maintain possession of compositionality — to continue to grasp it, apply it, redeploy it — is substantially lower than the intelligence that was required to acquire it. Possibly an order of magnitude lower.</w:t>
      </w:r>
    </w:p>
    <w:p>
      <w:pPr>
        <w:spacing w:after="160" w:line="300"/>
        <w:jc w:val="both"/>
      </w:pPr>
      <w:r>
        <w:rPr>
          <w:rFonts w:ascii="Times New Roman" w:cs="Times New Roman" w:eastAsia="Times New Roman" w:hAnsi="Times New Roman"/>
          <w:sz w:val="24"/>
          <w:szCs w:val="24"/>
        </w:rPr>
        <w:t xml:space="preserve">A second example, more homely, makes the point even more sharply. "P unless Q" is logically equivalent to "not-P entails Q." "We play tennis unless it rains" is equivalent to "if we do not play tennis, then it is raining." This equivalence is not obvious to everyone. Otherwise bright students regularly have trouble grasping it. Many of them, presented with the equivalence for the first time, resist it — they want "unless" to mean something weaker, or they want the second conjunct to be read with some pragmatic hedge. Working them through the equivalence takes patience, because grasping it requires a certain kind of logical attention that not everyone has on demand. But once they have it, they have it. Thereafter, they will parse "P unless Q" sentences correctly, without effort, for the rest of their lives. They will do this even if, through age or illness or atrophy, their overall intelligence level drops below what would be required to acquire the equivalence de novo. Possession survives acquisition-capacity. Possession is cheap. Acquisition is expensive.</w:t>
      </w:r>
    </w:p>
    <w:p>
      <w:pPr>
        <w:spacing w:after="200" w:before="320"/>
      </w:pPr>
      <w:r>
        <w:rPr>
          <w:rFonts w:ascii="Times New Roman" w:cs="Times New Roman" w:eastAsia="Times New Roman" w:hAnsi="Times New Roman"/>
          <w:b/>
          <w:bCs/>
          <w:sz w:val="26"/>
          <w:szCs w:val="26"/>
        </w:rPr>
        <w:t xml:space="preserve">2. Ideas as Fossils</w:t>
      </w:r>
    </w:p>
    <w:p>
      <w:pPr>
        <w:spacing w:after="160" w:line="300"/>
        <w:jc w:val="both"/>
      </w:pPr>
      <w:r>
        <w:rPr>
          <w:rFonts w:ascii="Times New Roman" w:cs="Times New Roman" w:eastAsia="Times New Roman" w:hAnsi="Times New Roman"/>
          <w:sz w:val="24"/>
          <w:szCs w:val="24"/>
        </w:rPr>
        <w:t xml:space="preserve">The useful image is the fossil. A fossil is a structure that was deposited by a biological process that is no longer occurring. The fossil persists; the process that made it does not. A viewer who finds the fossil and knows nothing about its history might infer, from the fossil's presence, that the depositing process is still active. The inference is invalid. The fossil tells you about the past, not about the present. It tells you that, at some point, the conditions were right for its formation. It tells you nothing about whether those conditions still obtain.</w:t>
      </w:r>
    </w:p>
    <w:p>
      <w:pPr>
        <w:spacing w:after="160" w:line="300"/>
        <w:jc w:val="both"/>
      </w:pPr>
      <w:r>
        <w:rPr>
          <w:rFonts w:ascii="Times New Roman" w:cs="Times New Roman" w:eastAsia="Times New Roman" w:hAnsi="Times New Roman"/>
          <w:sz w:val="24"/>
          <w:szCs w:val="24"/>
        </w:rPr>
        <w:t xml:space="preserve">Ideas in the mind of a mid-career academic are like this. When a 57-year-old philosophy professor deploys the concept of counterfactual dependence in a conversation, the deployment tells you that, at some point in his life, he had the intelligence required to acquire that concept. It tells you nothing about his current intelligence. The concept is a fossil. The intellectual process that deposited it may have ceased decades ago. He is not doing that process now; he is merely displaying the fossil. And the display is essentially automatic — it requires very little of him. It is not evidence of active cognitive work. It is evidence of prior cognitive work, frozen in place and available for repeated redeployment at negligible cost.</w:t>
      </w:r>
    </w:p>
    <w:p>
      <w:pPr>
        <w:spacing w:after="160" w:line="300"/>
        <w:jc w:val="both"/>
      </w:pPr>
      <w:r>
        <w:rPr>
          <w:rFonts w:ascii="Times New Roman" w:cs="Times New Roman" w:eastAsia="Times New Roman" w:hAnsi="Times New Roman"/>
          <w:sz w:val="24"/>
          <w:szCs w:val="24"/>
        </w:rPr>
        <w:t xml:space="preserve">This is why the observer's inference from idea-possession to cognitive capacity is invalid. The observer sees a man who uses the word "counterfactual" correctly, who can distinguish a possible from an impossible world, who handles the de re / de dicto distinction without stumbling. The observer infers: this man is intelligent. The inference would be valid if the ideas were being acquired on the spot. They are not. They are being retrieved from a storehouse deposited long ago. The retrieval is trivial. The storehouse tells you about what the man once was. It does not tell you what he is now.</w:t>
      </w:r>
    </w:p>
    <w:p>
      <w:pPr>
        <w:spacing w:after="200" w:before="320"/>
      </w:pPr>
      <w:r>
        <w:rPr>
          <w:rFonts w:ascii="Times New Roman" w:cs="Times New Roman" w:eastAsia="Times New Roman" w:hAnsi="Times New Roman"/>
          <w:b/>
          <w:bCs/>
          <w:sz w:val="26"/>
          <w:szCs w:val="26"/>
        </w:rPr>
        <w:t xml:space="preserve">3. The Standard Objection and Its Failure</w:t>
      </w:r>
    </w:p>
    <w:p>
      <w:pPr>
        <w:spacing w:after="160" w:line="300"/>
        <w:jc w:val="both"/>
      </w:pPr>
      <w:r>
        <w:rPr>
          <w:rFonts w:ascii="Times New Roman" w:cs="Times New Roman" w:eastAsia="Times New Roman" w:hAnsi="Times New Roman"/>
          <w:sz w:val="24"/>
          <w:szCs w:val="24"/>
        </w:rPr>
        <w:t xml:space="preserve">A standard objection at this point is: "Dumb people don't talk about counterfactuals, do they?" The objection has surface plausibility. It is true that, as an empirical generalization, people of low intelligence do not spend their conversational time on topics like rigid designation, the necessity of identity, or the interpretation of subjunctive conditionals. So one might think that the mere fact of a person's engaging with such topics is evidence of his intelligence.</w:t>
      </w:r>
    </w:p>
    <w:p>
      <w:pPr>
        <w:spacing w:after="160" w:line="300"/>
        <w:jc w:val="both"/>
      </w:pPr>
      <w:r>
        <w:rPr>
          <w:rFonts w:ascii="Times New Roman" w:cs="Times New Roman" w:eastAsia="Times New Roman" w:hAnsi="Times New Roman"/>
          <w:sz w:val="24"/>
          <w:szCs w:val="24"/>
        </w:rPr>
        <w:t xml:space="preserve">The objection conflates two populations. People who have always been dumb do not talk about counterfactuals. That is correct. But people who were once smart and are now dumb can and do talk about counterfactuals. They talk about them because they acquired the relevant concepts during the period when they were smart, and the concepts persist. The concepts are, again, fossils. The former-smart-now-dumb person has a large inventory of such fossils, deposited during his productive years, which he continues to deploy. He looks, to the observer who does not distinguish acquisition from maintenance, like a smart person. He is in fact a dumb person with a large inventory of ideas deposited during a smarter period.</w:t>
      </w:r>
    </w:p>
    <w:p>
      <w:pPr>
        <w:spacing w:after="160" w:line="300"/>
        <w:jc w:val="both"/>
      </w:pPr>
      <w:r>
        <w:rPr>
          <w:rFonts w:ascii="Times New Roman" w:cs="Times New Roman" w:eastAsia="Times New Roman" w:hAnsi="Times New Roman"/>
          <w:sz w:val="24"/>
          <w:szCs w:val="24"/>
        </w:rPr>
        <w:t xml:space="preserve">This is not a hypothetical population. It is the modal population of tenured philosophy professors. The standard career trajectory runs as follows. In his twenties, the aspiring philosopher is genuinely intellectually active: he is reading primary sources, working through arguments, acquiring the concepts that constitute his eventual professional equipment. His acquisition-capacity is high, because it has to be: a career in philosophy at the outset requires the ability to internalize Kant, Frege, Wittgenstein, Quine, Kripke, and whoever else is canonical in his subfield. By his mid-thirties, the inventory is largely in place. Thereafter, for roughly thirty years, he redeploys the inventory — in papers, in lectures, in conference talks, in referee reports. He acquires very little new. What he acquires, he acquires in the same key as what he already has: minor variations, terminological updates, fashionable refinements. By his late fifties, he has been coasting on his twenty-year-old inventory for three decades.</w:t>
      </w:r>
    </w:p>
    <w:p>
      <w:pPr>
        <w:spacing w:after="160" w:line="300"/>
        <w:jc w:val="both"/>
      </w:pPr>
      <w:r>
        <w:rPr>
          <w:rFonts w:ascii="Times New Roman" w:cs="Times New Roman" w:eastAsia="Times New Roman" w:hAnsi="Times New Roman"/>
          <w:sz w:val="24"/>
          <w:szCs w:val="24"/>
        </w:rPr>
        <w:t xml:space="preserve">The coasting is not cognitively demanding. In fact, as established in the companion paper on the rip cord mechanism, the professional environment actively discourages cognitive demand: the practitioner who engages adverse stimuli is penalized, and the practitioner who deploys pre-fabricated refusals is rewarded. So not only is the mid-career philosopher not acquiring new ideas; he is being professionally rewarded for not doing so. His acquisition-capacity, unexercised for decades, has atrophied. His inventory is intact; his capacity to add to the inventory is not. And because the observer evaluates him on the basis of the inventory rather than on the basis of any live acquisition, the observer persistently overestimates his current intelligence.</w:t>
      </w:r>
    </w:p>
    <w:p>
      <w:pPr>
        <w:spacing w:after="200" w:before="320"/>
      </w:pPr>
      <w:r>
        <w:rPr>
          <w:rFonts w:ascii="Times New Roman" w:cs="Times New Roman" w:eastAsia="Times New Roman" w:hAnsi="Times New Roman"/>
          <w:b/>
          <w:bCs/>
          <w:sz w:val="26"/>
          <w:szCs w:val="26"/>
        </w:rPr>
        <w:t xml:space="preserve">4. Diagnostic Asymmetries</w:t>
      </w:r>
    </w:p>
    <w:p>
      <w:pPr>
        <w:spacing w:after="160" w:line="300"/>
        <w:jc w:val="both"/>
      </w:pPr>
      <w:r>
        <w:rPr>
          <w:rFonts w:ascii="Times New Roman" w:cs="Times New Roman" w:eastAsia="Times New Roman" w:hAnsi="Times New Roman"/>
          <w:sz w:val="24"/>
          <w:szCs w:val="24"/>
        </w:rPr>
        <w:t xml:space="preserve">If the acquisition-maintenance distinction is real, we should expect certain diagnostic asymmetries, and we do find them.</w:t>
      </w:r>
    </w:p>
    <w:p>
      <w:pPr>
        <w:spacing w:after="160" w:line="300"/>
        <w:jc w:val="both"/>
      </w:pPr>
      <w:r>
        <w:rPr>
          <w:rFonts w:ascii="Times New Roman" w:cs="Times New Roman" w:eastAsia="Times New Roman" w:hAnsi="Times New Roman"/>
          <w:sz w:val="24"/>
          <w:szCs w:val="24"/>
        </w:rPr>
        <w:t xml:space="preserve">First, the senior philosopher performs well on material that was canonical during his formation and poorly on material that postdates it. This is not because he has not read the newer material; he may well have. It is because reading is not the same as acquiring. To acquire a new framework — genuinely to internalize it so that it becomes a live cognitive tool rather than a set of citations — requires acquisition-capacity, and acquisition-capacity has atrophied. So the senior philosopher ends up citing newer work in a shallow way, misapplying it, or reducing it (often with visible condescension) to some variant of what he already knows. The reduction is diagnostic. It is the tell of someone who lacks the capacity to take in something new as new.</w:t>
      </w:r>
    </w:p>
    <w:p>
      <w:pPr>
        <w:spacing w:after="160" w:line="300"/>
        <w:jc w:val="both"/>
      </w:pPr>
      <w:r>
        <w:rPr>
          <w:rFonts w:ascii="Times New Roman" w:cs="Times New Roman" w:eastAsia="Times New Roman" w:hAnsi="Times New Roman"/>
          <w:sz w:val="24"/>
          <w:szCs w:val="24"/>
        </w:rPr>
        <w:t xml:space="preserve">Second, the senior philosopher is disproportionately alarmed by, and hostile toward, live challenges to his framework. The ordinary explanation is that he is defending his investment. A more accurate explanation is that a live challenge would require him to do acquisition-level work — to actually consider a new way of looking at the problem — and he is no longer capable of it. The hostility is not calculation; it is compensation for incapacity. He cannot metabolize the challenge, so he rejects it. Rip cords, as we have seen, are available for precisely this purpose, and they are deployed with increasing frequency as the senior philosopher ages, because his need for them increases.</w:t>
      </w:r>
    </w:p>
    <w:p>
      <w:pPr>
        <w:spacing w:after="160" w:line="300"/>
        <w:jc w:val="both"/>
      </w:pPr>
      <w:r>
        <w:rPr>
          <w:rFonts w:ascii="Times New Roman" w:cs="Times New Roman" w:eastAsia="Times New Roman" w:hAnsi="Times New Roman"/>
          <w:sz w:val="24"/>
          <w:szCs w:val="24"/>
        </w:rPr>
        <w:t xml:space="preserve">Third, the senior philosopher's original work becomes increasingly derivative of his own earlier work. His papers in his fifties and sixties are variants of his papers in his thirties. He is redeploying the same inventory in new configurations. This is mistaken by observers for a mature research program. It is in fact the symptom of an inventory that has stopped being added to. The researcher whose acquisition-capacity is intact continues to surprise himself, because he continues to acquire. The researcher whose acquisition-capacity has atrophied stops surprising himself, and eventually stops surprising anyone else.</w:t>
      </w:r>
    </w:p>
    <w:p>
      <w:pPr>
        <w:spacing w:after="200" w:before="320"/>
      </w:pPr>
      <w:r>
        <w:rPr>
          <w:rFonts w:ascii="Times New Roman" w:cs="Times New Roman" w:eastAsia="Times New Roman" w:hAnsi="Times New Roman"/>
          <w:b/>
          <w:bCs/>
          <w:sz w:val="26"/>
          <w:szCs w:val="26"/>
        </w:rPr>
        <w:t xml:space="preserve">5. Why the Illusion Is Stable</w:t>
      </w:r>
    </w:p>
    <w:p>
      <w:pPr>
        <w:spacing w:after="160" w:line="300"/>
        <w:jc w:val="both"/>
      </w:pPr>
      <w:r>
        <w:rPr>
          <w:rFonts w:ascii="Times New Roman" w:cs="Times New Roman" w:eastAsia="Times New Roman" w:hAnsi="Times New Roman"/>
          <w:sz w:val="24"/>
          <w:szCs w:val="24"/>
        </w:rPr>
        <w:t xml:space="preserve">The illusion that the senior philosopher is intelligent is remarkably stable, and it is worth asking why.</w:t>
      </w:r>
    </w:p>
    <w:p>
      <w:pPr>
        <w:spacing w:after="160" w:line="300"/>
        <w:jc w:val="both"/>
      </w:pPr>
      <w:r>
        <w:rPr>
          <w:rFonts w:ascii="Times New Roman" w:cs="Times New Roman" w:eastAsia="Times New Roman" w:hAnsi="Times New Roman"/>
          <w:sz w:val="24"/>
          <w:szCs w:val="24"/>
        </w:rPr>
        <w:t xml:space="preserve">Part of the answer is that the evidence that would unmask it is hard to obtain. To see that a senior philosopher has lost acquisition-capacity, one would need to observe him trying to acquire something new — a new framework, a new technique, a new argument — and failing. But the professional environment is organized precisely so that senior philosophers are never visibly placed in that position. They are consulted as authorities. They are invited to comment on the work of others, not to acquire from it. They are asked to adjudicate disputes within the framework they already possess, not to learn new frameworks. The situations that would reveal their atrophy are systematically avoided. And when such situations do arise — when, for example, a graduate student presents an argument that requires them to update a view — the rip cord inventory is available, and it is used.</w:t>
      </w:r>
    </w:p>
    <w:p>
      <w:pPr>
        <w:spacing w:after="160" w:line="300"/>
        <w:jc w:val="both"/>
      </w:pPr>
      <w:r>
        <w:rPr>
          <w:rFonts w:ascii="Times New Roman" w:cs="Times New Roman" w:eastAsia="Times New Roman" w:hAnsi="Times New Roman"/>
          <w:sz w:val="24"/>
          <w:szCs w:val="24"/>
        </w:rPr>
        <w:t xml:space="preserve">Another part of the answer is that the observer typically lacks the background to distinguish live thought from fossil display. Distinguishing them requires the observer himself to be doing live thought, so that he can recognize the difference. An observer whose own cognitive activity consists mostly of fossil display will not notice that the senior philosopher is doing the same thing; they will recognize each other as intelligent, and will mutually confirm the recognition, because both are performing the same kind of cultural activity. The illusion is stabilized by shared participation in the illusion.</w:t>
      </w:r>
    </w:p>
    <w:p>
      <w:pPr>
        <w:spacing w:after="160" w:line="300"/>
        <w:jc w:val="both"/>
      </w:pPr>
      <w:r>
        <w:rPr>
          <w:rFonts w:ascii="Times New Roman" w:cs="Times New Roman" w:eastAsia="Times New Roman" w:hAnsi="Times New Roman"/>
          <w:sz w:val="24"/>
          <w:szCs w:val="24"/>
        </w:rPr>
        <w:t xml:space="preserve">A third part of the answer, and perhaps the most important, is that the ideas themselves are impressive. Compositionality, counterfactual semantics, the de re / de dicto distinction — these are genuinely powerful conceptual tools, and a person displaying them is displaying something real. The question is only whether what he is displaying is *his own current intelligence* or the residue of *past intelligence that deposited these tools in him*. The displays do not distinguish. To the observer, they look identical. And so the observer concludes, wrongly, that the intelligence that deposited the tools is still there, operative, available.</w:t>
      </w:r>
    </w:p>
    <w:p>
      <w:pPr>
        <w:spacing w:after="200" w:before="320"/>
      </w:pPr>
      <w:r>
        <w:rPr>
          <w:rFonts w:ascii="Times New Roman" w:cs="Times New Roman" w:eastAsia="Times New Roman" w:hAnsi="Times New Roman"/>
          <w:b/>
          <w:bCs/>
          <w:sz w:val="26"/>
          <w:szCs w:val="26"/>
        </w:rPr>
        <w:t xml:space="preserve">6. The Student Comparison</w:t>
      </w:r>
    </w:p>
    <w:p>
      <w:pPr>
        <w:spacing w:after="160" w:line="300"/>
        <w:jc w:val="both"/>
      </w:pPr>
      <w:r>
        <w:rPr>
          <w:rFonts w:ascii="Times New Roman" w:cs="Times New Roman" w:eastAsia="Times New Roman" w:hAnsi="Times New Roman"/>
          <w:sz w:val="24"/>
          <w:szCs w:val="24"/>
        </w:rPr>
        <w:t xml:space="preserve">The most revealing comparison is with the student who is currently acquiring the material. A bright 20-year-old student, working through the equivalence of "P unless Q" and "not-P entails Q," is visibly struggling — not because he is dumb, but because acquisition is the expensive cognitive operation, and he is doing it in real time. The senior professor, fluent with the equivalence, is not struggling. It would be natural to conclude that the professor is smarter than the student. The conclusion is often false. The student is doing acquisition-level work; the professor is doing maintenance-level work; and acquisition is harder. If you could somehow scale each of them to the same task — say, the task of acquiring some genuinely new piece of logic neither of them has seen — you might well find that the student acquires it and the professor does not. The student's visible struggle is evidence of present capacity. The professor's invisible ease is evidence only of past capacity.</w:t>
      </w:r>
    </w:p>
    <w:p>
      <w:pPr>
        <w:spacing w:after="160" w:line="300"/>
        <w:jc w:val="both"/>
      </w:pPr>
      <w:r>
        <w:rPr>
          <w:rFonts w:ascii="Times New Roman" w:cs="Times New Roman" w:eastAsia="Times New Roman" w:hAnsi="Times New Roman"/>
          <w:sz w:val="24"/>
          <w:szCs w:val="24"/>
        </w:rPr>
        <w:t xml:space="preserve">This is why students, particularly good ones, often come away from encounters with senior philosophers disappointed in a way they cannot quite articulate. They had expected intelligence and had encountered something else: fluent redeployment of old ideas, paired with visible inability to engage anything genuinely new. They do not know what to call what they saw. What they saw was fossil display.</w:t>
      </w:r>
    </w:p>
    <w:p>
      <w:pPr>
        <w:spacing w:after="200" w:before="320"/>
      </w:pPr>
      <w:r>
        <w:rPr>
          <w:rFonts w:ascii="Times New Roman" w:cs="Times New Roman" w:eastAsia="Times New Roman" w:hAnsi="Times New Roman"/>
          <w:b/>
          <w:bCs/>
          <w:sz w:val="26"/>
          <w:szCs w:val="26"/>
        </w:rPr>
        <w:t xml:space="preserve">7. The Inventory Runs Out</w:t>
      </w:r>
    </w:p>
    <w:p>
      <w:pPr>
        <w:spacing w:after="160" w:line="300"/>
        <w:jc w:val="both"/>
      </w:pPr>
      <w:r>
        <w:rPr>
          <w:rFonts w:ascii="Times New Roman" w:cs="Times New Roman" w:eastAsia="Times New Roman" w:hAnsi="Times New Roman"/>
          <w:sz w:val="24"/>
          <w:szCs w:val="24"/>
        </w:rPr>
        <w:t xml:space="preserve">A final point. The inventory-coasting strategy has an end. The senior philosopher can deploy his twenty-year-old inventory for a long time, but not forever. Eventually — typically in the late career, sometimes earlier — the inventory stops being adequate to the problems that press on him. New developments in the field, new techniques, new empirical results, or simply new questions from graduate students begin to exceed what the inventory can handle. At this point, the senior philosopher has two options. He can attempt acquisition, and discover that his capacity for it has atrophied. Or he can dismiss the new material as unimportant, unrigorous, or not really philosophy — that is, he can deploy the rip cord inventory against it.</w:t>
      </w:r>
    </w:p>
    <w:p>
      <w:pPr>
        <w:spacing w:after="160" w:line="300"/>
        <w:jc w:val="both"/>
      </w:pPr>
      <w:r>
        <w:rPr>
          <w:rFonts w:ascii="Times New Roman" w:cs="Times New Roman" w:eastAsia="Times New Roman" w:hAnsi="Times New Roman"/>
          <w:sz w:val="24"/>
          <w:szCs w:val="24"/>
        </w:rPr>
        <w:t xml:space="preserve">Almost universally, he chooses the second. This is why senior philosophers are reliably dismissive of whatever is new: not because the new work is bad (it may be bad or it may be good), but because taking it seriously would require acquisition-capacity they no longer have. The dismissal is protective. It preserves the illusion — his and the observer's — that he is still intellectually active. And because the dismissal itself is performed using the old inventory (skepticism about psychology, appeals to fact-value distinctions, accusations of category error), it looks sophisticated. It looks like engagement. It is in fact the symptom of incapacity, dressed in the costume of expertise.</w:t>
      </w:r>
    </w:p>
    <w:p>
      <w:pPr>
        <w:spacing w:after="200" w:before="320"/>
      </w:pPr>
      <w:r>
        <w:rPr>
          <w:rFonts w:ascii="Times New Roman" w:cs="Times New Roman" w:eastAsia="Times New Roman" w:hAnsi="Times New Roman"/>
          <w:b/>
          <w:bCs/>
          <w:sz w:val="26"/>
          <w:szCs w:val="26"/>
        </w:rPr>
        <w:t xml:space="preserve">8. Conclusion</w:t>
      </w:r>
    </w:p>
    <w:p>
      <w:pPr>
        <w:spacing w:after="160" w:line="300"/>
        <w:jc w:val="both"/>
      </w:pPr>
      <w:r>
        <w:rPr>
          <w:rFonts w:ascii="Times New Roman" w:cs="Times New Roman" w:eastAsia="Times New Roman" w:hAnsi="Times New Roman"/>
          <w:sz w:val="24"/>
          <w:szCs w:val="24"/>
        </w:rPr>
        <w:t xml:space="preserve">The widespread reluctance to describe a tenured philosophy professor as dumb rests, I have argued, on a specific cognitive confusion: the failure to distinguish the intelligence required to acquire an idea from the much lower intelligence required to hold onto an idea once acquired. Ideas are fossils; they persist long after the process that deposited them has ceased. The senior philosopher's inventory of sophisticated concepts is evidence of what he once was, not evidence of what he now is. The standard objection — that a dumb person would not be discussing counterfactuals — confuses people who have always been dumb with people who were once smart and are now not. The latter population exists, is large, and is disproportionately concentrated in the tenured ranks of analytic philosophy departments. Recognizing this is necessary for any honest assessment of the discipline. The continued refusal to recognize it is itself part of the mechanism by which the discipline sustains its self-image, and, as such, one more instance of the rip cord pattern: a professionally-rewarded refusal to acquire a true and available idea.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2026-04-19T18:22:56.369Z</dcterms:created>
  <dcterms:modified xsi:type="dcterms:W3CDTF">2026-04-19T18:22:56.370Z</dcterms:modified>
</cp:coreProperties>
</file>

<file path=docProps/custom.xml><?xml version="1.0" encoding="utf-8"?>
<Properties xmlns="http://schemas.openxmlformats.org/officeDocument/2006/custom-properties" xmlns:vt="http://schemas.openxmlformats.org/officeDocument/2006/docPropsVTypes"/>
</file>