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The Myth of the Life of the Mind</w:t>
      </w:r>
    </w:p>
    <w:p>
      <w:pPr>
        <w:spacing w:after="240"/>
        <w:jc w:val="center"/>
      </w:pPr>
      <w:r>
        <w:rPr>
          <w:i/>
          <w:iCs/>
          <w:sz w:val="26"/>
          <w:szCs w:val="26"/>
        </w:rPr>
        <w:t xml:space="preserve">Occupation, Origination, and the Professional Philosopher’s Self-Image</w:t>
      </w:r>
    </w:p>
    <w:p>
      <w:pPr>
        <w:spacing w:after="120"/>
        <w:jc w:val="center"/>
      </w:pPr>
      <w:r>
        <w:rPr>
          <w:sz w:val="24"/>
          <w:szCs w:val="24"/>
        </w:rPr>
        <w:t xml:space="preserve">John-Michael Kuczynski, Ph.D.</w:t>
      </w:r>
    </w:p>
    <w:p>
      <w:pPr>
        <w:spacing w:after="240"/>
      </w:pPr>
      <w:r>
        <w:t xml:space="preserve"/>
      </w:r>
    </w:p>
    <w:p>
      <w:pPr>
        <w:spacing w:after="120"/>
        <w:jc w:val="center"/>
      </w:pPr>
      <w:r>
        <w:rPr>
          <w:b/>
          <w:bCs/>
          <w:sz w:val="24"/>
          <w:szCs w:val="24"/>
        </w:rPr>
        <w:t xml:space="preserve">Abstract</w:t>
      </w:r>
    </w:p>
    <w:p>
      <w:pPr>
        <w:spacing w:after="360" w:line="300"/>
        <w:ind w:left="720" w:right="720"/>
        <w:jc w:val="both"/>
      </w:pPr>
      <w:r>
        <w:rPr>
          <w:sz w:val="22"/>
          <w:szCs w:val="22"/>
        </w:rPr>
        <w:t xml:space="preserve">Academic philosophy trades heavily on the self-image of its practitioners as people “living the life of the mind.” This paper argues that the phrase, as currently deployed, equivocates between two categorically distinct activities: originating conceptual pathways and occupying them. The former genuinely denotes what the phrase was coined to describe; the latter is a skill, sometimes a refined one, but is closer in cognitive structure to bureaucratic maintenance than to philosophical discovery. The paper further argues that the institutional incentive structure of professional philosophy actively narrows rather than widens the range of stimuli to which the professional philosopher is exposed, and that, measured by the volatility and range of inputs demanding outputs, the daily cognitive work of a stone mason, electrician, or self-employed intellectual worker typically exceeds that of the tenured specialist. The result is a diagnosis: “the life of the mind,” as the phrase is used in contemporary academic philosophy, is a borrowed prestige term attached to an activity that no longer warrants it.</w:t>
      </w:r>
    </w:p>
    <w:p>
      <w:pPr>
        <w:pStyle w:val="Heading2"/>
        <w:spacing w:after="200" w:before="360"/>
      </w:pPr>
      <w:r>
        <w:rPr>
          <w:b/>
          <w:bCs/>
          <w:sz w:val="26"/>
          <w:szCs w:val="26"/>
        </w:rPr>
        <w:t xml:space="preserve">1. The Phrase and Its Pedigree</w:t>
      </w:r>
    </w:p>
    <w:p>
      <w:pPr>
        <w:spacing w:after="200" w:line="360"/>
        <w:ind w:firstLine="360"/>
        <w:jc w:val="both"/>
      </w:pPr>
      <w:r>
        <w:rPr>
          <w:sz w:val="24"/>
          <w:szCs w:val="24"/>
        </w:rPr>
        <w:t xml:space="preserve">The expression “the life of the mind” carries an impressive pedigree. It runs through Hannah Arendt’s posthumously published volume of that title, back through the medieval contemplatives, and ultimately to Aristotle’s bios theoretikos—the contemplative life ranked in the Nicomachean Ethics as the highest form of human activity. Contemporary academic philosophy has inherited this lineage and positioned itself, often without explicit argument, as its present-day custodian. The phrase appears in recruitment brochures, commencement addresses, valedictory essays, and the wistful memoirs of emeritus professors. It is the profession’s favored piece of self-description.</w:t>
      </w:r>
    </w:p>
    <w:p>
      <w:pPr>
        <w:spacing w:after="200" w:line="360"/>
        <w:ind w:firstLine="360"/>
        <w:jc w:val="both"/>
      </w:pPr>
      <w:r>
        <w:rPr>
          <w:sz w:val="24"/>
          <w:szCs w:val="24"/>
        </w:rPr>
        <w:t xml:space="preserve">The question this paper presses is whether the description fits. I argue that it does not—or rather, that it fits a small and diminishing fraction of those who invoke it, and that its continued general use amounts to a category error the profession depends on not noticing.</w:t>
      </w:r>
    </w:p>
    <w:p>
      <w:pPr>
        <w:pStyle w:val="Heading2"/>
        <w:spacing w:after="200" w:before="360"/>
      </w:pPr>
      <w:r>
        <w:rPr>
          <w:b/>
          <w:bCs/>
          <w:sz w:val="26"/>
          <w:szCs w:val="26"/>
        </w:rPr>
        <w:t xml:space="preserve">2. Origination Versus Occupation</w:t>
      </w:r>
    </w:p>
    <w:p>
      <w:pPr>
        <w:spacing w:after="200" w:line="360"/>
        <w:ind w:firstLine="360"/>
        <w:jc w:val="both"/>
      </w:pPr>
      <w:r>
        <w:rPr>
          <w:sz w:val="24"/>
          <w:szCs w:val="24"/>
        </w:rPr>
        <w:t xml:space="preserve">The central distinction is between originating a conceptual pathway and occupying one. When Frege distinguished sense from reference, when Tarski constructed a formal semantics for truth, when Kripke severed necessity from apriority, something genuinely new was being produced. The cognitive act involved confronting a problem without a received apparatus and building the apparatus as the work proceeded. This is what the phrase “the life of the mind” originally denoted in the tradition from which academic philosophy claims descent.</w:t>
      </w:r>
    </w:p>
    <w:p>
      <w:pPr>
        <w:spacing w:after="200" w:line="360"/>
        <w:ind w:firstLine="360"/>
        <w:jc w:val="both"/>
      </w:pPr>
      <w:r>
        <w:rPr>
          <w:sz w:val="24"/>
          <w:szCs w:val="24"/>
        </w:rPr>
        <w:t xml:space="preserve">What the vast majority of professional philosophers do is something different in kind. It is the composition of paper number forty-seven on the Frege-Geach problem, the thirty-eighth intervention in the debate over moral particularism, the latest permutation on emotivism or functionalism or two-dimensional semantics. The pathways are already laid. The apparatus is already built. What is required is competent occupation: knowing the literature, positioning one’s contribution relative to existing moves, producing a recognizable variation that will pass peer review. This is a skill. It is sometimes a demanding skill. But it is not the same activity as originating the apparatus, and calling it by the same name is where the equivocation enters.</w:t>
      </w:r>
    </w:p>
    <w:p>
      <w:pPr>
        <w:spacing w:after="200" w:line="360"/>
        <w:ind w:firstLine="360"/>
        <w:jc w:val="both"/>
      </w:pPr>
      <w:r>
        <w:rPr>
          <w:sz w:val="24"/>
          <w:szCs w:val="24"/>
        </w:rPr>
        <w:t xml:space="preserve">There is a difference between doing something that an intelligent person made possible and being an intelligent person. The distinction between logical and grammatical form required intelligence to draw. Producing a seminar paper that deploys the distinction does not require anything close to the same order of cognitive work. The borrowed vocabulary conceals the gap.</w:t>
      </w:r>
    </w:p>
    <w:p>
      <w:pPr>
        <w:pStyle w:val="Heading2"/>
        <w:spacing w:after="200" w:before="360"/>
      </w:pPr>
      <w:r>
        <w:rPr>
          <w:b/>
          <w:bCs/>
          <w:sz w:val="26"/>
          <w:szCs w:val="26"/>
        </w:rPr>
        <w:t xml:space="preserve">3. The Narrowing Incentive</w:t>
      </w:r>
    </w:p>
    <w:p>
      <w:pPr>
        <w:spacing w:after="200" w:line="360"/>
        <w:ind w:firstLine="360"/>
        <w:jc w:val="both"/>
      </w:pPr>
      <w:r>
        <w:rPr>
          <w:sz w:val="24"/>
          <w:szCs w:val="24"/>
        </w:rPr>
        <w:t xml:space="preserve">The institutional incentive structure of academic philosophy does not merely fail to reward intellectual range; it actively punishes it. The mechanism is straightforward. Professional standing within the field is a function of dominance within a narrowly defined subfield. Dominance is measured by citation density, reciprocal engagement from other specialists, and the perception that one has “mastered the literature” on a tightly circumscribed question. The narrower the question, the easier dominance becomes to achieve and defend. The wider one’s interests, the more the dominance thins out and the more one appears, to colleagues operating on the standard model, to be dilettantish or undisciplined.</w:t>
      </w:r>
    </w:p>
    <w:p>
      <w:pPr>
        <w:spacing w:after="200" w:line="360"/>
        <w:ind w:firstLine="360"/>
        <w:jc w:val="both"/>
      </w:pPr>
      <w:r>
        <w:rPr>
          <w:sz w:val="24"/>
          <w:szCs w:val="24"/>
        </w:rPr>
        <w:t xml:space="preserve">I speak here from experience. As a tenure-track professor I was explicitly discouraged by my department chair from “writing another book.” The objection was not that the book was bad; it was that writing books—plural—was the wrong kind of activity. It made the chair nervous, and more than nervous, because it violated the implicit compact of the guild. The compact runs as follows: you specialize, you defend your patch, you engage in ritualized reciprocal citation with the other occupants of adjacent patches, and in exchange you receive the prestige of being a philosopher. Writing across domains, producing treatises rather than articles, pursuing problems wherever they lead—these activities threaten the compact because they suggest the specialization was never the deep intellectual commitment it was claimed to be, but merely a credentialing move.</w:t>
      </w:r>
    </w:p>
    <w:p>
      <w:pPr>
        <w:spacing w:after="200" w:line="360"/>
        <w:ind w:firstLine="360"/>
        <w:jc w:val="both"/>
      </w:pPr>
      <w:r>
        <w:rPr>
          <w:sz w:val="24"/>
          <w:szCs w:val="24"/>
        </w:rPr>
        <w:t xml:space="preserve">The chair was, in his own terms, correct to be nervous. If one can simply write books, the logic of territorial specialization looks less like rigor and more like what it is: a mechanism for converting modest amounts of intelligence into large amounts of status by restricting the comparison class. The narrower the patch, the larger one looms within it. Reading widely dilutes the effect. Writing across fields dilutes it further. Building things—actual intellectual artifacts that function in the world—dilutes it most of all, because such artifacts are evaluated against reality rather than against the conventions of a subliterature.</w:t>
      </w:r>
    </w:p>
    <w:p>
      <w:pPr>
        <w:spacing w:after="200" w:line="360"/>
        <w:ind w:firstLine="360"/>
        <w:jc w:val="both"/>
      </w:pPr>
      <w:r>
        <w:rPr>
          <w:sz w:val="24"/>
          <w:szCs w:val="24"/>
        </w:rPr>
        <w:t xml:space="preserve">The consequence is that the successful academic philosopher spends decades systematically narrowing the range of stimuli to which he is exposed. He earns, through accumulating dominance within his patch, the right to stop up his ears—to deploy canned dismissals of work outside his specialty, to decline to engage with authors not in his citation network, to treat the borders of his subfield as the borders of serious thought. This is the opposite of what the phrase “life of the mind” was ever meant to describe.</w:t>
      </w:r>
    </w:p>
    <w:p>
      <w:pPr>
        <w:pStyle w:val="Heading2"/>
        <w:spacing w:after="200" w:before="360"/>
      </w:pPr>
      <w:r>
        <w:rPr>
          <w:b/>
          <w:bCs/>
          <w:sz w:val="26"/>
          <w:szCs w:val="26"/>
        </w:rPr>
        <w:t xml:space="preserve">4. Repetition Disguised as Inquiry</w:t>
      </w:r>
    </w:p>
    <w:p>
      <w:pPr>
        <w:spacing w:after="200" w:line="360"/>
        <w:ind w:firstLine="360"/>
        <w:jc w:val="both"/>
      </w:pPr>
      <w:r>
        <w:rPr>
          <w:sz w:val="24"/>
          <w:szCs w:val="24"/>
        </w:rPr>
        <w:t xml:space="preserve">Grant that some genuine intellectual effort is required to arrive at the point where one can discuss, say, the Frege-Geach problem semi-meaningfully. That point is reached, for a capable graduate student, somewhere in the second or third year of doctoral work. After that, the activity becomes predominantly repetitive. In teaching, the repetition is overt: the same lectures, the same examples, the same objections anticipated and rebutted, year after year, decade after decade. In writing, the repetition is less obvious but more insidious, because it is disguised as novelty. Each new paper is presented as a contribution, but the contribution is typically a small permutation on a move the author has been making since graduate school, applied to a slightly different case or directed against a slightly different interlocutor.</w:t>
      </w:r>
    </w:p>
    <w:p>
      <w:pPr>
        <w:spacing w:after="200" w:line="360"/>
        <w:ind w:firstLine="360"/>
        <w:jc w:val="both"/>
      </w:pPr>
      <w:r>
        <w:rPr>
          <w:sz w:val="24"/>
          <w:szCs w:val="24"/>
        </w:rPr>
        <w:t xml:space="preserve">This is not to deny that such work can be done with technical skill. It is to deny that it constitutes “living the life of the mind” in any sense that would distinguish it from other forms of skilled repetitive labor. A competent specialist producing his twentieth paper on a problem he first engaged at twenty-five is not doing something categorically different from a skilled technician performing a familiar procedure. The procedure may be intellectual in content, but the cognitive structure—pattern recognition, application of rehearsed moves, minor adjustment to local conditions—is the structure of skilled repetition, not the structure of discovery.</w:t>
      </w:r>
    </w:p>
    <w:p>
      <w:pPr>
        <w:pStyle w:val="Heading2"/>
        <w:spacing w:after="200" w:before="360"/>
      </w:pPr>
      <w:r>
        <w:rPr>
          <w:b/>
          <w:bCs/>
          <w:sz w:val="26"/>
          <w:szCs w:val="26"/>
        </w:rPr>
        <w:t xml:space="preserve">5. The Comparison With Skilled Trades</w:t>
      </w:r>
    </w:p>
    <w:p>
      <w:pPr>
        <w:spacing w:after="200" w:line="360"/>
        <w:ind w:firstLine="360"/>
        <w:jc w:val="both"/>
      </w:pPr>
      <w:r>
        <w:rPr>
          <w:sz w:val="24"/>
          <w:szCs w:val="24"/>
        </w:rPr>
        <w:t xml:space="preserve">Consider, by way of contrast, the daily cognitive work of a stone mason, an electrician, or a plumber. None of these activities is intellectual in the sense the philosophy professor claims for himself. They may not require what is conventionally called intelligence. But if one quantifies the range and volatility of the stimuli demanding response—the irregular stone, the uncooperative mortar, the shifting load requirement, the client’s aesthetic preference, the budget constraint, the weather, the code requirement, the unforeseen structural anomaly—the mason is integrating more genuinely distinct variables in an afternoon than the specialist paper-writer integrates in a month.</w:t>
      </w:r>
    </w:p>
    <w:p>
      <w:pPr>
        <w:spacing w:after="200" w:line="360"/>
        <w:ind w:firstLine="360"/>
        <w:jc w:val="both"/>
      </w:pPr>
      <w:r>
        <w:rPr>
          <w:sz w:val="24"/>
          <w:szCs w:val="24"/>
        </w:rPr>
        <w:t xml:space="preserve">The crucial difference is that reality pushes back on the mason. If the wall is wrong, it falls down, or looks wrong, or fails inspection, or the client refuses to pay. The inputs are volatile and unforgiving. The literature of professional philosophy, by contrast, does not push back on its participants in anything like the same way. It absorbs almost any competent move and rewards moves that are recognizably continuous with prior moves. A paper that deploys the accepted vocabulary, engages the expected interlocutors, and makes a recognizable variation on a familiar theme will almost certainly find a home somewhere. The feedback loop that forces the mason to integrate genuinely diverse inputs is largely absent.</w:t>
      </w:r>
    </w:p>
    <w:p>
      <w:pPr>
        <w:spacing w:after="200" w:line="360"/>
        <w:ind w:firstLine="360"/>
        <w:jc w:val="both"/>
      </w:pPr>
      <w:r>
        <w:rPr>
          <w:sz w:val="24"/>
          <w:szCs w:val="24"/>
        </w:rPr>
        <w:t xml:space="preserve">This is why the self-employed intellectual worker, operating without the institutional buffer of a specialized subliterature, typically generates more genuine cognitive work in a day than the tenured specialist generates in a month. The self-employed worker is forced to integrate varied inputs because nothing is filtering them on his behalf. He has no subfield guarding his perimeter, no citation network providing pre-digested material, no departmental structure defining in advance which questions count as his questions. Every day is a partial re-confrontation with the range of problems actually presented by the work.</w:t>
      </w:r>
    </w:p>
    <w:p>
      <w:pPr>
        <w:pStyle w:val="Heading2"/>
        <w:spacing w:after="200" w:before="360"/>
      </w:pPr>
      <w:r>
        <w:rPr>
          <w:b/>
          <w:bCs/>
          <w:sz w:val="26"/>
          <w:szCs w:val="26"/>
        </w:rPr>
        <w:t xml:space="preserve">6. The Equivocation Diagnosed</w:t>
      </w:r>
    </w:p>
    <w:p>
      <w:pPr>
        <w:spacing w:after="200" w:line="360"/>
        <w:ind w:firstLine="360"/>
        <w:jc w:val="both"/>
      </w:pPr>
      <w:r>
        <w:rPr>
          <w:sz w:val="24"/>
          <w:szCs w:val="24"/>
        </w:rPr>
        <w:t xml:space="preserve">The phrase “the life of the mind” acquired its meaning from activity that was genuinely generative—activity in which people confronted problems without a received apparatus and built the apparatus as they went. When contemporary professional philosophers apply the phrase to themselves, what they are in fact saying, without realizing it, is that the work they do has its roots in activity that, when it was being performed, warranted the description. The pathways they occupy were laid down by people who were living the life of the mind in the original sense. But occupying a pathway is not the same as laying one down. The distinction is the distinction between producing and consuming, between originating and administering, between discovery and maintenance.</w:t>
      </w:r>
    </w:p>
    <w:p>
      <w:pPr>
        <w:spacing w:after="200" w:line="360"/>
        <w:ind w:firstLine="360"/>
        <w:jc w:val="both"/>
      </w:pPr>
      <w:r>
        <w:rPr>
          <w:sz w:val="24"/>
          <w:szCs w:val="24"/>
        </w:rPr>
        <w:t xml:space="preserve">To borrow the prestige of the originators while performing the labor of the occupiers is the equivocation at the heart of the profession’s self-image. It is sustained by the fact that the vocabulary of occupation is continuous with the vocabulary of origination; a paper on the logical form of emotivist claims uses words Frege and Moore would recognize. But continuity of vocabulary is not continuity of cognitive activity. A plumber using a wrench designed by a brilliant engineer is not himself engaged in engineering.</w:t>
      </w:r>
    </w:p>
    <w:p>
      <w:pPr>
        <w:pStyle w:val="Heading2"/>
        <w:spacing w:after="200" w:before="360"/>
      </w:pPr>
      <w:r>
        <w:rPr>
          <w:b/>
          <w:bCs/>
          <w:sz w:val="26"/>
          <w:szCs w:val="26"/>
        </w:rPr>
        <w:t xml:space="preserve">7. Conclusion</w:t>
      </w:r>
    </w:p>
    <w:p>
      <w:pPr>
        <w:spacing w:after="200" w:line="360"/>
        <w:ind w:firstLine="360"/>
        <w:jc w:val="both"/>
      </w:pPr>
      <w:r>
        <w:rPr>
          <w:sz w:val="24"/>
          <w:szCs w:val="24"/>
        </w:rPr>
        <w:t xml:space="preserve">The estimate commonly offered—that perhaps ten percent of professional philosophers are doing genuinely generative work while ninety percent are engaged in repetitive occupation—is, I suspect, generous to the field. The real figure for those creating rather than occupying pathways is likely closer to two or three percent, and most of them would be doing their work regardless of institutional setting, often in spite of it rather than because of it.</w:t>
      </w:r>
    </w:p>
    <w:p>
      <w:pPr>
        <w:spacing w:after="200" w:line="360"/>
        <w:ind w:firstLine="360"/>
        <w:jc w:val="both"/>
      </w:pPr>
      <w:r>
        <w:rPr>
          <w:sz w:val="24"/>
          <w:szCs w:val="24"/>
        </w:rPr>
        <w:t xml:space="preserve">None of this is an argument against the existence of academic philosophy. Maintenance of received pathways is a legitimate activity and the pathways do need occupants. But the occupants should not be permitted to borrow, unchallenged, the vocabulary of origination to describe their daily work. The phrase “the life of the mind,” when deployed as a general description of professional philosophical practice, is a myth in the precise sense: a story the profession tells about itself whose function is to confer a dignity its actual activity does not warrant. Recovering the phrase for the activity it was coined to describe—and denying it to the activity it has been conscripted to flatter—is a small but genuine act of intellectual hygiene.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2026-04-19T04:36:03.988Z</dcterms:created>
  <dcterms:modified xsi:type="dcterms:W3CDTF">2026-04-19T04:36:03.988Z</dcterms:modified>
</cp:coreProperties>
</file>

<file path=docProps/custom.xml><?xml version="1.0" encoding="utf-8"?>
<Properties xmlns="http://schemas.openxmlformats.org/officeDocument/2006/custom-properties" xmlns:vt="http://schemas.openxmlformats.org/officeDocument/2006/docPropsVTypes"/>
</file>