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Civilizational Dunbar Index:</w:t>
      </w:r>
    </w:p>
    <w:p>
      <w:pPr>
        <w:spacing w:after="240"/>
        <w:jc w:val="center"/>
      </w:pPr>
      <w:r>
        <w:rPr>
          <w:b/>
          <w:bCs/>
          <w:sz w:val="28"/>
          <w:szCs w:val="28"/>
        </w:rPr>
        <w:t xml:space="preserve">A Twelve-Type Taxonomy of Societies Based on Cognitive Ecology</w:t>
      </w:r>
    </w:p>
    <w:p>
      <w:pPr>
        <w:spacing w:before="240" w:after="120"/>
        <w:jc w:val="center"/>
      </w:pPr>
      <w:r>
        <w:rPr>
          <w:sz w:val="24"/>
          <w:szCs w:val="24"/>
        </w:rPr>
        <w:t xml:space="preserve">John-Michael Kuczynski, Ph.D.</w:t>
      </w:r>
    </w:p>
    <w:p>
      <w:pPr>
        <w:spacing w:after="360"/>
        <w:jc w:val="center"/>
      </w:pPr>
      <w:r>
        <w:rPr>
          <w:i/>
          <w:iCs/>
          <w:sz w:val="22"/>
          <w:szCs w:val="22"/>
        </w:rPr>
        <w:t xml:space="preserve">Zhi Systems</w:t>
      </w:r>
    </w:p>
    <w:p>
      <w:pPr>
        <w:pStyle w:val="Heading1"/>
      </w:pPr>
      <w:r>
        <w:t xml:space="preserve">Abstract</w:t>
      </w:r>
    </w:p>
    <w:p>
      <w:pPr>
        <w:pStyle w:val="Abstract"/>
      </w:pPr>
      <w:r>
        <w:t xml:space="preserve">This paper extends the Dunbar-Veblen framework developed in two prior papers to the analysis of civilizations as wholes. I propose the Civilizational Dunbar Index (CDI), a metric capturing the relative prevalence and cultural dominance of sub-Dunbar versus super-Dunbar cognitive orientations within a given society. Combined with the Veblen Quotient (VQ)—measuring the intensity of status-signaling in consumption and social behavior—this yields a two-dimensional space within which civilizations can be classified. The resulting taxonomy comprises twelve distinct civilizational types, ranging from low-VQ frontier societies dominated by sub-Dunbar psychology to high-VQ ritual-bureaucratic empires dominated by super-Dunbar psychology, with three additional collapse categories capturing characteristic failure modes. Historical examples are provided for each type, demonstrating that the framework successfully predicts patterns of innovation, stagnation, stability, fragility, and cultural personality across diverse societies without recourse to ethnic, racial, or genetic explanations. The taxonomy provides a unified cognitive-ecological framework for comparative civilizational analysis.</w:t>
      </w:r>
    </w:p>
    <w:p>
      <w:pPr>
        <w:spacing w:before="240" w:after="360"/>
        <w:ind w:left="720" w:right="720"/>
      </w:pPr>
      <w:r>
        <w:rPr>
          <w:b/>
          <w:bCs/>
          <w:sz w:val="22"/>
          <w:szCs w:val="22"/>
        </w:rPr>
        <w:t xml:space="preserve">Keywords: </w:t>
      </w:r>
      <w:r>
        <w:rPr>
          <w:i/>
          <w:iCs/>
          <w:sz w:val="22"/>
          <w:szCs w:val="22"/>
        </w:rPr>
        <w:t xml:space="preserve">civilizational analysis, Dunbar's number, Veblen Quotient, cognitive ecology, comparative history, innovation, bureaucracy, status signaling</w:t>
      </w:r>
    </w:p>
    <w:p>
      <w:pPr>
        <w:pStyle w:val="Heading1"/>
      </w:pPr>
      <w:r>
        <w:t xml:space="preserve">1. Introduction: From Individual Psychology to Civilizational Structure</w:t>
      </w:r>
    </w:p>
    <w:p>
      <w:pPr>
        <w:spacing w:after="200"/>
      </w:pPr>
      <w:r>
        <w:t xml:space="preserve">In two previous papers, I developed a framework linking political orientation and consumption behavior to divergent ancestral survival strategies calibrated to different social group sizes relative to Dunbar's number. Sub-Dunbar psychology, I argued, evolved for small-band environments where direct personal knowledge made status signaling unnecessary; super-Dunbar psychology evolved for larger environments where symbolic display became essential for social navigation. The Veblen Quotient (VQ) captures this divide at the consumption level, measuring the ratio of status-oriented to function-oriented expenditure.</w:t>
      </w:r>
    </w:p>
    <w:p>
      <w:pPr>
        <w:spacing w:after="200"/>
      </w:pPr>
      <w:r>
        <w:t xml:space="preserve">The second paper addressed how sub-Dunbar individuals persist within civilization despite their apparent unsuitability for large-scale coordination. The answer was ecological: sub-Dunbar minds occupy indispensable niches—innovation, frontier expansion, system repair, bullshit detection—that super-Dunbar coordination cannot fill. Civilization requires both cognitive types in symbiotic relationship.</w:t>
      </w:r>
    </w:p>
    <w:p>
      <w:pPr>
        <w:spacing w:after="200"/>
      </w:pPr>
      <w:r>
        <w:t xml:space="preserve">This third paper scales the framework upward, from individual psychology to civilizational structure. The central proposition is bold but defensible: civilizations can be classified by the relative prevalence and cultural dominance of sub-Dunbar versus super-Dunbar cognitive orientations within them. This ratio—which I term the Civilizational Dunbar Index (CDI)—combined with aggregate Veblen Quotient, predicts characteristic patterns of innovation, stability, cultural personality, and collapse risk. The resulting taxonomy provides a unified framework for comparative civilizational analysis that is entirely cognitive-ecological, requiring no recourse to ethnic, racial, or genetic explanations.</w:t>
      </w:r>
    </w:p>
    <w:p>
      <w:pPr>
        <w:pStyle w:val="Heading1"/>
      </w:pPr>
      <w:r>
        <w:t xml:space="preserve">2. The Two Axes of Civilizational Variation</w:t>
      </w:r>
    </w:p>
    <w:p>
      <w:pPr>
        <w:pStyle w:val="Heading2"/>
      </w:pPr>
      <w:r>
        <w:t xml:space="preserve">2.1 Axis One: The Civilizational Dunbar Index</w:t>
      </w:r>
    </w:p>
    <w:p>
      <w:pPr>
        <w:spacing w:after="200"/>
      </w:pPr>
      <w:r>
        <w:t xml:space="preserve">The first axis captures the balance between sub-Dunbar and super-Dunbar cognitive orientations within a civilization's population and, more importantly, within its institutional and cultural structures. A civilization may contain individuals of both types while systematically privileging one over the other in its norms, incentives, and power distributions.</w:t>
      </w:r>
    </w:p>
    <w:p>
      <w:pPr>
        <w:spacing w:after="200"/>
      </w:pPr>
      <w:r>
        <w:t xml:space="preserve">High sub-Dunbar civilizations are characterized by: autonomy as a cultural value, tolerance for iconoclasts and dissenters, decentralized governance, weak bureaucracy, frontier mentality, rapid innovation, frequent internal conflict, and low conformity pressure. These civilizations tend to be noisy, unstable, and creative.</w:t>
      </w:r>
    </w:p>
    <w:p>
      <w:pPr>
        <w:spacing w:after="200"/>
      </w:pPr>
      <w:r>
        <w:t xml:space="preserve">High super-Dunbar civilizations are characterized by: cohesion as a cultural value, intolerance for deviation, centralized governance, strong bureaucracy, metropolitan mentality, slow innovation, internal stability, and high conformity pressure. These civilizations tend to be quiet, stable, and conservative.</w:t>
      </w:r>
    </w:p>
    <w:p>
      <w:pPr>
        <w:spacing w:after="200"/>
      </w:pPr>
      <w:r>
        <w:t xml:space="preserve">Balanced civilizations contain robust representation of both types and, crucially, institutional mechanisms that allow each to contribute without suppressing the other. These tend to be the "golden age" configurations—stable enough for sustained development, flexible enough for continued adaptation.</w:t>
      </w:r>
    </w:p>
    <w:p>
      <w:pPr>
        <w:pStyle w:val="Heading2"/>
      </w:pPr>
      <w:r>
        <w:t xml:space="preserve">2.2 Axis Two: Aggregate Veblen Quotient</w:t>
      </w:r>
    </w:p>
    <w:p>
      <w:pPr>
        <w:spacing w:after="200"/>
      </w:pPr>
      <w:r>
        <w:t xml:space="preserve">The second axis captures the intensity of status-signaling in a civilization's consumption patterns and social behavior. Low-VQ civilizations optimize for function: goods are valued for their use, social behavior is evaluated by outcomes, and prestige expenditure is minimal. High-VQ civilizations optimize for display: goods are valued for their signaling function, social behavior is evaluated by conformity to status norms, and prestige expenditure consumes substantial resources.</w:t>
      </w:r>
    </w:p>
    <w:p>
      <w:pPr>
        <w:spacing w:after="200"/>
      </w:pPr>
      <w:r>
        <w:t xml:space="preserve">VQ is analytically distinct from CDI. A civilization can be high sub-Dunbar with high VQ (warrior aristocracies competing for honor) or high super-Dunbar with low VQ (pragmatic bureaucracies focused on administration). The combination of axes generates the diversity observed in actual civilizations.</w:t>
      </w:r>
    </w:p>
    <w:p>
      <w:pPr>
        <w:pStyle w:val="Heading1"/>
      </w:pPr>
      <w:r>
        <w:t xml:space="preserve">3. The Twelve-Type Taxonomy</w:t>
      </w:r>
    </w:p>
    <w:p>
      <w:pPr>
        <w:spacing w:after="200"/>
      </w:pPr>
      <w:r>
        <w:t xml:space="preserve">Crossing three levels of CDI (high sub-Dunbar, balanced, high super-Dunbar) with three levels of VQ (low, medium, high) yields a nine-cell matrix. Adding three collapse categories—corresponding to characteristic failure modes—yields twelve distinct civilizational types. Each type has a distinctive profile of innovation capacity, stability, cultural personality, and vulnerability.</w:t>
      </w:r>
    </w:p>
    <w:p>
      <w:pPr>
        <w:pStyle w:val="Heading2"/>
      </w:pPr>
      <w:r>
        <w:t xml:space="preserve">3.1 Group A: High Sub-Dunbar Civilizations</w:t>
      </w:r>
    </w:p>
    <w:p>
      <w:pPr>
        <w:spacing w:after="200"/>
      </w:pPr>
      <w:r>
        <w:t xml:space="preserve">These civilizations are dominated by autonomy-oriented, frontier-minded, individualist cognitive profiles. They tend to be innovative, unstable, and anti-bureaucratic.</w:t>
      </w:r>
    </w:p>
    <w:p>
      <w:pPr>
        <w:spacing w:after="200"/>
      </w:pPr>
      <w:r>
        <w:rPr>
          <w:b/>
          <w:bCs/>
        </w:rPr>
        <w:t xml:space="preserve">Type A1: Low-VQ Frontier Civilizations. </w:t>
      </w:r>
      <w:r>
        <w:t xml:space="preserve">Maximal autonomy, minimal signaling, pure function-optimization, high risk-taking, rapid expansion, innovation explosion, deep suspicion of institutions. Historical examples include frontier-era United States (roughly 1780–1890), Norse and Viking societies, and early Australian frontier settlements. These civilizations produce extraordinary innovation and territorial expansion but struggle to maintain internal order or long-term institutional continuity.</w:t>
      </w:r>
    </w:p>
    <w:p>
      <w:pPr>
        <w:spacing w:after="200"/>
      </w:pPr>
      <w:r>
        <w:rPr>
          <w:b/>
          <w:bCs/>
        </w:rPr>
        <w:t xml:space="preserve">Type A2: Medium-VQ Merchant-Frontier Civilizations. </w:t>
      </w:r>
      <w:r>
        <w:t xml:space="preserve">Small-group innovators, merchant and artisan dominance, moderate signaling through guild membership and family prestige, ruthless competition, constant political instability. Historical examples include Renaissance Italian city-states (Florence, Venice, Genoa), Phoenician trading cities, and the early Dutch Republic. These civilizations produce world-changing commercial and artistic innovation but remain chronically unstable and vulnerable to conquest by more coordinated neighbors.</w:t>
      </w:r>
    </w:p>
    <w:p>
      <w:pPr>
        <w:spacing w:after="200"/>
      </w:pPr>
      <w:r>
        <w:rPr>
          <w:b/>
          <w:bCs/>
        </w:rPr>
        <w:t xml:space="preserve">Type A3: High-VQ Heroic-Status Civilizations. </w:t>
      </w:r>
      <w:r>
        <w:t xml:space="preserve">Small-group warrior aristocracies, intense honor-signaling, low bureaucracy, unstable honor-driven violence, innovation concentrated in warfare and martial technology. Historical examples include Homeric Greece, Celtic tribal confederations, and early Indo-European societies. These civilizations produce formidable warriors and epic cultural production but lack the coordination capacity for large-scale state formation.</w:t>
      </w:r>
    </w:p>
    <w:p>
      <w:pPr>
        <w:pStyle w:val="Heading2"/>
      </w:pPr>
      <w:r>
        <w:t xml:space="preserve">3.2 Group B: Balanced Civilizations</w:t>
      </w:r>
    </w:p>
    <w:p>
      <w:pPr>
        <w:spacing w:after="200"/>
      </w:pPr>
      <w:r>
        <w:t xml:space="preserve">These civilizations maintain robust representation of both cognitive types with institutional mechanisms allowing each to contribute. They tend to be both stable and innovative—the "golden age" configuration.</w:t>
      </w:r>
    </w:p>
    <w:p>
      <w:pPr>
        <w:spacing w:after="200"/>
      </w:pPr>
      <w:r>
        <w:rPr>
          <w:b/>
          <w:bCs/>
        </w:rPr>
        <w:t xml:space="preserve">Type B1: Low-VQ Pragmatic-Mixed Civilizations. </w:t>
      </w:r>
      <w:r>
        <w:t xml:space="preserve">Coexistence of autonomy and cohesion, low signaling costs, moderate institutions, high adaptability, strong engineering focus. Historical examples include the early Roman Republic, early Abbasid Baghdad (before bureaucratic ossification), and early Tokugawa Japan. These civilizations achieve remarkable practical accomplishments—infrastructure, military organization, technological adoption—without excessive prestige expenditure.</w:t>
      </w:r>
    </w:p>
    <w:p>
      <w:pPr>
        <w:spacing w:after="200"/>
      </w:pPr>
      <w:r>
        <w:rPr>
          <w:b/>
          <w:bCs/>
        </w:rPr>
        <w:t xml:space="preserve">Type B2: Medium-VQ Stable-Expansion Civilizations. </w:t>
      </w:r>
      <w:r>
        <w:t xml:space="preserve">Medium bureaucracy, medium signaling, innovation tolerated but managed, strong militaries, robust long-term growth. Historical examples include the High Roman Empire (first and second centuries CE), the Inca Empire before Spanish contact, and Middle Kingdom Egypt. These civilizations achieve sustained territorial expansion and internal development through effective balance of innovation and coordination.</w:t>
      </w:r>
    </w:p>
    <w:p>
      <w:pPr>
        <w:spacing w:after="200"/>
      </w:pPr>
      <w:r>
        <w:rPr>
          <w:b/>
          <w:bCs/>
        </w:rPr>
        <w:t xml:space="preserve">Type B3: High-VQ Administrative-Prestige Civilizations. </w:t>
      </w:r>
      <w:r>
        <w:t xml:space="preserve">Bureaucracy with prestige layers, ritualized elites, moderate stability, innovation slowing but not halted, high symbolic culture. Historical examples include Heian Japan, Mughal India, and early Song Dynasty China. These civilizations produce sophisticated aesthetic and administrative achievements but begin showing signs of the ossification that characterizes Group C.</w:t>
      </w:r>
    </w:p>
    <w:p>
      <w:pPr>
        <w:pStyle w:val="Heading2"/>
      </w:pPr>
      <w:r>
        <w:t xml:space="preserve">3.3 Group C: High Super-Dunbar Civilizations</w:t>
      </w:r>
    </w:p>
    <w:p>
      <w:pPr>
        <w:spacing w:after="200"/>
      </w:pPr>
      <w:r>
        <w:t xml:space="preserve">These civilizations are dominated by cohesion-oriented, bureaucratic, conformist cognitive profiles. They tend to be stable, moralizing, and low-innovation.</w:t>
      </w:r>
    </w:p>
    <w:p>
      <w:pPr>
        <w:spacing w:after="200"/>
      </w:pPr>
      <w:r>
        <w:rPr>
          <w:b/>
          <w:bCs/>
        </w:rPr>
        <w:t xml:space="preserve">Type C1: Low-VQ Bureaucratic-Pragmatic Civilizations. </w:t>
      </w:r>
      <w:r>
        <w:t xml:space="preserve">Large-scale organization, low prestige signaling, functional coordination, high institutional trust, low deviance tolerance. Historical examples include modern Nordic social democracies, certain phases of Israeli kibbutz organization, and some medieval city-league systems. These civilizations achieve high equality and social cohesion but produce limited entrepreneurial or iconoclastic output.</w:t>
      </w:r>
    </w:p>
    <w:p>
      <w:pPr>
        <w:spacing w:after="200"/>
      </w:pPr>
      <w:r>
        <w:rPr>
          <w:b/>
          <w:bCs/>
        </w:rPr>
        <w:t xml:space="preserve">Type C2: Medium-VQ Administrative-Priestly Civilizations. </w:t>
      </w:r>
      <w:r>
        <w:t xml:space="preserve">Bureaucracy combined with moral-religious codes, moderate signaling through public ethics and social duty, high stability, moderate-to-low innovation. Historical examples include medieval Catholic Europe, Achaemenid Persia, and the Mauryan Empire. These civilizations achieve long-term stability through ideological cohesion but struggle to adapt to rapid environmental change.</w:t>
      </w:r>
    </w:p>
    <w:p>
      <w:pPr>
        <w:spacing w:after="200"/>
      </w:pPr>
      <w:r>
        <w:rPr>
          <w:b/>
          <w:bCs/>
        </w:rPr>
        <w:t xml:space="preserve">Type C3: High-VQ Ritual-Bureaucratic Civilizations. </w:t>
      </w:r>
      <w:r>
        <w:t xml:space="preserve">Very high signaling, rigid hierarchies, elite reproduction through examination or heredity, strong conformity pressure, highly stable but innovation-poor. Historical examples include late Imperial China (Ming and Qing dynasties), the late Ottoman Empire, and late-period Ancient Egypt. These civilizations achieve extraordinary durability but become increasingly brittle as their inability to innovate leaves them vulnerable to external shocks.</w:t>
      </w:r>
    </w:p>
    <w:p>
      <w:pPr>
        <w:pStyle w:val="Heading2"/>
      </w:pPr>
      <w:r>
        <w:t xml:space="preserve">3.4 Group D: Collapse and Transition Types</w:t>
      </w:r>
    </w:p>
    <w:p>
      <w:pPr>
        <w:spacing w:after="200"/>
      </w:pPr>
      <w:r>
        <w:t xml:space="preserve">These categories capture characteristic failure modes that occur when civilizational parameters become maladaptive.</w:t>
      </w:r>
    </w:p>
    <w:p>
      <w:pPr>
        <w:spacing w:after="200"/>
      </w:pPr>
      <w:r>
        <w:rPr>
          <w:b/>
          <w:bCs/>
        </w:rPr>
        <w:t xml:space="preserve">Type D1: Sub-Dunbar Fragmentation Collapse. </w:t>
      </w:r>
      <w:r>
        <w:t xml:space="preserve">Excessive autonomy, tribal secession, political fragmentation, innovation spikes followed by fracturing, no central stability. Historical examples include Warring States Greece, post-Roman Western Europe (fifth through ninth centuries), and various periods of Chinese fragmentation. The characteristic pattern is brilliant local achievement combined with inability to maintain large-scale coordination.</w:t>
      </w:r>
    </w:p>
    <w:p>
      <w:pPr>
        <w:spacing w:after="200"/>
      </w:pPr>
      <w:r>
        <w:rPr>
          <w:b/>
          <w:bCs/>
        </w:rPr>
        <w:t xml:space="preserve">Type D2: Super-Dunbar Ossification Collapse. </w:t>
      </w:r>
      <w:r>
        <w:t xml:space="preserve">Hyper-conformity, innovation cessation, parasitic elite extraction, bureaucratic suppression of adaptation, collapse triggered by external shocks the system cannot respond to. Historical examples include Qing China's collapse under Western pressure, the late Soviet Union, and late Byzantine sclerosis. The characteristic pattern is long stability followed by sudden, catastrophic failure when challenged by more adaptive rivals.</w:t>
      </w:r>
    </w:p>
    <w:p>
      <w:pPr>
        <w:spacing w:after="200"/>
      </w:pPr>
      <w:r>
        <w:rPr>
          <w:b/>
          <w:bCs/>
        </w:rPr>
        <w:t xml:space="preserve">Type D3: Veblen-Quotient Overload Collapse. </w:t>
      </w:r>
      <w:r>
        <w:t xml:space="preserve">Elite prestige expenditure overwhelms functional capacity, signaling replaces statecraft, resource exhaustion, internal decay preceding external conquest. Historical examples include the late Roman Empire (fourth and fifth centuries), late Tokugawa stagnation, and the French Ancien Régime. The characteristic pattern is visible decadence—elaborate display masking hollowed-out institutional capacity.</w:t>
      </w:r>
    </w:p>
    <w:p>
      <w:pPr>
        <w:pStyle w:val="Heading1"/>
      </w:pPr>
      <w:r>
        <w:t xml:space="preserve">4. Summary Matrix</w:t>
      </w:r>
    </w:p>
    <w:p>
      <w:pPr>
        <w:spacing w:after="200"/>
      </w:pPr>
      <w:r>
        <w:t xml:space="preserve">The twelve types can be displayed in matrix form, with Dunbar Index on the vertical axis and Veblen Quotient on the horizontal axis, plus a fourth row for collapse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
            </w:r>
          </w:p>
        </w:tc>
        <w:tc>
          <w:tcPr>
            <w:tcW w:type="dxa" w:w="24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Low VQ</w:t>
            </w:r>
          </w:p>
        </w:tc>
        <w:tc>
          <w:tcPr>
            <w:tcW w:type="dxa" w:w="24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Medium VQ</w:t>
            </w:r>
          </w:p>
        </w:tc>
        <w:tc>
          <w:tcPr>
            <w:tcW w:type="dxa" w:w="24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High VQ</w:t>
            </w:r>
          </w:p>
        </w:tc>
      </w:tr>
      <w:tr>
        <w:tc>
          <w:tcPr>
            <w:tcW w:type="dxa" w:w="2200"/>
            <w:tcBorders>
              <w:top w:val="single" w:color="000000" w:sz="1"/>
              <w:left w:val="single" w:color="000000" w:sz="1"/>
              <w:bottom w:val="single" w:color="000000" w:sz="1"/>
              <w:right w:val="single" w:color="000000" w:sz="1"/>
            </w:tcBorders>
            <w:shd w:fill="E8F4E8" w:val="clear"/>
          </w:tcPr>
          <w:p>
            <w:r>
              <w:rPr>
                <w:b/>
                <w:bCs/>
                <w:sz w:val="20"/>
                <w:szCs w:val="20"/>
              </w:rPr>
              <w:t xml:space="preserve">High &lt;Dunbar</w:t>
            </w:r>
          </w:p>
        </w:tc>
        <w:tc>
          <w:tcPr>
            <w:tcW w:type="dxa" w:w="2400"/>
            <w:tcBorders>
              <w:top w:val="single" w:color="000000" w:sz="1"/>
              <w:left w:val="single" w:color="000000" w:sz="1"/>
              <w:bottom w:val="single" w:color="000000" w:sz="1"/>
              <w:right w:val="single" w:color="000000" w:sz="1"/>
            </w:tcBorders>
          </w:tcPr>
          <w:p>
            <w:r>
              <w:rPr>
                <w:sz w:val="20"/>
                <w:szCs w:val="20"/>
              </w:rPr>
              <w:t xml:space="preserve">A1: Frontier</w:t>
            </w:r>
          </w:p>
        </w:tc>
        <w:tc>
          <w:tcPr>
            <w:tcW w:type="dxa" w:w="2400"/>
            <w:tcBorders>
              <w:top w:val="single" w:color="000000" w:sz="1"/>
              <w:left w:val="single" w:color="000000" w:sz="1"/>
              <w:bottom w:val="single" w:color="000000" w:sz="1"/>
              <w:right w:val="single" w:color="000000" w:sz="1"/>
            </w:tcBorders>
          </w:tcPr>
          <w:p>
            <w:r>
              <w:rPr>
                <w:sz w:val="20"/>
                <w:szCs w:val="20"/>
              </w:rPr>
              <w:t xml:space="preserve">A2: Merchant</w:t>
            </w:r>
          </w:p>
        </w:tc>
        <w:tc>
          <w:tcPr>
            <w:tcW w:type="dxa" w:w="2400"/>
            <w:tcBorders>
              <w:top w:val="single" w:color="000000" w:sz="1"/>
              <w:left w:val="single" w:color="000000" w:sz="1"/>
              <w:bottom w:val="single" w:color="000000" w:sz="1"/>
              <w:right w:val="single" w:color="000000" w:sz="1"/>
            </w:tcBorders>
          </w:tcPr>
          <w:p>
            <w:r>
              <w:rPr>
                <w:sz w:val="20"/>
                <w:szCs w:val="20"/>
              </w:rPr>
              <w:t xml:space="preserve">A3: Heroic</w:t>
            </w:r>
          </w:p>
        </w:tc>
      </w:tr>
      <w:tr>
        <w:tc>
          <w:tcPr>
            <w:tcW w:type="dxa" w:w="2200"/>
            <w:tcBorders>
              <w:top w:val="single" w:color="000000" w:sz="1"/>
              <w:left w:val="single" w:color="000000" w:sz="1"/>
              <w:bottom w:val="single" w:color="000000" w:sz="1"/>
              <w:right w:val="single" w:color="000000" w:sz="1"/>
            </w:tcBorders>
            <w:shd w:fill="FFF8E8" w:val="clear"/>
          </w:tcPr>
          <w:p>
            <w:r>
              <w:rPr>
                <w:b/>
                <w:bCs/>
                <w:sz w:val="20"/>
                <w:szCs w:val="20"/>
              </w:rPr>
              <w:t xml:space="preserve">Balanced</w:t>
            </w:r>
          </w:p>
        </w:tc>
        <w:tc>
          <w:tcPr>
            <w:tcW w:type="dxa" w:w="2400"/>
            <w:tcBorders>
              <w:top w:val="single" w:color="000000" w:sz="1"/>
              <w:left w:val="single" w:color="000000" w:sz="1"/>
              <w:bottom w:val="single" w:color="000000" w:sz="1"/>
              <w:right w:val="single" w:color="000000" w:sz="1"/>
            </w:tcBorders>
          </w:tcPr>
          <w:p>
            <w:r>
              <w:rPr>
                <w:sz w:val="20"/>
                <w:szCs w:val="20"/>
              </w:rPr>
              <w:t xml:space="preserve">B1: Pragmatic</w:t>
            </w:r>
          </w:p>
        </w:tc>
        <w:tc>
          <w:tcPr>
            <w:tcW w:type="dxa" w:w="2400"/>
            <w:tcBorders>
              <w:top w:val="single" w:color="000000" w:sz="1"/>
              <w:left w:val="single" w:color="000000" w:sz="1"/>
              <w:bottom w:val="single" w:color="000000" w:sz="1"/>
              <w:right w:val="single" w:color="000000" w:sz="1"/>
            </w:tcBorders>
          </w:tcPr>
          <w:p>
            <w:r>
              <w:rPr>
                <w:sz w:val="20"/>
                <w:szCs w:val="20"/>
              </w:rPr>
              <w:t xml:space="preserve">B2: Expansion</w:t>
            </w:r>
          </w:p>
        </w:tc>
        <w:tc>
          <w:tcPr>
            <w:tcW w:type="dxa" w:w="2400"/>
            <w:tcBorders>
              <w:top w:val="single" w:color="000000" w:sz="1"/>
              <w:left w:val="single" w:color="000000" w:sz="1"/>
              <w:bottom w:val="single" w:color="000000" w:sz="1"/>
              <w:right w:val="single" w:color="000000" w:sz="1"/>
            </w:tcBorders>
          </w:tcPr>
          <w:p>
            <w:r>
              <w:rPr>
                <w:sz w:val="20"/>
                <w:szCs w:val="20"/>
              </w:rPr>
              <w:t xml:space="preserve">B3: Prestige-Admin</w:t>
            </w:r>
          </w:p>
        </w:tc>
      </w:tr>
      <w:tr>
        <w:tc>
          <w:tcPr>
            <w:tcW w:type="dxa" w:w="2200"/>
            <w:tcBorders>
              <w:top w:val="single" w:color="000000" w:sz="1"/>
              <w:left w:val="single" w:color="000000" w:sz="1"/>
              <w:bottom w:val="single" w:color="000000" w:sz="1"/>
              <w:right w:val="single" w:color="000000" w:sz="1"/>
            </w:tcBorders>
            <w:shd w:fill="E8E8F4" w:val="clear"/>
          </w:tcPr>
          <w:p>
            <w:r>
              <w:rPr>
                <w:b/>
                <w:bCs/>
                <w:sz w:val="20"/>
                <w:szCs w:val="20"/>
              </w:rPr>
              <w:t xml:space="preserve">High &gt;Dunbar</w:t>
            </w:r>
          </w:p>
        </w:tc>
        <w:tc>
          <w:tcPr>
            <w:tcW w:type="dxa" w:w="2400"/>
            <w:tcBorders>
              <w:top w:val="single" w:color="000000" w:sz="1"/>
              <w:left w:val="single" w:color="000000" w:sz="1"/>
              <w:bottom w:val="single" w:color="000000" w:sz="1"/>
              <w:right w:val="single" w:color="000000" w:sz="1"/>
            </w:tcBorders>
          </w:tcPr>
          <w:p>
            <w:r>
              <w:rPr>
                <w:sz w:val="20"/>
                <w:szCs w:val="20"/>
              </w:rPr>
              <w:t xml:space="preserve">C1: Bureaucratic</w:t>
            </w:r>
          </w:p>
        </w:tc>
        <w:tc>
          <w:tcPr>
            <w:tcW w:type="dxa" w:w="2400"/>
            <w:tcBorders>
              <w:top w:val="single" w:color="000000" w:sz="1"/>
              <w:left w:val="single" w:color="000000" w:sz="1"/>
              <w:bottom w:val="single" w:color="000000" w:sz="1"/>
              <w:right w:val="single" w:color="000000" w:sz="1"/>
            </w:tcBorders>
          </w:tcPr>
          <w:p>
            <w:r>
              <w:rPr>
                <w:sz w:val="20"/>
                <w:szCs w:val="20"/>
              </w:rPr>
              <w:t xml:space="preserve">C2: Priestly-Admin</w:t>
            </w:r>
          </w:p>
        </w:tc>
        <w:tc>
          <w:tcPr>
            <w:tcW w:type="dxa" w:w="2400"/>
            <w:tcBorders>
              <w:top w:val="single" w:color="000000" w:sz="1"/>
              <w:left w:val="single" w:color="000000" w:sz="1"/>
              <w:bottom w:val="single" w:color="000000" w:sz="1"/>
              <w:right w:val="single" w:color="000000" w:sz="1"/>
            </w:tcBorders>
          </w:tcPr>
          <w:p>
            <w:r>
              <w:rPr>
                <w:sz w:val="20"/>
                <w:szCs w:val="20"/>
              </w:rPr>
              <w:t xml:space="preserve">C3: Ritual-Bureau</w:t>
            </w:r>
          </w:p>
        </w:tc>
      </w:tr>
      <w:tr>
        <w:tc>
          <w:tcPr>
            <w:tcW w:type="dxa" w:w="2200"/>
            <w:tcBorders>
              <w:top w:val="single" w:color="000000" w:sz="1"/>
              <w:left w:val="single" w:color="000000" w:sz="1"/>
              <w:bottom w:val="single" w:color="000000" w:sz="1"/>
              <w:right w:val="single" w:color="000000" w:sz="1"/>
            </w:tcBorders>
            <w:shd w:fill="F4E8E8" w:val="clear"/>
          </w:tcPr>
          <w:p>
            <w:r>
              <w:rPr>
                <w:b/>
                <w:bCs/>
                <w:sz w:val="20"/>
                <w:szCs w:val="20"/>
              </w:rPr>
              <w:t xml:space="preserve">Collapse</w:t>
            </w:r>
          </w:p>
        </w:tc>
        <w:tc>
          <w:tcPr>
            <w:tcW w:type="dxa" w:w="2400"/>
            <w:tcBorders>
              <w:top w:val="single" w:color="000000" w:sz="1"/>
              <w:left w:val="single" w:color="000000" w:sz="1"/>
              <w:bottom w:val="single" w:color="000000" w:sz="1"/>
              <w:right w:val="single" w:color="000000" w:sz="1"/>
            </w:tcBorders>
          </w:tcPr>
          <w:p>
            <w:r>
              <w:rPr>
                <w:sz w:val="20"/>
                <w:szCs w:val="20"/>
              </w:rPr>
              <w:t xml:space="preserve">D1: Fragmentation</w:t>
            </w:r>
          </w:p>
        </w:tc>
        <w:tc>
          <w:tcPr>
            <w:tcW w:type="dxa" w:w="2400"/>
            <w:tcBorders>
              <w:top w:val="single" w:color="000000" w:sz="1"/>
              <w:left w:val="single" w:color="000000" w:sz="1"/>
              <w:bottom w:val="single" w:color="000000" w:sz="1"/>
              <w:right w:val="single" w:color="000000" w:sz="1"/>
            </w:tcBorders>
          </w:tcPr>
          <w:p>
            <w:r>
              <w:rPr>
                <w:sz w:val="20"/>
                <w:szCs w:val="20"/>
              </w:rPr>
              <w:t xml:space="preserve">D2: Ossification</w:t>
            </w:r>
          </w:p>
        </w:tc>
        <w:tc>
          <w:tcPr>
            <w:tcW w:type="dxa" w:w="2400"/>
            <w:tcBorders>
              <w:top w:val="single" w:color="000000" w:sz="1"/>
              <w:left w:val="single" w:color="000000" w:sz="1"/>
              <w:bottom w:val="single" w:color="000000" w:sz="1"/>
              <w:right w:val="single" w:color="000000" w:sz="1"/>
            </w:tcBorders>
          </w:tcPr>
          <w:p>
            <w:r>
              <w:rPr>
                <w:sz w:val="20"/>
                <w:szCs w:val="20"/>
              </w:rPr>
              <w:t xml:space="preserve">D3: VQ Overload</w:t>
            </w:r>
          </w:p>
        </w:tc>
      </w:tr>
    </w:tbl>
    <w:p>
      <w:pPr>
        <w:pStyle w:val="Heading1"/>
      </w:pPr>
      <w:r>
        <w:t xml:space="preserve">5. Predictive Patterns</w:t>
      </w:r>
    </w:p>
    <w:p>
      <w:pPr>
        <w:spacing w:after="200"/>
      </w:pPr>
      <w:r>
        <w:t xml:space="preserve">The taxonomy yields robust predictive generalizations about civilizational behavior:</w:t>
      </w:r>
    </w:p>
    <w:p>
      <w:pPr>
        <w:spacing w:after="200"/>
      </w:pPr>
      <w:r>
        <w:rPr>
          <w:b/>
          <w:bCs/>
        </w:rPr>
        <w:t xml:space="preserve">Innovation. </w:t>
      </w:r>
      <w:r>
        <w:t xml:space="preserve">Innovation capacity correlates inversely with super-Dunbar dominance and, to a lesser extent, with VQ. High sub-Dunbar civilizations (Group A) produce the most innovation per capita; high super-Dunbar civilizations (Group C) produce the least. Balanced civilizations (Group B) achieve sustainable innovation—less explosive than Group A but more durable.</w:t>
      </w:r>
    </w:p>
    <w:p>
      <w:pPr>
        <w:spacing w:after="200"/>
      </w:pPr>
      <w:r>
        <w:rPr>
          <w:b/>
          <w:bCs/>
        </w:rPr>
        <w:t xml:space="preserve">Stability. </w:t>
      </w:r>
      <w:r>
        <w:t xml:space="preserve">Stability correlates positively with super-Dunbar dominance up to a threshold, beyond which it becomes brittleness. Group C civilizations are the most stable in the short-to-medium term but the most vulnerable to catastrophic failure when external conditions change. Group A civilizations are chronically unstable but highly resilient to shocks.</w:t>
      </w:r>
    </w:p>
    <w:p>
      <w:pPr>
        <w:spacing w:after="200"/>
      </w:pPr>
      <w:r>
        <w:rPr>
          <w:b/>
          <w:bCs/>
        </w:rPr>
        <w:t xml:space="preserve">Cultural personality. </w:t>
      </w:r>
      <w:r>
        <w:t xml:space="preserve">High sub-Dunbar civilizations tend toward individualism, skepticism, and irreverence. High super-Dunbar civilizations tend toward collectivism, piety, and deference. High VQ adds elaboration and aesthetic complexity to either pattern; low VQ produces austerity and functionalism.</w:t>
      </w:r>
    </w:p>
    <w:p>
      <w:pPr>
        <w:spacing w:after="200"/>
      </w:pPr>
      <w:r>
        <w:rPr>
          <w:b/>
          <w:bCs/>
        </w:rPr>
        <w:t xml:space="preserve">Collapse risk. </w:t>
      </w:r>
      <w:r>
        <w:t xml:space="preserve">Each region of the matrix has characteristic failure modes. Group A risks fragmentation (D1). Group C risks ossification (D2). High VQ across all groups risks prestige overload (D3). Balanced civilizations (Group B) have the lowest collapse risk but can drift toward any of the three failure modes if balance is lost.</w:t>
      </w:r>
    </w:p>
    <w:p>
      <w:pPr>
        <w:pStyle w:val="Heading1"/>
      </w:pPr>
      <w:r>
        <w:t xml:space="preserve">6. Historical Trajectories</w:t>
      </w:r>
    </w:p>
    <w:p>
      <w:pPr>
        <w:spacing w:after="200"/>
      </w:pPr>
      <w:r>
        <w:t xml:space="preserve">Civilizations do not remain static within the taxonomy; they move through it over time. Several characteristic trajectories can be identified:</w:t>
      </w:r>
    </w:p>
    <w:p>
      <w:pPr>
        <w:spacing w:after="200"/>
      </w:pPr>
      <w:r>
        <w:rPr>
          <w:b/>
          <w:bCs/>
        </w:rPr>
        <w:t xml:space="preserve">The founding-to-ossification arc. </w:t>
      </w:r>
      <w:r>
        <w:t xml:space="preserve">Many civilizations begin in Group A or B1, achieve golden-age status in B2 or B3, and decline through Group C toward D2 collapse. Rome exemplifies this trajectory: from A1/B1 (early Republic) through B2 (High Empire) to C3/D3 (late Empire). Imperial China shows a similar pattern across multiple dynastic cycles.</w:t>
      </w:r>
    </w:p>
    <w:p>
      <w:pPr>
        <w:spacing w:after="200"/>
      </w:pPr>
      <w:r>
        <w:rPr>
          <w:b/>
          <w:bCs/>
        </w:rPr>
        <w:t xml:space="preserve">The fragmentation-and-renewal cycle. </w:t>
      </w:r>
      <w:r>
        <w:t xml:space="preserve">Some civilizations oscillate between Group A and D1, never achieving stable coordination but periodically producing innovation bursts. Ancient Greece exemplifies this pattern: brilliant city-state achievements punctuated by fragmentation and internecine warfare, never consolidated into durable empire (except briefly under Macedonian conquest).</w:t>
      </w:r>
    </w:p>
    <w:p>
      <w:pPr>
        <w:spacing w:after="200"/>
      </w:pPr>
      <w:r>
        <w:rPr>
          <w:b/>
          <w:bCs/>
        </w:rPr>
        <w:t xml:space="preserve">The stable plateau. </w:t>
      </w:r>
      <w:r>
        <w:t xml:space="preserve">Some civilizations achieve Group C stability and maintain it for centuries without either innovation or collapse. Late Imperial China (Ming/Qing), late Byzantium, and the Ottoman Empire exemplify this pattern: enormous durability purchased at the cost of adaptability, ending only when external shocks overwhelm the system's response capacity.</w:t>
      </w:r>
    </w:p>
    <w:p>
      <w:pPr>
        <w:pStyle w:val="Heading1"/>
      </w:pPr>
      <w:r>
        <w:t xml:space="preserve">7. Applications and Extensions</w:t>
      </w:r>
    </w:p>
    <w:p>
      <w:pPr>
        <w:spacing w:after="200"/>
      </w:pPr>
      <w:r>
        <w:t xml:space="preserve">The Civilizational Dunbar Index has several potential applications beyond historical taxonomy:</w:t>
      </w:r>
    </w:p>
    <w:p>
      <w:pPr>
        <w:spacing w:after="200"/>
      </w:pPr>
      <w:r>
        <w:rPr>
          <w:b/>
          <w:bCs/>
        </w:rPr>
        <w:t xml:space="preserve">Contemporary diagnosis. </w:t>
      </w:r>
      <w:r>
        <w:t xml:space="preserve">Modern societies can be located within the matrix and their trajectories assessed. Contemporary America, for instance, appears to be experiencing geographic sorting between A1/A2 zones (rural/exurban, low-VQ, sub-Dunbar) and C2/C3 zones (urban, high-VQ, super-Dunbar), with unclear implications for national coherence.</w:t>
      </w:r>
    </w:p>
    <w:p>
      <w:pPr>
        <w:spacing w:after="200"/>
      </w:pPr>
      <w:r>
        <w:rPr>
          <w:b/>
          <w:bCs/>
        </w:rPr>
        <w:t xml:space="preserve">Policy evaluation. </w:t>
      </w:r>
      <w:r>
        <w:t xml:space="preserve">Policies can be assessed for their effects on CDI and VQ. Policies that suppress sub-Dunbar niches (excessive regulation, conformity enforcement, prestige credentialism) push civilizations toward Group C and increase D2 risk. Policies that undermine coordination capacity push toward Group A and increase D1 risk.</w:t>
      </w:r>
    </w:p>
    <w:p>
      <w:pPr>
        <w:spacing w:after="200"/>
      </w:pPr>
      <w:r>
        <w:rPr>
          <w:b/>
          <w:bCs/>
        </w:rPr>
        <w:t xml:space="preserve">Institutional design. </w:t>
      </w:r>
      <w:r>
        <w:t xml:space="preserve">Organizations can be analyzed using the same framework. Corporations, universities, and government agencies have their own internal CDI and VQ profiles. Institutional health may depend on maintaining appropriate balance for the organization's function—higher sub-Dunbar tolerance for R&amp;D divisions, higher super-Dunbar coordination for operations.</w:t>
      </w:r>
    </w:p>
    <w:p>
      <w:pPr>
        <w:pStyle w:val="Heading1"/>
      </w:pPr>
      <w:r>
        <w:t xml:space="preserve">8. Conclusion: Cognitive Ecology as Civilizational Science</w:t>
      </w:r>
    </w:p>
    <w:p>
      <w:pPr>
        <w:spacing w:after="200"/>
      </w:pPr>
      <w:r>
        <w:t xml:space="preserve">The Civilizational Dunbar Index provides a unified framework for analyzing the diversity of human societies without recourse to ethnic, racial, or genetic explanations. The framework is entirely cognitive-ecological: it identifies universal psychological orientations present in all human populations and asks how their relative prevalence and cultural dominance shape civilizational outcomes.</w:t>
      </w:r>
    </w:p>
    <w:p>
      <w:pPr>
        <w:spacing w:after="200"/>
      </w:pPr>
      <w:r>
        <w:t xml:space="preserve">The twelve-type taxonomy successfully captures the range of historical civilizations and predicts their characteristic patterns of innovation, stability, cultural personality, and collapse risk. High sub-Dunbar civilizations are creative but chaotic; high super-Dunbar civilizations are stable but brittle; balanced civilizations achieve the golden-age combination of innovation and durability; and each configuration has its characteristic failure mode.</w:t>
      </w:r>
    </w:p>
    <w:p>
      <w:pPr>
        <w:spacing w:after="200"/>
      </w:pPr>
      <w:r>
        <w:t xml:space="preserve">The framework suggests that civilizational health depends not on the dominance of either cognitive type but on their productive symbiosis. Pioneers generate novelty; coordinators provide stability; the interaction produces sustainable flourishing. When either type suppresses the other, characteristic pathologies emerge—fragmentation without coordination, ossification without innovation. The healthiest civilizations are those that maintain ecological balance between incompatible but mutually necessary cognitive architectures.</w:t>
      </w:r>
    </w:p>
    <w:p>
      <w:pPr>
        <w:spacing w:after="200"/>
      </w:pPr>
      <w:r>
        <w:t xml:space="preserve">This is, in the end, the central insight of the Dunbar-Veblen framework extended to its largest scale: human diversity is not a problem to be solved but a resource to be managed. The cognitive ecology of civilization is not a competition between superior and inferior types but a collaboration between different types, each providing what the other cannot. Understanding this may be the first step toward building civilizations that endure.</w:t>
      </w:r>
    </w:p>
    <w:p>
      <w:pPr>
        <w:pStyle w:val="Heading1"/>
      </w:pPr>
      <w:r>
        <w:t xml:space="preserve">References</w:t>
      </w:r>
    </w:p>
    <w:p>
      <w:pPr>
        <w:spacing w:after="120"/>
        <w:ind w:left="720" w:hanging="720"/>
      </w:pPr>
      <w:r>
        <w:t xml:space="preserve">Diamond, J. (1997). </w:t>
      </w:r>
      <w:r>
        <w:rPr>
          <w:i/>
          <w:iCs/>
        </w:rPr>
        <w:t xml:space="preserve">Guns, Germs, and Steel: The Fates of Human Societies</w:t>
      </w:r>
      <w:r>
        <w:t xml:space="preserve">. W. W. Norton.</w:t>
      </w:r>
    </w:p>
    <w:p>
      <w:pPr>
        <w:spacing w:after="120"/>
        <w:ind w:left="720" w:hanging="720"/>
      </w:pPr>
      <w:r>
        <w:t xml:space="preserve">Dunbar, R. I. M. (1992). Neocortex size as a constraint on group size in primates. </w:t>
      </w:r>
      <w:r>
        <w:rPr>
          <w:i/>
          <w:iCs/>
        </w:rPr>
        <w:t xml:space="preserve">Journal of Human Evolution, 22</w:t>
      </w:r>
      <w:r>
        <w:t xml:space="preserve">(6), 469–493.</w:t>
      </w:r>
    </w:p>
    <w:p>
      <w:pPr>
        <w:spacing w:after="120"/>
        <w:ind w:left="720" w:hanging="720"/>
      </w:pPr>
      <w:r>
        <w:t xml:space="preserve">Dunbar, R. I. M. (2010). </w:t>
      </w:r>
      <w:r>
        <w:rPr>
          <w:i/>
          <w:iCs/>
        </w:rPr>
        <w:t xml:space="preserve">How Many Friends Does One Person Need? Dunbar's Number and Other Evolutionary Quirks</w:t>
      </w:r>
      <w:r>
        <w:t xml:space="preserve">. Harvard University Press.</w:t>
      </w:r>
    </w:p>
    <w:p>
      <w:pPr>
        <w:spacing w:after="120"/>
        <w:ind w:left="720" w:hanging="720"/>
      </w:pPr>
      <w:r>
        <w:t xml:space="preserve">Fukuyama, F. (2011). </w:t>
      </w:r>
      <w:r>
        <w:rPr>
          <w:i/>
          <w:iCs/>
        </w:rPr>
        <w:t xml:space="preserve">The Origins of Political Order: From Prehuman Times to the French Revolution</w:t>
      </w:r>
      <w:r>
        <w:t xml:space="preserve">. Farrar, Straus and Giroux.</w:t>
      </w:r>
    </w:p>
    <w:p>
      <w:pPr>
        <w:spacing w:after="120"/>
        <w:ind w:left="720" w:hanging="720"/>
      </w:pPr>
      <w:r>
        <w:t xml:space="preserve">Henrich, J. (2016). </w:t>
      </w:r>
      <w:r>
        <w:rPr>
          <w:i/>
          <w:iCs/>
        </w:rPr>
        <w:t xml:space="preserve">The Secret of Our Success: How Culture Is Driving Human Evolution, Domesticating Our Species, and Making Us Smarter</w:t>
      </w:r>
      <w:r>
        <w:t xml:space="preserve">. Princeton University Press.</w:t>
      </w:r>
    </w:p>
    <w:p>
      <w:pPr>
        <w:spacing w:after="120"/>
        <w:ind w:left="720" w:hanging="720"/>
      </w:pPr>
      <w:r>
        <w:t xml:space="preserve">Kuczynski, J.-M. (2025a). The Dunbar-Veblen hypothesis: Ancestral group size and the evolution of political consumption. </w:t>
      </w:r>
      <w:r>
        <w:rPr>
          <w:i/>
          <w:iCs/>
        </w:rPr>
        <w:t xml:space="preserve">Zhi Systems Working Papers</w:t>
      </w:r>
      <w:r>
        <w:t xml:space="preserve">.</w:t>
      </w:r>
    </w:p>
    <w:p>
      <w:pPr>
        <w:spacing w:after="120"/>
        <w:ind w:left="720" w:hanging="720"/>
      </w:pPr>
      <w:r>
        <w:t xml:space="preserve">Kuczynski, J.-M. (2025b). The cognitive ecology of civilization: How sub-Dunbar minds persist in super-Dunbar worlds. </w:t>
      </w:r>
      <w:r>
        <w:rPr>
          <w:i/>
          <w:iCs/>
        </w:rPr>
        <w:t xml:space="preserve">Zhi Systems Working Papers</w:t>
      </w:r>
      <w:r>
        <w:t xml:space="preserve">.</w:t>
      </w:r>
    </w:p>
    <w:p>
      <w:pPr>
        <w:spacing w:after="120"/>
        <w:ind w:left="720" w:hanging="720"/>
      </w:pPr>
      <w:r>
        <w:t xml:space="preserve">Morris, I. (2010). </w:t>
      </w:r>
      <w:r>
        <w:rPr>
          <w:i/>
          <w:iCs/>
        </w:rPr>
        <w:t xml:space="preserve">Why the West Rules—For Now: The Patterns of History, and What They Reveal About the Future</w:t>
      </w:r>
      <w:r>
        <w:t xml:space="preserve">. Farrar, Straus and Giroux.</w:t>
      </w:r>
    </w:p>
    <w:p>
      <w:pPr>
        <w:spacing w:after="120"/>
        <w:ind w:left="720" w:hanging="720"/>
      </w:pPr>
      <w:r>
        <w:t xml:space="preserve">Turchin, P. (2006). </w:t>
      </w:r>
      <w:r>
        <w:rPr>
          <w:i/>
          <w:iCs/>
        </w:rPr>
        <w:t xml:space="preserve">War and Peace and War: The Rise and Fall of Empires</w:t>
      </w:r>
      <w:r>
        <w:t xml:space="preserve">. Plume.</w:t>
      </w:r>
    </w:p>
    <w:p>
      <w:pPr>
        <w:spacing w:after="120"/>
        <w:ind w:left="720" w:hanging="720"/>
      </w:pPr>
      <w:r>
        <w:t xml:space="preserve">Veblen, T. (1899). </w:t>
      </w:r>
      <w:r>
        <w:rPr>
          <w:i/>
          <w:iCs/>
        </w:rPr>
        <w:t xml:space="preserve">The Theory of the Leisure Class: An Economic Study of Institutions</w:t>
      </w:r>
      <w:r>
        <w:t xml:space="preserve">. Macmillan.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2025-11-27T09:16:06.744Z</dcterms:created>
  <dcterms:modified xsi:type="dcterms:W3CDTF">2025-11-27T09:16:06.745Z</dcterms:modified>
</cp:coreProperties>
</file>

<file path=docProps/custom.xml><?xml version="1.0" encoding="utf-8"?>
<Properties xmlns="http://schemas.openxmlformats.org/officeDocument/2006/custom-properties" xmlns:vt="http://schemas.openxmlformats.org/officeDocument/2006/docPropsVTypes"/>
</file>