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00AE" w14:textId="77777777" w:rsidR="001F00CB" w:rsidRDefault="008B312F">
      <w:pPr>
        <w:pStyle w:val="Heading1"/>
        <w:jc w:val="center"/>
      </w:pPr>
      <w:r>
        <w:t>Cognitive Colonization: Why the Composition Fallacy Defense Fails</w:t>
      </w:r>
    </w:p>
    <w:p w14:paraId="2CAB00AF" w14:textId="77777777" w:rsidR="001F00CB" w:rsidRDefault="008B312F">
      <w:pPr>
        <w:spacing w:after="400"/>
        <w:jc w:val="center"/>
      </w:pPr>
      <w:r>
        <w:rPr>
          <w:i/>
          <w:iCs/>
        </w:rPr>
        <w:t>J.-M. Kuczynski</w:t>
      </w:r>
    </w:p>
    <w:p w14:paraId="2CAB00B0" w14:textId="77777777" w:rsidR="001F00CB" w:rsidRDefault="008B312F">
      <w:pPr>
        <w:pStyle w:val="Heading2"/>
      </w:pPr>
      <w:r>
        <w:t>Abstract</w:t>
      </w:r>
    </w:p>
    <w:p w14:paraId="2CAB00B1" w14:textId="77777777" w:rsidR="001F00CB" w:rsidRDefault="008B312F">
      <w:pPr>
        <w:spacing w:after="200"/>
      </w:pPr>
      <w:r>
        <w:t>A natural objection to system-level critiques of academic philosophy is the composition fallacy: the system may be pathological, but that does not entail that the individuals composing it share the pathology. This paper argues that the defense fails empirically. The individuals have so thoroughly internalized the system's bureaucratic norms that each person functions as a scale model of the whole. Evidence includes the tenure test (post-tenure behavior does not diverge from pre-tenure behavior), the popular</w:t>
      </w:r>
      <w:r>
        <w:t>ization test (unconstrained output reproduces the template), and the complete absence of operationalization (twenty thousand people, zero applications). The conclusion is not institutional capture but cognitive colonization: the evaluative faculty itself has been overwritten.</w:t>
      </w:r>
    </w:p>
    <w:p w14:paraId="2CAB00B2" w14:textId="77777777" w:rsidR="001F00CB" w:rsidRDefault="008B312F">
      <w:pPr>
        <w:pStyle w:val="Heading2"/>
      </w:pPr>
      <w:r>
        <w:t>1. The Composition Fallacy Defense</w:t>
      </w:r>
    </w:p>
    <w:p w14:paraId="2CAB00B3" w14:textId="77777777" w:rsidR="001F00CB" w:rsidRDefault="008B312F">
      <w:pPr>
        <w:spacing w:after="200"/>
      </w:pPr>
      <w:r>
        <w:t>The composition fallacy consists in inferring that a whole has a property because its parts have that property, or vice versa. Applied to academic philosophy, the defense would go: the system has pathological dynamics, but individuals within it retain independent judgment—they are merely constrained by external forces. If the constraints were lifted, the individuals would behave differently.</w:t>
      </w:r>
    </w:p>
    <w:p w14:paraId="2CAB00B4" w14:textId="77777777" w:rsidR="001F00CB" w:rsidRDefault="008B312F">
      <w:pPr>
        <w:spacing w:after="200"/>
      </w:pPr>
      <w:r>
        <w:t>This defense predicts observable variance when constraints are relaxed. If the pathology is purely structural (external), removing the structure should reveal latent independence. The prediction fails. When constraints are lifted, behavior does not change. The individuals replicate the system with astonishing fidelity regardless of external pressure.</w:t>
      </w:r>
    </w:p>
    <w:p w14:paraId="2CAB00B5" w14:textId="77777777" w:rsidR="001F00CB" w:rsidRDefault="008B312F">
      <w:pPr>
        <w:pStyle w:val="Heading2"/>
      </w:pPr>
      <w:r>
        <w:t>2. The Tenure Test</w:t>
      </w:r>
    </w:p>
    <w:p w14:paraId="2CAB00B6" w14:textId="77777777" w:rsidR="001F00CB" w:rsidRDefault="008B312F">
      <w:pPr>
        <w:spacing w:after="200"/>
      </w:pPr>
      <w:r>
        <w:t xml:space="preserve">Tenure is </w:t>
      </w:r>
      <w:proofErr w:type="gramStart"/>
      <w:r>
        <w:t>the</w:t>
      </w:r>
      <w:proofErr w:type="gramEnd"/>
      <w:r>
        <w:t xml:space="preserve"> natural experiment. Before tenure, philosophers face genuine career risk: deviance can result in termination. After tenure, the external constraint is removed. If the pathology were structural, post-tenure behavior would diverge from pre-tenure behavior. Senior philosophers would take risks, pursue heterodox projects, champion outsiders, build things.</w:t>
      </w:r>
    </w:p>
    <w:p w14:paraId="2CAB00B7" w14:textId="77777777" w:rsidR="001F00CB" w:rsidRDefault="008B312F">
      <w:pPr>
        <w:spacing w:after="200"/>
      </w:pPr>
      <w:r>
        <w:t>They do not. Post-tenure philosophers do exactly what pre-tenure philosophers do: publish in the same journals, attend the same conferences, evaluate work by the same criteria, reproduce the same template. The constraint was never external. It is internal. The formatting runs deeper than incentive.</w:t>
      </w:r>
    </w:p>
    <w:p w14:paraId="2CAB00B8" w14:textId="77777777" w:rsidR="001F00CB" w:rsidRDefault="008B312F">
      <w:pPr>
        <w:spacing w:after="200"/>
      </w:pPr>
      <w:r>
        <w:lastRenderedPageBreak/>
        <w:t>This result is diagnostic. A system that constrains behavior through external pressure will show release effects when pressure is removed. A system that has colonized the cognitive apparatus of its members will show no such effects. The absence of post-tenure divergence proves that the pathology is not structural but psychological.</w:t>
      </w:r>
    </w:p>
    <w:p w14:paraId="2CAB00B9" w14:textId="77777777" w:rsidR="001F00CB" w:rsidRDefault="008B312F">
      <w:pPr>
        <w:pStyle w:val="Heading2"/>
      </w:pPr>
      <w:r>
        <w:t>3. The Popularization Test</w:t>
      </w:r>
    </w:p>
    <w:p w14:paraId="2CAB00BA" w14:textId="77777777" w:rsidR="001F00CB" w:rsidRDefault="008B312F">
      <w:pPr>
        <w:spacing w:after="200"/>
      </w:pPr>
      <w:r>
        <w:t>When a philosopher writes a popularization, they are nominally free of journal-pipeline constraints. They can write for a general audience in any format they choose. The formal requirements of academic publication do not apply. They could do anything.</w:t>
      </w:r>
    </w:p>
    <w:p w14:paraId="2CAB00BB" w14:textId="77777777" w:rsidR="001F00CB" w:rsidRDefault="008B312F">
      <w:pPr>
        <w:spacing w:after="200"/>
      </w:pPr>
      <w:r>
        <w:t xml:space="preserve">What do they do? Simon Blackburn writes Think and Lust—competent but utterly conventional introductions that reproduce the standard curriculum. Tarski’s World, a pedagogical logic tool from the 1990s, was technically broken and conceptually stale. Not one philosopher used the freedom of popular writing to </w:t>
      </w:r>
      <w:proofErr w:type="gramStart"/>
      <w:r>
        <w:t>actually rethink</w:t>
      </w:r>
      <w:proofErr w:type="gramEnd"/>
      <w:r>
        <w:t xml:space="preserve"> the material, to approach it from a fresh angle, to do something that could not have been done within the academic format.</w:t>
      </w:r>
    </w:p>
    <w:p w14:paraId="2CAB00BC" w14:textId="77777777" w:rsidR="001F00CB" w:rsidRDefault="008B312F">
      <w:pPr>
        <w:spacing w:after="200"/>
      </w:pPr>
      <w:r>
        <w:t>The degrees of freedom are formally present but psychologically inaccessible. The philosophers do not experience themselves as constrained because the constraint is not external. The template is installed at the cognitive level. Even when permitted to deviate, they cannot, because deviation requires cognitive resources they no longer possess.</w:t>
      </w:r>
    </w:p>
    <w:p w14:paraId="2CAB00BD" w14:textId="77777777" w:rsidR="001F00CB" w:rsidRDefault="008B312F">
      <w:pPr>
        <w:pStyle w:val="Heading2"/>
      </w:pPr>
      <w:r>
        <w:t>4. Homomorphism Between System and Agent</w:t>
      </w:r>
    </w:p>
    <w:p w14:paraId="2CAB00BE" w14:textId="77777777" w:rsidR="001F00CB" w:rsidRDefault="008B312F">
      <w:pPr>
        <w:spacing w:after="200"/>
      </w:pPr>
      <w:r>
        <w:t xml:space="preserve">What the evidence shows is that </w:t>
      </w:r>
      <w:proofErr w:type="gramStart"/>
      <w:r>
        <w:t>each individual</w:t>
      </w:r>
      <w:proofErr w:type="gramEnd"/>
      <w:r>
        <w:t xml:space="preserve"> is a scale model of the whole system. The bureaucratic evaluation function is not merely institutionally enforced; it has been installed at the cognitive level. Each philosopher carries a miniature credentialing apparatus in their head.</w:t>
      </w:r>
    </w:p>
    <w:p w14:paraId="2CAB00BF" w14:textId="77777777" w:rsidR="001F00CB" w:rsidRDefault="008B312F">
      <w:pPr>
        <w:spacing w:after="200"/>
      </w:pPr>
      <w:r>
        <w:t xml:space="preserve">They do not need external </w:t>
      </w:r>
      <w:proofErr w:type="gramStart"/>
      <w:r>
        <w:t>policing</w:t>
      </w:r>
      <w:proofErr w:type="gramEnd"/>
      <w:r>
        <w:t xml:space="preserve"> because they police themselves. And they police themselves identically to how the institution would police them. The criteria are the same: venue over content, credential over insight, pipeline compliance over intellectual merit. The individual’s internal evaluation function is homomorphic to the system’s external evaluation function.</w:t>
      </w:r>
    </w:p>
    <w:p w14:paraId="2CAB00C0" w14:textId="77777777" w:rsidR="001F00CB" w:rsidRDefault="008B312F">
      <w:pPr>
        <w:spacing w:after="200"/>
      </w:pPr>
      <w:r>
        <w:t>This is why brave hearts do not appear. Bravery requires a value system that diverges from the institutional one. That value system has been selected out and trained out. There is nothing left to be brave with. The individual does not suppress an independent judgment in favor of institutional compliance; the individual has no independent judgment to suppress.</w:t>
      </w:r>
    </w:p>
    <w:p w14:paraId="2CAB00C1" w14:textId="77777777" w:rsidR="001F00CB" w:rsidRDefault="008B312F">
      <w:pPr>
        <w:pStyle w:val="Heading2"/>
      </w:pPr>
      <w:r>
        <w:t>5. Selection Plus Internalization Equals Homogeneity</w:t>
      </w:r>
    </w:p>
    <w:p w14:paraId="2CAB00C2" w14:textId="77777777" w:rsidR="001F00CB" w:rsidRDefault="008B312F">
      <w:pPr>
        <w:spacing w:after="200"/>
      </w:pPr>
      <w:r>
        <w:t xml:space="preserve">Two mechanisms reinforce each other to produce total homogeneity. First, selection: anyone who did not fit the template was filtered out at graduate admissions, hiring, and tenure. The surviving population is pre-selected for compliance. The filter is not perfect </w:t>
      </w:r>
      <w:r>
        <w:lastRenderedPageBreak/>
        <w:t>at any single stage, but it operates at every stage, and the cumulative effect is a population with no variance.</w:t>
      </w:r>
    </w:p>
    <w:p w14:paraId="2CAB00C3" w14:textId="77777777" w:rsidR="001F00CB" w:rsidRDefault="008B312F">
      <w:pPr>
        <w:spacing w:after="200"/>
      </w:pPr>
      <w:r>
        <w:t>Second, internalization: those who survived the selection process then internalized the selection criteria as their own values. They do not experience themselves as constrained. They experience themselves as having good judgment, where good judgment happens to coincide perfectly with institutional criteria. The external norm has become an internal norm. Compliance feels like authenticity.</w:t>
      </w:r>
    </w:p>
    <w:p w14:paraId="2CAB00C4" w14:textId="77777777" w:rsidR="001F00CB" w:rsidRDefault="008B312F">
      <w:pPr>
        <w:spacing w:after="200"/>
      </w:pPr>
      <w:r>
        <w:t>The result is a population with no latent variance. There is no hidden reservoir of independent thinkers waiting for permission. The formatting is complete. Selection removed the deviants; internalization ensured that even potential deviants would not recognize themselves as such.</w:t>
      </w:r>
    </w:p>
    <w:p w14:paraId="2CAB00C5" w14:textId="77777777" w:rsidR="001F00CB" w:rsidRDefault="008B312F">
      <w:pPr>
        <w:pStyle w:val="Heading2"/>
      </w:pPr>
      <w:r>
        <w:t>6. Dennett as Near-Exception</w:t>
      </w:r>
    </w:p>
    <w:p w14:paraId="2CAB00C6" w14:textId="77777777" w:rsidR="001F00CB" w:rsidRDefault="008B312F">
      <w:pPr>
        <w:spacing w:after="200"/>
      </w:pPr>
      <w:r>
        <w:t xml:space="preserve">Daniel Dennett is interesting precisely because he almost violated the template. He engaged seriously with cognitive science when that was unusual for philosophers. He wrote for general </w:t>
      </w:r>
      <w:proofErr w:type="gramStart"/>
      <w:r>
        <w:t>audiences</w:t>
      </w:r>
      <w:proofErr w:type="gramEnd"/>
      <w:r>
        <w:t>. He took controversial stances and defended them pugnaciously. He was willing to be disliked.</w:t>
      </w:r>
    </w:p>
    <w:p w14:paraId="2CAB00C7" w14:textId="77777777" w:rsidR="001F00CB" w:rsidRDefault="008B312F">
      <w:pPr>
        <w:spacing w:after="200"/>
      </w:pPr>
      <w:r>
        <w:t>But even Dennett operated within recognizable bounds. He remained at a prestige institution (Tufts). He published in the right places when it mattered. He maintained the credentialing rituals even while stretching their content. He was heterodox in style and emphasis, not in form. He stretched the template without breaking it.</w:t>
      </w:r>
    </w:p>
    <w:p w14:paraId="2CAB00C8" w14:textId="77777777" w:rsidR="001F00CB" w:rsidRDefault="008B312F">
      <w:pPr>
        <w:spacing w:after="200"/>
      </w:pPr>
      <w:r>
        <w:t xml:space="preserve">That Dennett is the only near-exception confirms the rule. One person in a community of twenty </w:t>
      </w:r>
      <w:proofErr w:type="gramStart"/>
      <w:r>
        <w:t>thousand who partially deviated—</w:t>
      </w:r>
      <w:proofErr w:type="gramEnd"/>
      <w:r>
        <w:t xml:space="preserve">and even he did not fully break free—is not evidence of variance. It is evidence of its absence. The system tolerated one Dennett because one Dennett posed no structural threat. A hundred </w:t>
      </w:r>
      <w:proofErr w:type="spellStart"/>
      <w:r>
        <w:t>Dennetts</w:t>
      </w:r>
      <w:proofErr w:type="spellEnd"/>
      <w:r>
        <w:t xml:space="preserve"> would have been selected out.</w:t>
      </w:r>
    </w:p>
    <w:p w14:paraId="2CAB00C9" w14:textId="77777777" w:rsidR="001F00CB" w:rsidRDefault="008B312F">
      <w:pPr>
        <w:pStyle w:val="Heading2"/>
      </w:pPr>
      <w:r>
        <w:t>7. Cognitive Colonization</w:t>
      </w:r>
    </w:p>
    <w:p w14:paraId="2CAB00CA" w14:textId="77777777" w:rsidR="001F00CB" w:rsidRDefault="008B312F">
      <w:pPr>
        <w:spacing w:after="200"/>
      </w:pPr>
      <w:r>
        <w:t>The correct diagnosis is not institutional capture but cognitive colonization. Institutional capture implies that independent agents are constrained by external structures. Cognitive colonization means the agents are no longer independent. The evaluative faculty itself has been overwritten.</w:t>
      </w:r>
    </w:p>
    <w:p w14:paraId="2CAB00CB" w14:textId="77777777" w:rsidR="001F00CB" w:rsidRDefault="008B312F">
      <w:pPr>
        <w:spacing w:after="200"/>
      </w:pPr>
      <w:r>
        <w:t>The individuals do not have an independent evaluative faculty that is being suppressed. The evaluative faculty has been formatted to match the institution’s requirements. They do not judge and then comply; they judge in a way that produces compliance as output. The colonization is complete.</w:t>
      </w:r>
    </w:p>
    <w:p w14:paraId="2CAB00CC" w14:textId="77777777" w:rsidR="001F00CB" w:rsidRDefault="008B312F">
      <w:pPr>
        <w:spacing w:after="200"/>
      </w:pPr>
      <w:r>
        <w:t xml:space="preserve">This makes the prognosis even grimmer. Institutional reform could </w:t>
      </w:r>
      <w:proofErr w:type="gramStart"/>
      <w:r>
        <w:t>in</w:t>
      </w:r>
      <w:proofErr w:type="gramEnd"/>
      <w:r>
        <w:t xml:space="preserve"> principle work if the individuals retained latent capacity for independent judgment. But if the individuals are the pathology—if they have become what the system made them—then there is no internal resource for regeneration. The substrate that would execute reform has been </w:t>
      </w:r>
      <w:r>
        <w:lastRenderedPageBreak/>
        <w:t>destroyed. Change, if it comes, will come from outside, imposed on a community that cannot understand why it is necessary.</w:t>
      </w:r>
    </w:p>
    <w:sectPr w:rsidR="001F00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0ECF"/>
    <w:multiLevelType w:val="hybridMultilevel"/>
    <w:tmpl w:val="8536DFB8"/>
    <w:lvl w:ilvl="0" w:tplc="15026BCC">
      <w:start w:val="1"/>
      <w:numFmt w:val="bullet"/>
      <w:lvlText w:val="●"/>
      <w:lvlJc w:val="left"/>
      <w:pPr>
        <w:ind w:left="720" w:hanging="360"/>
      </w:pPr>
    </w:lvl>
    <w:lvl w:ilvl="1" w:tplc="0F988EAE">
      <w:start w:val="1"/>
      <w:numFmt w:val="bullet"/>
      <w:lvlText w:val="○"/>
      <w:lvlJc w:val="left"/>
      <w:pPr>
        <w:ind w:left="1440" w:hanging="360"/>
      </w:pPr>
    </w:lvl>
    <w:lvl w:ilvl="2" w:tplc="54CC72BC">
      <w:start w:val="1"/>
      <w:numFmt w:val="bullet"/>
      <w:lvlText w:val="■"/>
      <w:lvlJc w:val="left"/>
      <w:pPr>
        <w:ind w:left="2160" w:hanging="360"/>
      </w:pPr>
    </w:lvl>
    <w:lvl w:ilvl="3" w:tplc="FAB45CA6">
      <w:start w:val="1"/>
      <w:numFmt w:val="bullet"/>
      <w:lvlText w:val="●"/>
      <w:lvlJc w:val="left"/>
      <w:pPr>
        <w:ind w:left="2880" w:hanging="360"/>
      </w:pPr>
    </w:lvl>
    <w:lvl w:ilvl="4" w:tplc="B91887BA">
      <w:start w:val="1"/>
      <w:numFmt w:val="bullet"/>
      <w:lvlText w:val="○"/>
      <w:lvlJc w:val="left"/>
      <w:pPr>
        <w:ind w:left="3600" w:hanging="360"/>
      </w:pPr>
    </w:lvl>
    <w:lvl w:ilvl="5" w:tplc="8E3E5562">
      <w:start w:val="1"/>
      <w:numFmt w:val="bullet"/>
      <w:lvlText w:val="■"/>
      <w:lvlJc w:val="left"/>
      <w:pPr>
        <w:ind w:left="4320" w:hanging="360"/>
      </w:pPr>
    </w:lvl>
    <w:lvl w:ilvl="6" w:tplc="F6026754">
      <w:start w:val="1"/>
      <w:numFmt w:val="bullet"/>
      <w:lvlText w:val="●"/>
      <w:lvlJc w:val="left"/>
      <w:pPr>
        <w:ind w:left="5040" w:hanging="360"/>
      </w:pPr>
    </w:lvl>
    <w:lvl w:ilvl="7" w:tplc="7F626002">
      <w:start w:val="1"/>
      <w:numFmt w:val="bullet"/>
      <w:lvlText w:val="●"/>
      <w:lvlJc w:val="left"/>
      <w:pPr>
        <w:ind w:left="5760" w:hanging="360"/>
      </w:pPr>
    </w:lvl>
    <w:lvl w:ilvl="8" w:tplc="95241134">
      <w:start w:val="1"/>
      <w:numFmt w:val="bullet"/>
      <w:lvlText w:val="●"/>
      <w:lvlJc w:val="left"/>
      <w:pPr>
        <w:ind w:left="6480" w:hanging="360"/>
      </w:pPr>
    </w:lvl>
  </w:abstractNum>
  <w:num w:numId="1" w16cid:durableId="799031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CB"/>
    <w:rsid w:val="001F00CB"/>
    <w:rsid w:val="008B312F"/>
    <w:rsid w:val="009F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00AE"/>
  <w15:docId w15:val="{8DE10277-E30C-4093-A687-353CD94D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1162</Words>
  <Characters>6841</Characters>
  <Application>Microsoft Office Word</Application>
  <DocSecurity>0</DocSecurity>
  <Lines>113</Lines>
  <Paragraphs>31</Paragraphs>
  <ScaleCrop>false</ScaleCrop>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JM Kuczynski</cp:lastModifiedBy>
  <cp:revision>2</cp:revision>
  <dcterms:created xsi:type="dcterms:W3CDTF">2026-01-23T01:19:00Z</dcterms:created>
  <dcterms:modified xsi:type="dcterms:W3CDTF">2026-01-23T02:23:00Z</dcterms:modified>
</cp:coreProperties>
</file>