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Dunbar-Veblen Hypothesis:</w:t>
      </w:r>
    </w:p>
    <w:p>
      <w:pPr>
        <w:spacing w:after="240"/>
        <w:jc w:val="center"/>
      </w:pPr>
      <w:r>
        <w:rPr>
          <w:b/>
          <w:bCs/>
          <w:sz w:val="28"/>
          <w:szCs w:val="28"/>
        </w:rPr>
        <w:t xml:space="preserve">Ancestral Group Size and the Evolution of Political Consumption</w:t>
      </w:r>
    </w:p>
    <w:p>
      <w:pPr>
        <w:spacing w:before="240" w:after="120"/>
        <w:jc w:val="center"/>
      </w:pPr>
      <w:r>
        <w:rPr>
          <w:sz w:val="24"/>
          <w:szCs w:val="24"/>
        </w:rPr>
        <w:t xml:space="preserve">John-Michael Kuczynski, Ph.D.</w:t>
      </w:r>
    </w:p>
    <w:p>
      <w:pPr>
        <w:spacing w:after="360"/>
        <w:jc w:val="center"/>
      </w:pPr>
      <w:r>
        <w:rPr>
          <w:i/>
          <w:iCs/>
          <w:sz w:val="22"/>
          <w:szCs w:val="22"/>
        </w:rPr>
        <w:t xml:space="preserve">Zhi Systems</w:t>
      </w:r>
    </w:p>
    <w:p>
      <w:pPr>
        <w:pStyle w:val="Heading1"/>
      </w:pPr>
      <w:r>
        <w:t xml:space="preserve">Abstract</w:t>
      </w:r>
    </w:p>
    <w:p>
      <w:pPr>
        <w:pStyle w:val="Abstract"/>
      </w:pPr>
      <w:r>
        <w:t xml:space="preserve">This paper proposes a novel evolutionary psychological framework for understanding the persistent political-economic divide in contemporary Western societies. I argue that the divergence between progressive and conservative consumption patterns—observable in phenomena ranging from grocery store preference to residential self-sorting—reflects two distinct ancestral survival strategies calibrated to different social group sizes relative to Dunbar's number (~150). Conservative psychology, I suggest, evolved for sub-Dunbar environments characterized by small-group cooperation, functional pragmatism, and minimal signaling overhead. Progressive psychology, by contrast, represents an adaptation to super-Dunbar coordination problems, requiring intensive status signaling, ritualized consumption, and identity maintenance through purchase behavior. This framework introduces the concept of "Veblen Quotient" (VQ) to quantify an individual's or group's propensity for conspicuous consumption as identity work, and demonstrates that progressive communities systematically exhibit higher VQ than conservative ones—with significant implications for wealth accumulation, financial stability, and class mobility.</w:t>
      </w:r>
    </w:p>
    <w:p>
      <w:pPr>
        <w:spacing w:before="240" w:after="360"/>
        <w:ind w:left="720" w:right="720"/>
      </w:pPr>
      <w:r>
        <w:rPr>
          <w:b/>
          <w:bCs/>
          <w:sz w:val="22"/>
          <w:szCs w:val="22"/>
        </w:rPr>
        <w:t xml:space="preserve">Keywords: </w:t>
      </w:r>
      <w:r>
        <w:rPr>
          <w:i/>
          <w:iCs/>
          <w:sz w:val="22"/>
          <w:szCs w:val="22"/>
        </w:rPr>
        <w:t xml:space="preserve">evolutionary psychology, Dunbar's number, conspicuous consumption, political psychology, Veblen goods, identity economics, status signaling</w:t>
      </w:r>
    </w:p>
    <w:p>
      <w:pPr>
        <w:pStyle w:val="Heading1"/>
      </w:pPr>
      <w:r>
        <w:t xml:space="preserve">1. Introduction: The Whole Foods Problem</w:t>
      </w:r>
    </w:p>
    <w:p>
      <w:pPr>
        <w:spacing w:after="200"/>
      </w:pPr>
      <w:r>
        <w:t xml:space="preserve">A curious fact has emerged from the intersection of geographic information systems and electoral prediction: proximity to a Whole Foods Market is a reliable predictor of Democratic voting patterns. This observation, which circulates as folk wisdom in data journalism and political consulting, raises a question that existing frameworks struggle to answer: Why should grocery store preference track so closely with political orientation? The standard explanation—that Whole Foods locates in affluent, educated, urban areas that happen to lean Democratic—describes but does not explain. It treats the correlation as incidental rather than structural.</w:t>
      </w:r>
    </w:p>
    <w:p>
      <w:pPr>
        <w:spacing w:after="200"/>
      </w:pPr>
      <w:r>
        <w:t xml:space="preserve">This paper proposes that the Whole Foods phenomenon is not incidental but revelatory. It exposes a deep architectural difference in human psychology that has its origins in divergent ancestral environments and their associated survival strategies. The thesis can be stated simply: what we call "conservative" and "progressive" orientations represent cognitive adaptations to fundamentally different social ecologies—specifically, environments falling below versus above the threshold of stable interpersonal relationships that anthropologist Robin Dunbar famously estimated at approximately 150 individuals.</w:t>
      </w:r>
    </w:p>
    <w:p>
      <w:pPr>
        <w:spacing w:after="200"/>
      </w:pPr>
      <w:r>
        <w:t xml:space="preserve">The implications of this thesis extend far beyond electoral prediction. If correct, it explains why political orientation correlates with consumption behavior, residential choice, financial strategy, institutional trust, and aesthetic preference. It suggests that the contemporary political divide is not primarily ideological but rather reflects the activation of incompatible cognitive operating systems—each adaptive in its ancestral context, each generating characteristic patterns of behavior when deployed in modern environments.</w:t>
      </w:r>
    </w:p>
    <w:p>
      <w:pPr>
        <w:pStyle w:val="Heading1"/>
      </w:pPr>
      <w:r>
        <w:t xml:space="preserve">2. The Function-Status Dichotomy</w:t>
      </w:r>
    </w:p>
    <w:p>
      <w:pPr>
        <w:pStyle w:val="Heading2"/>
      </w:pPr>
      <w:r>
        <w:t xml:space="preserve">2.1 Two Modes of Consumption</w:t>
      </w:r>
    </w:p>
    <w:p>
      <w:pPr>
        <w:spacing w:after="200"/>
      </w:pPr>
      <w:r>
        <w:t xml:space="preserve">Consider two individuals choosing where to shop for groceries. The first selects Walmart based on a straightforward calculus: low prices, reliable stock, convenient location, minimal transaction costs. This individual treats grocery acquisition as a logistical problem to be optimized. The selection criterion is functional—what delivers maximum utility per unit of time and money expended.</w:t>
      </w:r>
    </w:p>
    <w:p>
      <w:pPr>
        <w:spacing w:after="200"/>
      </w:pPr>
      <w:r>
        <w:t xml:space="preserve">The second individual selects Whole Foods based on a different calculus entirely. Price is not irrelevant, but it is weighted against factors that would strike the first individual as extraneous: the aesthetic environment of the store, the moral valence of the products ("organic," "sustainable," "ethically sourced"), the social meaning of being seen shopping there, the alignment between the store's brand identity and the shopper's self-concept. This individual treats grocery acquisition as, among other things, an identity practice.</w:t>
      </w:r>
    </w:p>
    <w:p>
      <w:pPr>
        <w:spacing w:after="200"/>
      </w:pPr>
      <w:r>
        <w:t xml:space="preserve">These two modes of consumption—which I will call functional and status-oriented—are not merely different preferences. They reflect different answers to the question of what consumption is for. The functional consumer sees purchases as solutions to practical problems. The status-oriented consumer sees purchases as communications—signals broadcast to others and to oneself about the kind of person one is.</w:t>
      </w:r>
    </w:p>
    <w:p>
      <w:pPr>
        <w:pStyle w:val="Heading2"/>
      </w:pPr>
      <w:r>
        <w:t xml:space="preserve">2.2 The Political Correlation</w:t>
      </w:r>
    </w:p>
    <w:p>
      <w:pPr>
        <w:spacing w:after="200"/>
      </w:pPr>
      <w:r>
        <w:t xml:space="preserve">The striking empirical fact is that these consumption modes correlate robustly with political orientation. Conservative populations disproportionately exhibit functional consumption patterns: they optimize for price-performance ratio, display low sensitivity to brand signaling, accept low-status housing and retail environments when these offer practical advantages, and generally treat consumption as instrumental rather than expressive.</w:t>
      </w:r>
    </w:p>
    <w:p>
      <w:pPr>
        <w:spacing w:after="200"/>
      </w:pPr>
      <w:r>
        <w:t xml:space="preserve">Progressive populations, by contrast, disproportionately exhibit status-oriented consumption: they pay premium prices for morally coded products, cluster in aesthetically curated neighborhoods, adopt consumption patterns that signal tribal membership (electric vehicles, reusable shopping bags, particular clothing brands), and treat purchases as expressions of identity and value commitments.</w:t>
      </w:r>
    </w:p>
    <w:p>
      <w:pPr>
        <w:spacing w:after="200"/>
      </w:pPr>
      <w:r>
        <w:t xml:space="preserve">This is not to say that all conservatives are purely functional consumers or that all progressives are purely status-oriented. These are statistical tendencies with significant individual variation. But the aggregate patterns are pronounced enough to enable the predictive models that opened this discussion: tell me where you shop, and I will predict how you vote.</w:t>
      </w:r>
    </w:p>
    <w:p>
      <w:pPr>
        <w:pStyle w:val="Heading1"/>
      </w:pPr>
      <w:r>
        <w:t xml:space="preserve">3. The Veblen Quotient</w:t>
      </w:r>
    </w:p>
    <w:p>
      <w:pPr>
        <w:spacing w:after="200"/>
      </w:pPr>
      <w:r>
        <w:t xml:space="preserve">Thorstein Veblen's concept of conspicuous consumption—the use of visible expenditure to signal social status—provides the theoretical vocabulary for analyzing the status-oriented consumption mode. But Veblen wrote before the development of evolutionary psychology, and his analysis, while penetrating, lacks an account of why humans would evolve to engage in apparently wasteful display behavior.</w:t>
      </w:r>
    </w:p>
    <w:p>
      <w:pPr>
        <w:spacing w:after="200"/>
      </w:pPr>
      <w:r>
        <w:t xml:space="preserve">I propose the concept of Veblen Quotient (VQ) to quantify an individual's or community's propensity for conspicuous consumption relative to functional consumption. VQ can be operationalized as the ratio of expenditure on goods whose value derives primarily from their signaling function to expenditure on goods whose value derives primarily from their use function. A community with high VQ spends disproportionately on premium brands, curated experiences, and moralized products; a community with low VQ spends disproportionately on generic brands, practical goods, and price-optimized solutions.</w:t>
      </w:r>
    </w:p>
    <w:p>
      <w:pPr>
        <w:spacing w:after="200"/>
      </w:pPr>
      <w:r>
        <w:t xml:space="preserve">The empirical claim, then, is that progressive communities exhibit systematically higher VQ than conservative communities. The "Whole Foods zone" is a high-VQ environment where residents pay substantial premiums for organic produce, sustainable packaging, and the ambient experience of shopping among like-minded others. The "Walmart zone" is a low-VQ environment where residents optimize for price and convenience with minimal concern for the symbolic meaning of their purchases.</w:t>
      </w:r>
    </w:p>
    <w:p>
      <w:pPr>
        <w:spacing w:after="200"/>
      </w:pPr>
      <w:r>
        <w:t xml:space="preserve">This VQ differential has profound economic consequences. High-VQ consumption functions as a continuous wealth-extraction mechanism: residents of Whole Foods zones pay more for housing, groceries, services, and lifestyle goods—not because these goods are functionally superior but because they carry status premiums. The result is systematic decapitalization relative to low-VQ populations with comparable incomes. A household earning $150,000 annually in a high-VQ environment may accumulate less wealth over time than a household earning $80,000 in a low-VQ environment, simply because the former allocates far more of its income to status maintenance.</w:t>
      </w:r>
    </w:p>
    <w:p>
      <w:pPr>
        <w:pStyle w:val="Heading1"/>
      </w:pPr>
      <w:r>
        <w:t xml:space="preserve">4. The Evolutionary Backstory</w:t>
      </w:r>
    </w:p>
    <w:p>
      <w:pPr>
        <w:pStyle w:val="Heading2"/>
      </w:pPr>
      <w:r>
        <w:t xml:space="preserve">4.1 Dunbar's Number and Social Cognition</w:t>
      </w:r>
    </w:p>
    <w:p>
      <w:pPr>
        <w:spacing w:after="200"/>
      </w:pPr>
      <w:r>
        <w:t xml:space="preserve">Robin Dunbar's research on primate neocortex size and social group size led to his famous estimate that humans can maintain approximately 150 stable social relationships—the so-called "Dunbar number." This limit reflects the cognitive demands of tracking complex social information: alliances, reputations, reciprocal obligations, and the multi-layered relationships-of-relationships that characterize human social life.</w:t>
      </w:r>
    </w:p>
    <w:p>
      <w:pPr>
        <w:spacing w:after="200"/>
      </w:pPr>
      <w:r>
        <w:t xml:space="preserve">Below this threshold, individuals can rely on direct personal knowledge to navigate social terrain. They know who is trustworthy, who owes what to whom, who is allied with whom. Social coordination can proceed through personal reputation and direct observation. Signaling overhead is low because information travels through intimate networks.</w:t>
      </w:r>
    </w:p>
    <w:p>
      <w:pPr>
        <w:spacing w:after="200"/>
      </w:pPr>
      <w:r>
        <w:t xml:space="preserve">Above this threshold, direct personal knowledge becomes impossible. In groups of thousands or millions, most interactions occur between strangers who will never meet again. The question of who to trust, cooperate with, and affiliate with cannot be answered by personal knowledge. Some other mechanism is required.</w:t>
      </w:r>
    </w:p>
    <w:p>
      <w:pPr>
        <w:pStyle w:val="Heading2"/>
      </w:pPr>
      <w:r>
        <w:t xml:space="preserve">4.2 Two Ancestral Strategies</w:t>
      </w:r>
    </w:p>
    <w:p>
      <w:pPr>
        <w:spacing w:after="200"/>
      </w:pPr>
      <w:r>
        <w:t xml:space="preserve">I propose that modern political-psychological orientations reflect the inheritance of two distinct ancestral strategies for managing social coordination, calibrated to different positions relative to the Dunbar threshold.</w:t>
      </w:r>
    </w:p>
    <w:p>
      <w:pPr>
        <w:spacing w:after="200"/>
      </w:pPr>
      <w:r>
        <w:rPr>
          <w:b/>
          <w:bCs/>
        </w:rPr>
        <w:t xml:space="preserve">Strategy A: Sub-Dunbar Optimization. </w:t>
      </w:r>
      <w:r>
        <w:t xml:space="preserve">This strategy evolved in small-band environments where social groups rarely exceeded Dunbar's number. Individuals could rely on direct knowledge and kin-based loyalty. Survival depended on practical competence, resource efficiency, and functional cooperation. Status displays were unnecessary because reputation was known directly. This environment selected for: pragmatic problem-solving, low signaling overhead, distrust of strangers and external authorities, preference for autonomy over conformity, and optimization for function over form.</w:t>
      </w:r>
    </w:p>
    <w:p>
      <w:pPr>
        <w:spacing w:after="200"/>
      </w:pPr>
      <w:r>
        <w:rPr>
          <w:b/>
          <w:bCs/>
        </w:rPr>
        <w:t xml:space="preserve">Strategy B: Super-Dunbar Optimization. </w:t>
      </w:r>
      <w:r>
        <w:t xml:space="preserve">This strategy evolved in larger, denser social environments where coordination among strangers became necessary. Because direct reputation knowledge was impossible, individuals had to broadcast their tribal affiliations, moral commitments, and social value through visible signals. Survival depended on maintaining position within complex, reputation-based hierarchies. This environment selected for: intensive status signaling, ritualized consumption, conformity to group norms, sensitivity to reputational consequences, and willingness to pay premiums for goods that communicate identity.</w:t>
      </w:r>
    </w:p>
    <w:p>
      <w:pPr>
        <w:pStyle w:val="Heading2"/>
      </w:pPr>
      <w:r>
        <w:t xml:space="preserve">4.3 The Modern Expression</w:t>
      </w:r>
    </w:p>
    <w:p>
      <w:pPr>
        <w:spacing w:after="200"/>
      </w:pPr>
      <w:r>
        <w:t xml:space="preserve">These ancestral strategies persist as cognitive orientations in modern populations, generating the political-consumption patterns observed empirically. The conservative orientation represents the modern expression of sub-Dunbar psychology: preference for small-scale community, distrust of bureaucratic institutions, functional consumption, low VQ, and residence in lower-density environments where personal knowledge remains possible.</w:t>
      </w:r>
    </w:p>
    <w:p>
      <w:pPr>
        <w:spacing w:after="200"/>
      </w:pPr>
      <w:r>
        <w:t xml:space="preserve">The progressive orientation represents the modern expression of super-Dunbar psychology: comfort with large-scale anonymous institutions, reliance on symbolic markers to navigate social terrain, status-oriented consumption, high VQ, and residence in high-density environments where strangers must be continuously assessed through visible signals.</w:t>
      </w:r>
    </w:p>
    <w:p>
      <w:pPr>
        <w:spacing w:after="200"/>
      </w:pPr>
      <w:r>
        <w:t xml:space="preserve">The Whole Foods zone is, on this account, a super-Dunbar environment par excellence. It is dense, anonymous, and organized around symbolic consumption. Residents signal their tribal membership through what they buy, where they live, and how they present themselves. The Walmart zone is a sub-Dunbar environment: lower density, more personal knowledge, less signaling overhead, and consumption optimized for function rather than identity.</w:t>
      </w:r>
    </w:p>
    <w:p>
      <w:pPr>
        <w:pStyle w:val="Heading1"/>
      </w:pPr>
      <w:r>
        <w:t xml:space="preserve">5. The Dunbar-Veblen Synthesis</w:t>
      </w:r>
    </w:p>
    <w:p>
      <w:pPr>
        <w:spacing w:after="200"/>
      </w:pPr>
      <w:r>
        <w:t xml:space="preserve">The framework proposed here synthesizes Dunbar's social-cognitive limit with Veblen's economic analysis of conspicuous consumption. The key insight is that Veblenian signaling is not a universal human tendency but rather a strategy that becomes necessary—and therefore selected for—in super-Dunbar environments. When you cannot know everyone personally, you must communicate your social value through display. When you can know everyone personally, such display is redundant and wasteful.</w:t>
      </w:r>
    </w:p>
    <w:p>
      <w:pPr>
        <w:spacing w:after="200"/>
      </w:pPr>
      <w:r>
        <w:t xml:space="preserve">This explains the otherwise puzzling correlation between political orientation and VQ. Progressives are not "less rational" about consumption; they are deploying a strategy that makes sense in the social environment for which their cognitive orientation is optimized. The $8 yogurt at Whole Foods is not merely overpriced dairy—it is a social signal that broadcasts tribal membership to the anonymous others with whom one shares urban space.</w:t>
      </w:r>
    </w:p>
    <w:p>
      <w:pPr>
        <w:spacing w:after="200"/>
      </w:pPr>
      <w:r>
        <w:t xml:space="preserve">Conservatives are not "unsophisticated" in their consumption patterns; they are deploying a strategy optimized for environments where such signaling provides no advantage. The trailer park and the Walmart shopping trip are functional optimizations that make sense when status can be assessed through direct personal knowledge rather than symbolic display.</w:t>
      </w:r>
    </w:p>
    <w:p>
      <w:pPr>
        <w:spacing w:after="200"/>
      </w:pPr>
      <w:r>
        <w:t xml:space="preserve">The irony, from an economic standpoint, is that the "sophisticated" high-VQ strategy is financially disadvantageous. Progressive consumption patterns function as a continuous tax on wealth accumulation. The high fixed costs of Whole Foods zones—elevated housing prices, premium retail, moralized consumption requirements—systematically transfer wealth from residents to landlords, retailers, and service providers. The "unsophisticated" low-VQ strategy, by contrast, permits capital accumulation through its minimization of status overhead.</w:t>
      </w:r>
    </w:p>
    <w:p>
      <w:pPr>
        <w:pStyle w:val="Heading1"/>
      </w:pPr>
      <w:r>
        <w:t xml:space="preserve">6. Implications and Extensions</w:t>
      </w:r>
    </w:p>
    <w:p>
      <w:pPr>
        <w:spacing w:after="200"/>
      </w:pPr>
      <w:r>
        <w:t xml:space="preserve">If the Dunbar-Veblen hypothesis is correct, several implications follow. First, the political divide between progressive and conservative orientations is not primarily ideological but architectural—it reflects the activation of different cognitive operating systems with different optimization targets. Ideological positions are downstream of these orientations rather than their source.</w:t>
      </w:r>
    </w:p>
    <w:p>
      <w:pPr>
        <w:spacing w:after="200"/>
      </w:pPr>
      <w:r>
        <w:t xml:space="preserve">Second, geographic political sorting is not merely a result of people choosing to live near like-minded others; it is a result of people choosing environments that match their ancestral cognitive orientations. Sub-Dunbar types gravitate to lower-density environments where personal knowledge remains possible. Super-Dunbar types gravitate to higher-density environments organized around symbolic navigation.</w:t>
      </w:r>
    </w:p>
    <w:p>
      <w:pPr>
        <w:spacing w:after="200"/>
      </w:pPr>
      <w:r>
        <w:t xml:space="preserve">Third, the economic consequences of this sorting are asymmetric. High-VQ environments extract wealth from their residents through status-maintenance costs. Low-VQ environments permit accumulation through their elimination of such costs. This may help explain persistent wealth differentials between populations with similar incomes but different consumption orientations.</w:t>
      </w:r>
    </w:p>
    <w:p>
      <w:pPr>
        <w:spacing w:after="200"/>
      </w:pPr>
      <w:r>
        <w:t xml:space="preserve">Fourth, the framework suggests that attempts to change political orientation through argument or education are likely to fail because they address the wrong level of analysis. Political beliefs are expressions of deeper cognitive orientations that are themselves expressions of ancestral survival strategies. Changing someone's politics would require changing their fundamental approach to social navigation—a much more difficult task than changing their beliefs about particular issues.</w:t>
      </w:r>
    </w:p>
    <w:p>
      <w:pPr>
        <w:pStyle w:val="Heading1"/>
      </w:pPr>
      <w:r>
        <w:t xml:space="preserve">7. Conclusion</w:t>
      </w:r>
    </w:p>
    <w:p>
      <w:pPr>
        <w:spacing w:after="200"/>
      </w:pPr>
      <w:r>
        <w:t xml:space="preserve">The Whole Foods phenomenon is a window into human cognitive architecture. The correlation between grocery store preference and political orientation is not a curious accident but a symptom of a deep structural divide in human psychology—one that traces back to divergent ancestral solutions to the problem of social coordination. Conservative psychology represents a sub-Dunbar strategy optimized for small-group, high-knowledge, low-signaling environments. Progressive psychology represents a super-Dunbar strategy optimized for large-group, low-knowledge, high-signaling environments.</w:t>
      </w:r>
    </w:p>
    <w:p>
      <w:pPr>
        <w:spacing w:after="200"/>
      </w:pPr>
      <w:r>
        <w:t xml:space="preserve">The Veblen Quotient captures the consumption dimension of this divide: the ratio of status-oriented to function-oriented expenditure that characterizes a population. High-VQ consumption is adaptive in super-Dunbar environments where symbolic display is necessary for social navigation. Low-VQ consumption is adaptive in sub-Dunbar environments where such display is redundant.</w:t>
      </w:r>
    </w:p>
    <w:p>
      <w:pPr>
        <w:spacing w:after="200"/>
      </w:pPr>
      <w:r>
        <w:t xml:space="preserve">These are not incompatible value systems but incompatible survival algorithms, still operating inside a post-industrial society that contains both sub-Dunbar and super-Dunbar niches. The political, economic, and cultural divide between Red and Blue America may be, at bottom, the divide between two ways of being human that evolution never reconciled—because, until recently, it never had to.</w:t>
      </w:r>
    </w:p>
    <w:p>
      <w:pPr>
        <w:pStyle w:val="Heading1"/>
      </w:pPr>
      <w:r>
        <w:t xml:space="preserve">References</w:t>
      </w:r>
    </w:p>
    <w:p>
      <w:pPr>
        <w:spacing w:after="120"/>
        <w:ind w:left="720" w:hanging="720"/>
      </w:pPr>
      <w:r>
        <w:t xml:space="preserve">Dunbar, R. I. M. (1992). Neocortex size as a constraint on group size in primates. </w:t>
      </w:r>
      <w:r>
        <w:rPr>
          <w:i/>
          <w:iCs/>
        </w:rPr>
        <w:t xml:space="preserve">Journal of Human Evolution, 22</w:t>
      </w:r>
      <w:r>
        <w:t xml:space="preserve">(6), 469–493.</w:t>
      </w:r>
    </w:p>
    <w:p>
      <w:pPr>
        <w:spacing w:after="120"/>
        <w:ind w:left="720" w:hanging="720"/>
      </w:pPr>
      <w:r>
        <w:t xml:space="preserve">Dunbar, R. I. M. (2010). </w:t>
      </w:r>
      <w:r>
        <w:rPr>
          <w:i/>
          <w:iCs/>
        </w:rPr>
        <w:t xml:space="preserve">How Many Friends Does One Person Need? Dunbar's Number and Other Evolutionary Quirks</w:t>
      </w:r>
      <w:r>
        <w:t xml:space="preserve">. Harvard University Press.</w:t>
      </w:r>
    </w:p>
    <w:p>
      <w:pPr>
        <w:spacing w:after="120"/>
        <w:ind w:left="720" w:hanging="720"/>
      </w:pPr>
      <w:r>
        <w:t xml:space="preserve">Haidt, J. (2012). </w:t>
      </w:r>
      <w:r>
        <w:rPr>
          <w:i/>
          <w:iCs/>
        </w:rPr>
        <w:t xml:space="preserve">The Righteous Mind: Why Good People Are Divided by Politics and Religion</w:t>
      </w:r>
      <w:r>
        <w:t xml:space="preserve">. Vintage Books.</w:t>
      </w:r>
    </w:p>
    <w:p>
      <w:pPr>
        <w:spacing w:after="120"/>
        <w:ind w:left="720" w:hanging="720"/>
      </w:pPr>
      <w:r>
        <w:t xml:space="preserve">Tooby, J., &amp; Cosmides, L. (1992). The psychological foundations of culture. In J. H. Barkow, L. Cosmides, &amp; J. Tooby (Eds.), </w:t>
      </w:r>
      <w:r>
        <w:rPr>
          <w:i/>
          <w:iCs/>
        </w:rPr>
        <w:t xml:space="preserve">The Adapted Mind: Evolutionary Psychology and the Generation of Culture</w:t>
      </w:r>
      <w:r>
        <w:t xml:space="preserve"> (pp. 19–136). Oxford University Press.</w:t>
      </w:r>
    </w:p>
    <w:p>
      <w:pPr>
        <w:spacing w:after="120"/>
        <w:ind w:left="720" w:hanging="720"/>
      </w:pPr>
      <w:r>
        <w:t xml:space="preserve">Veblen, T. (1899). </w:t>
      </w:r>
      <w:r>
        <w:rPr>
          <w:i/>
          <w:iCs/>
        </w:rPr>
        <w:t xml:space="preserve">The Theory of the Leisure Class: An Economic Study of Institutions</w:t>
      </w:r>
      <w:r>
        <w:t xml:space="preserve">. Macmillan.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2025-11-27T08:49:08.933Z</dcterms:created>
  <dcterms:modified xsi:type="dcterms:W3CDTF">2025-11-27T08:49:08.934Z</dcterms:modified>
</cp:coreProperties>
</file>

<file path=docProps/custom.xml><?xml version="1.0" encoding="utf-8"?>
<Properties xmlns="http://schemas.openxmlformats.org/officeDocument/2006/custom-properties" xmlns:vt="http://schemas.openxmlformats.org/officeDocument/2006/docPropsVTypes"/>
</file>