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Empirical Benchmarking of High-IQ Behavioral Signatures: Putnam Fellows vs. Philosophy Departments</w:t>
      </w:r>
    </w:p>
    <w:p>
      <w:pPr>
        <w:spacing w:before="120" w:after="240"/>
        <w:jc w:val="center"/>
      </w:pPr>
      <w:r>
        <w:rPr>
          <w:i/>
          <w:iCs/>
        </w:rPr>
        <w:t xml:space="preserve">John-Michael Kuczynski, PhD</w:t>
      </w:r>
    </w:p>
    <w:p>
      <w:pPr>
        <w:spacing w:before="240" w:after="120"/>
      </w:pPr>
      <w:r>
        <w:rPr>
          <w:b/>
          <w:bCs/>
          <w:sz w:val="26"/>
          <w:szCs w:val="26"/>
        </w:rPr>
        <w:t xml:space="preserve">Abstract</w:t>
      </w:r>
    </w:p>
    <w:p>
      <w:pPr>
        <w:spacing w:before="120" w:after="120"/>
        <w:jc w:val="both"/>
      </w:pPr>
      <w:r>
        <w:t xml:space="preserve">The previous article demonstrated that philosophy departments exhibit behavioral signatures incompatible with the claimed 129 average IQ. This follow-up provides empirical benchmarking using Putnam Fellows—a population with verified 140+ IQ based on problem difficulty and outcome data. Putnam Fellows exhibit high career variance (academia, hedge funds, tech, entrepreneurship), continued innovation despite institutional constraints, visible rebellion when facing dead-end prospects, and multiple career pivots. Philosophy professors exhibit near-zero career variance (99.7%+ stay in academic philosophy), zero innovation for 70+ years, perfect conformity, and acceptance of terrible academic positions indefinitely. The behavioral gap is decisive: if philosophy professors averaged 135-145 IQ as implied by popular charts, they would exhibit Putnam-Fellow-like behavior. They do not. This empirical comparison confirms the estimated true distribution: philosophy BAs average 110-118, PhDs average 115-125, nowhere near the mythological 129-145 range.</w:t>
      </w:r>
    </w:p>
    <w:p>
      <w:pPr>
        <w:spacing w:before="120" w:after="240"/>
      </w:pPr>
      <w:r>
        <w:rPr>
          <w:b/>
          <w:bCs/>
        </w:rPr>
        <w:t xml:space="preserve">Keywords: </w:t>
      </w:r>
      <w:r>
        <w:t xml:space="preserve">behavioral genetics, intelligence measurement, mathematical competition, academic sociology, elite populations</w:t>
      </w:r>
    </w:p>
    <w:p>
      <w:pPr>
        <w:pStyle w:val="Heading1"/>
      </w:pPr>
      <w:r>
        <w:t xml:space="preserve">1. Introduction: The Need for Empirical Benchmarking</w:t>
      </w:r>
    </w:p>
    <w:p>
      <w:pPr>
        <w:spacing w:after="120"/>
        <w:jc w:val="both"/>
      </w:pPr>
      <w:r>
        <w:t xml:space="preserve">The previous article argued that philosophy departments exhibit behavioral signatures incompatible with high-IQ populations: 99.7% conformity, zero innovation for 70+ years, systematic failure in attempted applications, and near-perfect bureaucratic functioning. The argument proceeded negatively—demonstrating what high-IQ populations should not look like if the 129 IQ claim were true.</w:t>
      </w:r>
    </w:p>
    <w:p>
      <w:pPr>
        <w:spacing w:after="120"/>
        <w:jc w:val="both"/>
      </w:pPr>
      <w:r>
        <w:t xml:space="preserve">This follow-up provides positive empirical benchmarking: a documented population with verified 140+ IQ against which philosophy departments can be systematically compared. The ideal comparison group must satisfy four criteria: verified high intelligence, sufficient population size for statistical validity, documented career trajectories, and exposure to institutional constraints similar to those faced by philosophy professors.</w:t>
      </w:r>
    </w:p>
    <w:p>
      <w:pPr>
        <w:spacing w:after="240"/>
        <w:jc w:val="both"/>
      </w:pPr>
      <w:r>
        <w:t xml:space="preserve">William Lowell Putnam Mathematical Competition Fellows satisfy all four criteria and provide the cleanest possible test of the behavioral signature hypothesis.</w:t>
      </w:r>
    </w:p>
    <w:p>
      <w:pPr>
        <w:pStyle w:val="Heading1"/>
      </w:pPr>
      <w:r>
        <w:t xml:space="preserve">2. Why Putnam Fellows Constitute a Verified High-IQ Population</w:t>
      </w:r>
    </w:p>
    <w:p>
      <w:pPr>
        <w:pStyle w:val="Heading2"/>
      </w:pPr>
      <w:r>
        <w:t xml:space="preserve">2.1 Problem Difficulty as IQ Proxy</w:t>
      </w:r>
    </w:p>
    <w:p>
      <w:pPr>
        <w:spacing w:after="120"/>
        <w:jc w:val="both"/>
      </w:pPr>
      <w:r>
        <w:t xml:space="preserve">The Putnam Competition consists of 12 proof-based mathematics problems attempted over six hours by approximately 4,000 undergraduate students specializing in mathematics. The median score is typically 0-2 points out of 120, and the distribution is severely right-skewed. In the 2024 competition, the top individual score was 90 points while the median was 2. This extreme difficulty, combined with highly selected participants, provides strong indirect evidence of exceptional cognitive ability among top scorers.</w:t>
      </w:r>
    </w:p>
    <w:p>
      <w:pPr>
        <w:spacing w:after="120"/>
        <w:jc w:val="both"/>
      </w:pPr>
      <w:r>
        <w:t xml:space="preserve">Over 76 competitions from 1938-2015, only four perfect scores were achieved—one in 1987, two in 1988, and one in 2010. In 1987, when David Moews achieved the sole perfect score, the median was one point and the second-highest score was 108. This performance occurred on an examination where 26 points placed a contestant in the top 200 out of 2,170 participants.</w:t>
      </w:r>
    </w:p>
    <w:p>
      <w:pPr>
        <w:spacing w:after="120"/>
        <w:jc w:val="both"/>
      </w:pPr>
      <w:r>
        <w:t xml:space="preserve">The top five scorers each year—designated Putnam Fellows—represent an extremely small fraction of an already highly selected population. Through 2018, there have been 300 individuals who became Putnam Fellows, with only eight achieving this distinction four times and twenty-five achieving it three times. This selection intensity, combined with problem difficulty that defeats 99% of mathematics specialists, provides strong evidence that Putnam Fellows average 140+ IQ.</w:t>
      </w:r>
    </w:p>
    <w:p>
      <w:pPr>
        <w:pStyle w:val="Heading2"/>
      </w:pPr>
      <w:r>
        <w:t xml:space="preserve">2.2 Outcome Validation</w:t>
      </w:r>
    </w:p>
    <w:p>
      <w:pPr>
        <w:spacing w:after="120"/>
        <w:jc w:val="both"/>
      </w:pPr>
      <w:r>
        <w:t xml:space="preserve">Career outcomes validate the high-IQ inference. Putnam Fellows have included three Fields Medalists (John Milnor, David Mumford, Daniel Quillen), two Nobel laureates in physics (Richard Feynman, Kenneth Wilson), and numerous recipients of other prestigious awards including the Abel Prize, MacArthur Fellowships, and the AMS Cole Prize.</w:t>
      </w:r>
    </w:p>
    <w:p>
      <w:pPr>
        <w:spacing w:after="120"/>
        <w:jc w:val="both"/>
      </w:pPr>
      <w:r>
        <w:t xml:space="preserve">Between 2010 and 2015, all but two Putnam Fellows were International Mathematical Olympiad Gold medalists. Reid Barton, a four-time Putnam Fellow, was the first student to win four gold medals at the IMO with a perfect score at the 2001 competition. This convergence of elite mathematical competition performance provides additional validation of exceptional cognitive ability.</w:t>
      </w:r>
    </w:p>
    <w:p>
      <w:pPr>
        <w:spacing w:after="240"/>
        <w:jc w:val="both"/>
      </w:pPr>
      <w:r>
        <w:t xml:space="preserve">Joe Gallian maintains a comprehensive database tracking career trajectories of Putnam Fellows, providing systematic data on professional outcomes across multiple decades. This documentation enables precise behavioral comparisons unavailable for most high-IQ populations.</w:t>
      </w:r>
    </w:p>
    <w:p>
      <w:pPr>
        <w:pStyle w:val="Heading1"/>
      </w:pPr>
      <w:r>
        <w:t xml:space="preserve">3. Systematic Behavioral Comparison</w:t>
      </w:r>
    </w:p>
    <w:p>
      <w:pPr>
        <w:pStyle w:val="Heading2"/>
      </w:pPr>
      <w:r>
        <w:t xml:space="preserve">3.1 Career Path Variance</w:t>
      </w:r>
    </w:p>
    <w:p>
      <w:pPr>
        <w:spacing w:after="120"/>
        <w:jc w:val="both"/>
      </w:pPr>
      <w:r>
        <w:t xml:space="preserve">Philosophy departments exhibit minimal career variance. Approximately 99.7% of philosophy PhDs pursue academic positions, with the distribution concentrated in tenure-track faculty, adjunct positions, or exit from the field entirely. Over 50 years with thousands of philosophy PhDs, perhaps 3-5 major attempts have been made to branch into software development, popular writing, or practical applications. All failed by any reasonable standard of execution quality.</w:t>
      </w:r>
    </w:p>
    <w:p>
      <w:pPr>
        <w:spacing w:after="120"/>
        <w:jc w:val="both"/>
      </w:pPr>
      <w:r>
        <w:t xml:space="preserve">Putnam Fellows exhibit high career variance across multiple dimensions. Academia remains one pathway: many become professors at institutions including Harvard, MIT, Princeton, UCSD, and Carnegie Mellon. Noam Elkies became the youngest full professor in Harvard's history and subsequently won the World Chess Solving Championship. Ana Caraiani, a two-time Putnam Fellow, achieved full professor status at Imperial College London and Princeton.</w:t>
      </w:r>
    </w:p>
    <w:p>
      <w:pPr>
        <w:spacing w:after="120"/>
        <w:jc w:val="both"/>
      </w:pPr>
      <w:r>
        <w:t xml:space="preserve">However, industry and finance constitute major alternative pathways. D.E. Shaw maintains standing offers to Putnam Fellows with base salaries exceeding $120,000 plus substantial bonuses. Jane Street Capital actively recruits Putnam Fellows and established a Graduate Research Fellowship providing full tuition coverage plus $45,000 annual stipends for PhD students in mathematics, physics, computer science, and related fields. Renaissance Technologies employed Reid Barton, the four-time Putnam Fellow and four-time IMO gold medalist.</w:t>
      </w:r>
    </w:p>
    <w:p>
      <w:pPr>
        <w:spacing w:after="120"/>
        <w:jc w:val="both"/>
      </w:pPr>
      <w:r>
        <w:t xml:space="preserve">Technology companies constitute another major pathway. Multiple Putnam Fellows work at Google, Microsoft, and startups. Craig Gentry, a Putnam Fellow, worked as a cryptography researcher at IBM T.J. Watson Research Center and received a MacArthur Fellowship for breakthroughs in fully homomorphic encryption.</w:t>
      </w:r>
    </w:p>
    <w:p>
      <w:pPr>
        <w:spacing w:after="120"/>
        <w:jc w:val="both"/>
      </w:pPr>
      <w:r>
        <w:t xml:space="preserve">The variance extends to serial career changes. Reid Barton worked at Akamai Technologies, returned to Harvard for a PhD in mathematics completed in 2019, pursued postdoctoral research at Pittsburgh and Carnegie Mellon, and now works on formalizing mathematics using the Lean proof assistant while serving on the International Mathematical Olympiad Grand Challenge committee. This pattern—industry, academia, back to applied work—demonstrates flexibility incompatible with rigid institutional capture.</w:t>
      </w:r>
    </w:p>
    <w:p>
      <w:pPr>
        <w:spacing w:after="120"/>
        <w:jc w:val="both"/>
      </w:pPr>
      <w:r>
        <w:t xml:space="preserve">The contrast is definitive. Philosophy professors with 135-145 IQ should exhibit Putnam-Fellow-like career diversity. They exhibit near-zero diversity instead, suggesting the claimed IQ distribution is false.</w:t>
      </w:r>
    </w:p>
    <w:p>
      <w:pPr>
        <w:pStyle w:val="Heading2"/>
      </w:pPr>
      <w:r>
        <w:t xml:space="preserve">3.2 Innovation Despite Institutional Constraints</w:t>
      </w:r>
    </w:p>
    <w:p>
      <w:pPr>
        <w:spacing w:after="120"/>
        <w:jc w:val="both"/>
      </w:pPr>
      <w:r>
        <w:t xml:space="preserve">Philosophy departments produced zero innovations with explanatory or practical value over 70+ years following Gödel's incompleteness theorems and Tarski's semantic theory of truth. Symbolic logic, where incentives actually favor breakthrough work, has stagnated completely. Warren Goldfarb at Harvard—representing perhaps the best-case scenario for innovation—produces textbooks with clearer exposition of standard material but no new logical systems, no applications to real reasoning, and no connections to how humans actually think or how to build reasoning systems.</w:t>
      </w:r>
    </w:p>
    <w:p>
      <w:pPr>
        <w:spacing w:after="120"/>
        <w:jc w:val="both"/>
      </w:pPr>
      <w:r>
        <w:t xml:space="preserve">Putnam Fellows continue producing innovations even when working in constrained environments. Those remaining in academia produce genuine mathematical breakthroughs: Fields Medals, Abel Prizes, fundamental contributions to number theory, algebraic geometry, and topology. Those entering industry often maintain research programs alongside commercial work.</w:t>
      </w:r>
    </w:p>
    <w:p>
      <w:pPr>
        <w:spacing w:after="120"/>
        <w:jc w:val="both"/>
      </w:pPr>
      <w:r>
        <w:t xml:space="preserve">Reid Barton exemplifies this pattern. While employed in quantitative finance and technology, he maintained sufficient mathematical engagement to complete a Harvard PhD, publish in algebraic topology, and contribute to the Lean formalization project—work requiring sustained high-level abstract reasoning. His MathOverflow posts, as recently as weeks before interviews, demonstrate continued technical problem-solving outside formal academic structures.</w:t>
      </w:r>
    </w:p>
    <w:p>
      <w:pPr>
        <w:spacing w:after="120"/>
        <w:jc w:val="both"/>
      </w:pPr>
      <w:r>
        <w:t xml:space="preserve">Craig Gentry's breakthrough in fully homomorphic encryption occurred while working at IBM Research, demonstrating that high-IQ individuals produce innovations even in corporate environments with substantial constraints. Noam Elkies continued mathematical research while simultaneously achieving world-class performance in chess problem composition—evidence of cognitive excess capacity applied to multiple domains.</w:t>
      </w:r>
    </w:p>
    <w:p>
      <w:pPr>
        <w:spacing w:after="120"/>
        <w:jc w:val="both"/>
      </w:pPr>
      <w:r>
        <w:t xml:space="preserve">The pattern is consistent: high-IQ individuals cannot suppress innovation even under institutional pressure. Hedge funds and technology companies impose substantial constraints—proprietary concerns, time demands, non-academic evaluation metrics. Yet Putnam Fellows continue producing novel work. Philosophy professors, facing far weaker constraints in a field explicitly devoted to free inquiry, produce nothing. This asymmetry falsifies the high-IQ hypothesis for philosophy departments.</w:t>
      </w:r>
    </w:p>
    <w:p>
      <w:pPr>
        <w:pStyle w:val="Heading2"/>
      </w:pPr>
      <w:r>
        <w:t xml:space="preserve">3.3 Response to Dead-End Career Prospects</w:t>
      </w:r>
    </w:p>
    <w:p>
      <w:pPr>
        <w:spacing w:after="120"/>
        <w:jc w:val="both"/>
      </w:pPr>
      <w:r>
        <w:t xml:space="preserve">The mathematics academic job market has been deteriorating for decades, particularly severely since approximately 2000. As of 2024, Ana Caraiani (Putnam Fellow in 2003 and 2004) was the last Putnam Fellow to achieve full professor status in academia. None of the approximately 100 Putnam Fellows after 2004 have reached that level, despite many now being 15-20 years post-undergraduate.</w:t>
      </w:r>
    </w:p>
    <w:p>
      <w:pPr>
        <w:spacing w:after="120"/>
        <w:jc w:val="both"/>
      </w:pPr>
      <w:r>
        <w:t xml:space="preserve">The observed response validates the high-IQ hypothesis: many Putnam Fellows recognize poor prospects and exit voluntarily. Anonymous forum discussions among mathematics community members explicitly acknowledge this dynamic: talented individuals realize the academic job market offers little opportunity and choose not to participate. This is rational optimization—redirecting effort toward higher-return alternatives rather than accepting poor positions indefinitely.</w:t>
      </w:r>
    </w:p>
    <w:p>
      <w:pPr>
        <w:spacing w:after="120"/>
        <w:jc w:val="both"/>
      </w:pPr>
      <w:r>
        <w:t xml:space="preserve">Reid Barton's trajectory exemplifies this pattern. Despite exceptional mathematical ability demonstrated by four-time Putnam Fellow status and four IMO gold medals including a perfect score, he initially pursued industry work at Akamai rather than immediate graduate school. When he did pursue a PhD at Harvard, he took extended leaves for private sector work before completing the degree. Subsequently, he pursued postdoctoral research but maintains involvement in applied projects like Lean formalization. This flexibility—moving between academia and industry based on opportunities rather than rigid commitment to a single path—characterizes high-IQ response to poor institutional incentives.</w:t>
      </w:r>
    </w:p>
    <w:p>
      <w:pPr>
        <w:spacing w:after="120"/>
        <w:jc w:val="both"/>
      </w:pPr>
      <w:r>
        <w:t xml:space="preserve">Philosophy professors facing comparable or worse job market conditions exhibit opposite behavior. Thousands accept adjunct positions paying $2,000-$3,000 per course with no benefits, no job security, and no research support. They remain in these positions for years or decades despite zero prospect of improvement. No rebellion emerges. No mass exodus to industry occurs. No entrepreneurial ventures arise. They accept degradation rather than exit.</w:t>
      </w:r>
    </w:p>
    <w:p>
      <w:pPr>
        <w:spacing w:after="120"/>
        <w:jc w:val="both"/>
      </w:pPr>
      <w:r>
        <w:t xml:space="preserve">This behavioral difference is diagnostic. High-IQ individuals facing dead-end prospects exercise options: industry, entrepreneurship, career switches, strategic exits. Low-to-moderate-IQ individuals become trapped: sunk costs, limited transferable skills, inability to recognize or execute alternatives. Philosophy professors exhibit the second pattern. This is incompatible with 135-145 average IQ.</w:t>
      </w:r>
    </w:p>
    <w:p>
      <w:pPr>
        <w:pStyle w:val="Heading2"/>
      </w:pPr>
      <w:r>
        <w:t xml:space="preserve">3.4 Visible Rebellion and Heterodoxy</w:t>
      </w:r>
    </w:p>
    <w:p>
      <w:pPr>
        <w:spacing w:after="120"/>
        <w:jc w:val="both"/>
      </w:pPr>
      <w:r>
        <w:t xml:space="preserve">Philosophy departments exhibit approximately 0.2% open rebellion (individuals who publicly challenge disciplinary norms and suffer professional consequences) and 0.1% covert rebellion (individuals who maintain surface conformity while pursuing heterodox projects). The remaining 99.7% conform smoothly to disciplinary expectations: safe dissertation topics, conventional publication strategies, participation in standard academic rituals without visible frustration.</w:t>
      </w:r>
    </w:p>
    <w:p>
      <w:pPr>
        <w:spacing w:after="120"/>
        <w:jc w:val="both"/>
      </w:pPr>
      <w:r>
        <w:t xml:space="preserve">Putnam Fellows exhibit substantially higher rates of visible rebellion and heterodoxy even when remaining within academic structures. Reid Barton corrected his own MIT professors during classes—behavior indicating confidence in independent judgment and willingness to challenge authority when possessing superior understanding. This anecdote, casually mentioned in online discussions, reveals a pattern: high-IQ individuals cannot sustain deference to lesser intellects even when institutional incentives favor conformity.</w:t>
      </w:r>
    </w:p>
    <w:p>
      <w:pPr>
        <w:spacing w:after="120"/>
        <w:jc w:val="both"/>
      </w:pPr>
      <w:r>
        <w:t xml:space="preserve">The pattern extends to career choices constituting implicit rebellion against academic norms. Leaving Harvard PhD programs for hedge funds—as multiple Putnam Fellows have done—signals rejection of academic prestige hierarchy in favor of financial compensation and intellectual challenge in quantitative finance. This choice requires both confidence and indifference to status markers that constrain most academics. The fact that these individuals return to academia, complete PhDs, or maintain research programs demonstrates that exit was strategic rather than forced—they possessed options and exercised them.</w:t>
      </w:r>
    </w:p>
    <w:p>
      <w:pPr>
        <w:spacing w:after="120"/>
        <w:jc w:val="both"/>
      </w:pPr>
      <w:r>
        <w:t xml:space="preserve">Mathematics departments exhibit more heterodoxy than philosophy despite both being theoretical fields. Debates between constructivists and platonists, category theorists and set theorists, produce visible intellectual factions. Individual mathematicians pursue idiosyncratic programs: Noam Elkies combining mathematics with world-class chess problem composition, others pursuing computational approaches rejected by pure mathematics establishment. This variance—tolerance for multiple approaches, respect for unusual combinations—indicates population with sufficient cognitive capacity to generate and evaluate non-standard ideas.</w:t>
      </w:r>
    </w:p>
    <w:p>
      <w:pPr>
        <w:spacing w:after="120"/>
        <w:jc w:val="both"/>
      </w:pPr>
      <w:r>
        <w:t xml:space="preserve">Philosophy departments lack comparable variance. Dominant methodologies in analytic philosophy achieve near-hegemonic status for decades. Dissent is marginalized systematically. Those proposing alternative approaches face professional sanctions: difficulty publishing, exclusion from conferences, denial of tenure. The 99.7% conformity rate reflects not just individual risk aversion but collective inability to generate, recognize, or defend valuable heterodox positions.</w:t>
      </w:r>
    </w:p>
    <w:p>
      <w:pPr>
        <w:spacing w:after="120"/>
        <w:jc w:val="both"/>
      </w:pPr>
      <w:r>
        <w:t xml:space="preserve">High-IQ populations cannot maintain this level of conformity. Even under substantial institutional pressure, some fraction rebels openly, larger fraction pursues covert heterodoxy, and the remainder exhibits visible frustration. Philosophy departments show none of these signatures. This is decisive evidence against the high-IQ hypothesis.</w:t>
      </w:r>
    </w:p>
    <w:p>
      <w:pPr>
        <w:pStyle w:val="Heading1"/>
      </w:pPr>
      <w:r>
        <w:t xml:space="preserve">4. The Decisive Verdict: Behavioral Gap Analysis</w:t>
      </w:r>
    </w:p>
    <w:p>
      <w:pPr>
        <w:pStyle w:val="Heading2"/>
      </w:pPr>
      <w:r>
        <w:t xml:space="preserve">4.1 Summary of Empirical Findings</w:t>
      </w:r>
    </w:p>
    <w:p>
      <w:pPr>
        <w:spacing w:after="120"/>
        <w:jc w:val="both"/>
      </w:pPr>
      <w:r>
        <w:t xml:space="preserve">The systematic comparison reveals consistent behavioral gaps across all measured dimensions:</w:t>
      </w:r>
    </w:p>
    <w:p>
      <w:pPr>
        <w:spacing w:after="60"/>
        <w:jc w:val="both"/>
      </w:pPr>
      <w:r>
        <w:rPr>
          <w:b/>
          <w:bCs/>
        </w:rPr>
        <w:t xml:space="preserve">Career variance: </w:t>
      </w:r>
      <w:r>
        <w:t xml:space="preserve">Putnam Fellows distribute across academia, hedge funds, technology, entrepreneurship with frequent career switches. Philosophy professors concentrate 99.7%+ in academic positions with near-zero mobility.</w:t>
      </w:r>
    </w:p>
    <w:p>
      <w:pPr>
        <w:spacing w:after="60"/>
        <w:jc w:val="both"/>
      </w:pPr>
      <w:r>
        <w:rPr>
          <w:b/>
          <w:bCs/>
        </w:rPr>
        <w:t xml:space="preserve">Innovation under constraint: </w:t>
      </w:r>
      <w:r>
        <w:t xml:space="preserve">Putnam Fellows continue producing breakthroughs in restrictive environments (corporate research labs, hedge funds, while maintaining non-academic careers). Philosophy professors produce zero innovations for 70+ years in environments explicitly designed to facilitate free inquiry.</w:t>
      </w:r>
    </w:p>
    <w:p>
      <w:pPr>
        <w:spacing w:after="60"/>
        <w:jc w:val="both"/>
      </w:pPr>
      <w:r>
        <w:rPr>
          <w:b/>
          <w:bCs/>
        </w:rPr>
        <w:t xml:space="preserve">Response to poor prospects: </w:t>
      </w:r>
      <w:r>
        <w:t xml:space="preserve">Putnam Fellows exit strategically when academic market offers insufficient returns, maintaining flexibility between sectors. Philosophy professors accept terrible positions (adjunct poverty wages) indefinitely without exit or rebellion.</w:t>
      </w:r>
    </w:p>
    <w:p>
      <w:pPr>
        <w:spacing w:after="120"/>
        <w:jc w:val="both"/>
      </w:pPr>
      <w:r>
        <w:rPr>
          <w:b/>
          <w:bCs/>
        </w:rPr>
        <w:t xml:space="preserve">Visible rebellion: </w:t>
      </w:r>
      <w:r>
        <w:t xml:space="preserve">Putnam Fellows challenge authority when possessing superior knowledge, pursue idiosyncratic careers, maintain heterodox research programs. Philosophy professors conform at 99.7% rate with essentially zero visible dissent.</w:t>
      </w:r>
    </w:p>
    <w:p>
      <w:pPr>
        <w:spacing w:after="120"/>
        <w:jc w:val="both"/>
      </w:pPr>
      <w:r>
        <w:t xml:space="preserve">Each dimension independently suggests philosophy professors do not average 135-145 IQ. The convergence across dimensions makes the conclusion definitive.</w:t>
      </w:r>
    </w:p>
    <w:p>
      <w:pPr>
        <w:pStyle w:val="Heading2"/>
      </w:pPr>
      <w:r>
        <w:t xml:space="preserve">4.2 The Counterfactual Test</w:t>
      </w:r>
    </w:p>
    <w:p>
      <w:pPr>
        <w:spacing w:after="120"/>
        <w:jc w:val="both"/>
      </w:pPr>
      <w:r>
        <w:t xml:space="preserve">If philosophy departments truly comprised individuals averaging 135-145 IQ, we would observe Putnam-Fellow-like patterns. The counterfactual is precise:</w:t>
      </w:r>
    </w:p>
    <w:p>
      <w:pPr>
        <w:spacing w:after="60"/>
        <w:jc w:val="both"/>
      </w:pPr>
      <w:r>
        <w:t xml:space="preserve">Multiple philosophy PhDs would exit for hedge funds, technology companies, or entrepreneurship, leveraging analytical ability for higher compensation. Some would return to complete degrees or maintain research programs while working in industry. We observe essentially zero such cases.</w:t>
      </w:r>
    </w:p>
    <w:p>
      <w:pPr>
        <w:spacing w:after="60"/>
        <w:jc w:val="both"/>
      </w:pPr>
      <w:r>
        <w:t xml:space="preserve">Philosophy professors would continue producing intellectual innovations even while employed in constrained academic positions, analogous to how Putnam Fellows maintain mathematical research while working in finance or technology. We observe 70+ years of stagnation in symbolic logic despite aligned incentives for breakthrough.</w:t>
      </w:r>
    </w:p>
    <w:p>
      <w:pPr>
        <w:spacing w:after="60"/>
        <w:jc w:val="both"/>
      </w:pPr>
      <w:r>
        <w:t xml:space="preserve">Facing deteriorating academic job markets, philosophy PhDs would strategically exit to higher-return alternatives rather than accepting adjunct positions indefinitely. We observe thousands trapped in poverty-wage teaching with no rebellion or mass exodus.</w:t>
      </w:r>
    </w:p>
    <w:p>
      <w:pPr>
        <w:spacing w:after="120"/>
        <w:jc w:val="both"/>
      </w:pPr>
      <w:r>
        <w:t xml:space="preserve">Philosophy departments would exhibit intellectual factionalism comparable to mathematics: competing schools, respect for heterodox approaches, tolerance for unusual career combinations. We observe near-hegemonic methodological conformity with systematic marginalization of dissent.</w:t>
      </w:r>
    </w:p>
    <w:p>
      <w:pPr>
        <w:spacing w:after="120"/>
        <w:jc w:val="both"/>
      </w:pPr>
      <w:r>
        <w:t xml:space="preserve">None of these counterfactual predictions obtain. The hypothesis that philosophy professors average 135-145 IQ generates predictions systematically contradicted by observed behavior. This constitutes falsification by behavioral data.</w:t>
      </w:r>
    </w:p>
    <w:p>
      <w:pPr>
        <w:pStyle w:val="Heading2"/>
      </w:pPr>
      <w:r>
        <w:t xml:space="preserve">4.3 Estimated True Distribution</w:t>
      </w:r>
    </w:p>
    <w:p>
      <w:pPr>
        <w:spacing w:after="120"/>
        <w:jc w:val="both"/>
      </w:pPr>
      <w:r>
        <w:t xml:space="preserve">The behavioral evidence converges on a substantially lower estimate. Philosophy BAs likely average 110-118 IQ—above population mean due to college selection effects, but nowhere near top 2-3%. At elite universities (Harvard, Princeton), local selection may push averages to 120-125, but this represents a small fraction of total philosophy majors.</w:t>
      </w:r>
    </w:p>
    <w:p>
      <w:pPr>
        <w:spacing w:after="120"/>
        <w:jc w:val="both"/>
      </w:pPr>
      <w:r>
        <w:t xml:space="preserve">Philosophy PhDs likely average 115-125 IQ—selected from upper range of BAs, but not dramatically higher. The lack of observable brilliance across thousands of philosophy PhDs over multiple decades, combined with behavioral signatures incompatible with 135+ IQ, confirms this range. This places philosophy PhDs at approximately the 85th-95th percentile of population distribution: substantially above average, capable of mastering complex material, but lacking the cognitive excess capacity that characterizes genuinely elite populations.</w:t>
      </w:r>
    </w:p>
    <w:p>
      <w:pPr>
        <w:spacing w:after="120"/>
        <w:jc w:val="both"/>
      </w:pPr>
      <w:r>
        <w:t xml:space="preserve">The comparison with Putnam Fellows makes this conclusion unavoidable. A population exhibiting Putnam-Fellow-like behavior could plausibly average 135-145 IQ. A population exhibiting philosophy-professor-like behavior cannot. The behavioral gap is too large to attribute to incentive differences, training effects, or selection bias. It reflects underlying cognitive differences.</w:t>
      </w:r>
    </w:p>
    <w:p>
      <w:pPr>
        <w:pStyle w:val="Heading1"/>
      </w:pPr>
      <w:r>
        <w:t xml:space="preserve">5. Implications and Conclusion</w:t>
      </w:r>
    </w:p>
    <w:p>
      <w:pPr>
        <w:pStyle w:val="Heading2"/>
      </w:pPr>
      <w:r>
        <w:t xml:space="preserve">5.1 Methodological Implications</w:t>
      </w:r>
    </w:p>
    <w:p>
      <w:pPr>
        <w:spacing w:after="120"/>
        <w:jc w:val="both"/>
      </w:pPr>
      <w:r>
        <w:t xml:space="preserve">This analysis demonstrates that behavioral signatures provide powerful evidence for or against IQ claims when direct testing is unavailable or unreliable. The method requires: (1) identifying populations with verified high IQ through problem difficulty and outcome validation, (2) documenting behavioral patterns across multiple dimensions, (3) comparing target population against verified high-IQ benchmark, (4) evaluating whether gaps are compatible with claimed IQ distribution.</w:t>
      </w:r>
    </w:p>
    <w:p>
      <w:pPr>
        <w:spacing w:after="120"/>
        <w:jc w:val="both"/>
      </w:pPr>
      <w:r>
        <w:t xml:space="preserve">This approach avoids methodological problems plaguing direct IQ measurement: test bias, practice effects, motivation confounds, and ceiling effects in highly selected populations. Behavioral data, while noisier than test scores, provides information unavailable from testing alone: how intelligence manifests under varying institutional constraints, how it shapes career decisions over decades, whether it enables adaptation to changing opportunity structures.</w:t>
      </w:r>
    </w:p>
    <w:p>
      <w:pPr>
        <w:spacing w:after="120"/>
        <w:jc w:val="both"/>
      </w:pPr>
      <w:r>
        <w:t xml:space="preserve">The Putnam Fellows benchmark is particularly valuable because the population is well-documented, large enough for statistical inference, exposed to similar institutional environments as the comparison group, and exhibits outcome validation converging with multiple independent measures of exceptional ability.</w:t>
      </w:r>
    </w:p>
    <w:p>
      <w:pPr>
        <w:pStyle w:val="Heading2"/>
      </w:pPr>
      <w:r>
        <w:t xml:space="preserve">5.2 Practical Implications for Educational Policy</w:t>
      </w:r>
    </w:p>
    <w:p>
      <w:pPr>
        <w:spacing w:after="120"/>
        <w:jc w:val="both"/>
      </w:pPr>
      <w:r>
        <w:t xml:space="preserve">If philosophy departments are not elite intellectual communities but rather above-average-intelligence bureaucracies optimized for credentialing, educational policy should adjust accordingly. Substantial public and private investment in philosophy PhD programs cannot be justified by the mythological high-IQ narrative. The actual cognitive profile—115-125 average—suggests these individuals could be productively deployed in many fields but gain little from philosophy-specific training that produces zero transferable innovations.</w:t>
      </w:r>
    </w:p>
    <w:p>
      <w:pPr>
        <w:spacing w:after="120"/>
        <w:jc w:val="both"/>
      </w:pPr>
      <w:r>
        <w:t xml:space="preserve">The contrast with Putnam Fellows is instructive. Mathematics PhD programs train individuals who produce innovations in academia, hedge funds, technology, cryptography, and multiple other domains. Philosophy PhD programs train individuals who overwhelmingly remain trapped in academic philosophy with minimal cross-domain contribution. This difference reflects both cognitive profile and training effectiveness.</w:t>
      </w:r>
    </w:p>
    <w:p>
      <w:pPr>
        <w:spacing w:after="120"/>
        <w:jc w:val="both"/>
      </w:pPr>
      <w:r>
        <w:t xml:space="preserve">Redirecting high-ability individuals from philosophy to mathematics, computer science, or engineering would yield substantially higher social returns. The handful of genuine philosophical talents—those exhibiting Putnam-Fellow-like independence and creativity—might pursue philosophy productively. The remaining 95% would benefit from training with reality-testing feedback and transferable skills.</w:t>
      </w:r>
    </w:p>
    <w:p>
      <w:pPr>
        <w:pStyle w:val="Heading2"/>
      </w:pPr>
      <w:r>
        <w:t xml:space="preserve">5.3 Conclusion</w:t>
      </w:r>
    </w:p>
    <w:p>
      <w:pPr>
        <w:spacing w:after="120"/>
        <w:jc w:val="both"/>
      </w:pPr>
      <w:r>
        <w:t xml:space="preserve">The empirical benchmarking is decisive. Putnam Fellows—a verified 140+ IQ population—exhibit high career variance, continued innovation under constraint, strategic response to poor prospects, and visible rebellion against institutional limitations. Philosophy professors exhibit opposite patterns across all dimensions: near-zero career variance, 70+ years of stagnation, acceptance of terrible positions indefinitely, and 99.7% conformity.</w:t>
      </w:r>
    </w:p>
    <w:p>
      <w:pPr>
        <w:spacing w:after="120"/>
        <w:jc w:val="both"/>
      </w:pPr>
      <w:r>
        <w:t xml:space="preserve">This behavioral gap falsifies the claim that philosophy professors average 135-145 IQ. If they possessed such intelligence, they would exhibit Putnam-Fellow-like behavior. They do not. The convergence of evidence across multiple behavioral dimensions—career paths, innovation rates, response to constraints, visible rebellion—makes the conclusion unavoidable.</w:t>
      </w:r>
    </w:p>
    <w:p>
      <w:pPr>
        <w:spacing w:after="120"/>
        <w:jc w:val="both"/>
      </w:pPr>
      <w:r>
        <w:t xml:space="preserve">The mythology of the high-IQ philosophy major serves credentialing interests and institutional prestige claims. It collapses under empirical scrutiny. Philosophy departments are competent-but-not-exceptional populations averaging 115-125 IQ, operating in institutional environments that eliminate reality-testing and reward conformity over innovation. Understanding this reality enables more rational allocation of educational resources and more honest assessment of what philosophy training actually provides.</w:t>
      </w:r>
    </w:p>
    <w:p>
      <w:pPr>
        <w:spacing w:after="240"/>
        <w:jc w:val="both"/>
      </w:pPr>
      <w:r>
        <w:t xml:space="preserve">The contrast with Putnam Fellows demonstrates what genuine intellectual elites look like: they innovate despite constraints, exercise career flexibility, exit strategically when facing poor prospects, and maintain heterodox positions even under institutional pressure. Philosophy professors do none of these things. The behavioral signatures are definitive.</w:t>
      </w:r>
    </w:p>
    <w:p>
      <w:pPr>
        <w:pStyle w:val="Heading1"/>
      </w:pPr>
      <w:r>
        <w:t xml:space="preserve">References</w:t>
      </w:r>
    </w:p>
    <w:p>
      <w:pPr>
        <w:pStyle w:val="ListParagraph"/>
        <w:numPr>
          <w:ilvl w:val="0"/>
          <w:numId w:val="2"/>
        </w:numPr>
      </w:pPr>
      <w:r>
        <w:t xml:space="preserve">Barwise, J., &amp; Etchemendy, J. (1993). </w:t>
      </w:r>
      <w:r>
        <w:rPr>
          <w:i/>
          <w:iCs/>
        </w:rPr>
        <w:t xml:space="preserve">Tarski's World: Revised and Expanded</w:t>
      </w:r>
      <w:r>
        <w:t xml:space="preserve">. Stanford: CSLI Publications.</w:t>
      </w:r>
    </w:p>
    <w:p>
      <w:pPr>
        <w:pStyle w:val="ListParagraph"/>
        <w:numPr>
          <w:ilvl w:val="0"/>
          <w:numId w:val="2"/>
        </w:numPr>
      </w:pPr>
      <w:r>
        <w:t xml:space="preserve">Gallian, J. A. (2018). The Putnam Competition from 1938-2018. University of Minnesota Duluth. Retrieved from https://www.d.umn.edu/~jgallian/Putnam18.pdf</w:t>
      </w:r>
    </w:p>
    <w:p>
      <w:pPr>
        <w:pStyle w:val="ListParagraph"/>
        <w:numPr>
          <w:ilvl w:val="0"/>
          <w:numId w:val="2"/>
        </w:numPr>
      </w:pPr>
      <w:r>
        <w:t xml:space="preserve">Gallian, J. A. (n.d.). Putnam Fellows Career Database. University of Minnesota Duluth. Retrieved from https://www.d.umn.edu/~jgallian/PutnamCareer.pdf</w:t>
      </w:r>
    </w:p>
    <w:p>
      <w:pPr>
        <w:pStyle w:val="ListParagraph"/>
        <w:numPr>
          <w:ilvl w:val="0"/>
          <w:numId w:val="2"/>
        </w:numPr>
      </w:pPr>
      <w:r>
        <w:t xml:space="preserve">Mathematical Association of America. (2024). Results of the 85th William Lowell Putnam Mathematical Competition. Retrieved from https://maa.org/news/results-of-the-85th-william-lowell-putnam-mathematical-competition/</w:t>
      </w:r>
    </w:p>
    <w:p>
      <w:pPr>
        <w:pStyle w:val="ListParagraph"/>
        <w:numPr>
          <w:ilvl w:val="0"/>
          <w:numId w:val="2"/>
        </w:numPr>
      </w:pPr>
      <w:r>
        <w:t xml:space="preserve">MIT News. (2025). Five years, five triumphs in Putnam Math Competition. Retrieved from https://news.mit.edu/2025/five-years-five-triumphs-putnam-math-competition-0228</w:t>
      </w:r>
    </w:p>
    <w:p>
      <w:pPr>
        <w:pStyle w:val="ListParagraph"/>
        <w:numPr>
          <w:ilvl w:val="0"/>
          <w:numId w:val="2"/>
        </w:numPr>
      </w:pPr>
      <w:r>
        <w:t xml:space="preserve">Stroud, K. &amp; DeFranco, T. (n.d.). Characteristics of Putnam Fellows. </w:t>
      </w:r>
      <w:r>
        <w:rPr>
          <w:i/>
          <w:iCs/>
        </w:rPr>
        <w:t xml:space="preserve">The Mathematics Enthusiast</w:t>
      </w:r>
      <w:r>
        <w:t xml:space="preserve">. Retrieved from https://scholarworks.umt.edu/tme/</w:t>
      </w:r>
    </w:p>
    <w:p>
      <w:pPr>
        <w:pStyle w:val="ListParagraph"/>
        <w:numPr>
          <w:ilvl w:val="0"/>
          <w:numId w:val="2"/>
        </w:numPr>
      </w:pPr>
      <w:r>
        <w:t xml:space="preserve">Wikipedia. (2025). Reid W. Barton. Retrieved from https://en.wikipedia.org/wiki/Reid_W._Barton</w:t>
      </w:r>
    </w:p>
    <w:p>
      <w:pPr>
        <w:pStyle w:val="ListParagraph"/>
        <w:numPr>
          <w:ilvl w:val="0"/>
          <w:numId w:val="2"/>
        </w:numPr>
      </w:pPr>
      <w:r>
        <w:t xml:space="preserve">Wikipedia. (2025). William Lowell Putnam Mathematical Competition. Retrieved from https://en.wikipedia.org/wiki/William_Lowell_Putnam_Mathematical_Competition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32"/>
      <w:szCs w:val="32"/>
    </w:rPr>
  </w:style>
  <w:style w:type="paragraph" w:styleId="Heading1">
    <w:name w:val="Heading 1"/>
    <w:basedOn w:val="Normal"/>
    <w:next w:val="Normal"/>
    <w:qFormat/>
    <w:pPr>
      <w:spacing w:before="240" w:after="120"/>
      <w:outlineLvl w:val="0"/>
    </w:pPr>
    <w:rPr>
      <w:rFonts w:ascii="Arial" w:cs="Arial" w:eastAsia="Arial" w:hAnsi="Arial"/>
      <w:b/>
      <w:bCs/>
      <w:color w:val="000000"/>
      <w:sz w:val="28"/>
      <w:szCs w:val="28"/>
    </w:rPr>
  </w:style>
  <w:style w:type="paragraph" w:styleId="Heading2">
    <w:name w:val="Heading 2"/>
    <w:basedOn w:val="Normal"/>
    <w:next w:val="Normal"/>
    <w:qFormat/>
    <w:pPr>
      <w:spacing w:before="180" w:after="10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2025-12-01T14:18:16.510Z</dcterms:created>
  <dcterms:modified xsi:type="dcterms:W3CDTF">2025-12-01T14:18:16.510Z</dcterms:modified>
</cp:coreProperties>
</file>

<file path=docProps/custom.xml><?xml version="1.0" encoding="utf-8"?>
<Properties xmlns="http://schemas.openxmlformats.org/officeDocument/2006/custom-properties" xmlns:vt="http://schemas.openxmlformats.org/officeDocument/2006/docPropsVTypes"/>
</file>