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62D21" w14:textId="77777777" w:rsidR="00397BDB" w:rsidRDefault="00000000">
      <w:pPr>
        <w:pStyle w:val="Title"/>
      </w:pPr>
      <w:r>
        <w:t>The Veto as Vocation: Deontology's Real-World Pathologies</w:t>
      </w:r>
    </w:p>
    <w:p w14:paraId="6AF62D23" w14:textId="77777777" w:rsidR="00397BDB" w:rsidRDefault="00000000">
      <w:pPr>
        <w:spacing w:after="480"/>
        <w:jc w:val="center"/>
      </w:pPr>
      <w:r>
        <w:rPr>
          <w:i/>
          <w:iCs/>
          <w:sz w:val="22"/>
          <w:szCs w:val="22"/>
        </w:rPr>
        <w:t>Zhi Systems</w:t>
      </w:r>
    </w:p>
    <w:p w14:paraId="6AF62D24" w14:textId="77777777" w:rsidR="00397BDB" w:rsidRDefault="00000000">
      <w:pPr>
        <w:pStyle w:val="Heading1"/>
      </w:pPr>
      <w:r>
        <w:t>Abstract</w:t>
      </w:r>
    </w:p>
    <w:p w14:paraId="6AF62D25" w14:textId="77777777" w:rsidR="00397BDB" w:rsidRDefault="00000000">
      <w:pPr>
        <w:pStyle w:val="Abstract"/>
      </w:pPr>
      <w:r>
        <w:t xml:space="preserve">The standard dialectic in analytic ethics presents utilitarianism as a seductive but dangerous framework—one that leads, via aggregative logic, to moral monstrosities such as organ harvesting and promise-breaking. Deontology, particularly in its Kantian form, is positioned as the sophisticated corrective: a framework that respects the separateness of </w:t>
      </w:r>
      <w:proofErr w:type="gramStart"/>
      <w:r>
        <w:t>persons</w:t>
      </w:r>
      <w:proofErr w:type="gramEnd"/>
      <w:r>
        <w:t xml:space="preserve"> and treats certain acts as intrinsically impermissible regardless of consequences. This paper argues that this dialectic obscures a systematic inversion. Utilitarianism's advertised pathologies are largely hypothetical—trolley problems and fat-man scenarios that rarely if ever obtain. Meanwhile, deontology as actually deployed generates a distinct species of absurdity: procedural paralysis, consent fetishism, and baroque theoretical constructions that serve narrow interests while escaping scrutiny precisely because they do not appear dramatically monstrous. Drawing on contemporary examples from applied ethics, corporate governance theory, and philosophy of procreation, this paper contends that deontological reasoning, in its institutional manifestation, functions less as a principled constraint on aggregative thinking than as a rationalization of the veto—a power move by those who lack the capacity to create or produce, dressed in the language of rights and dignity.</w:t>
      </w:r>
    </w:p>
    <w:p w14:paraId="6AF62D26" w14:textId="77777777" w:rsidR="00397BDB" w:rsidRDefault="00000000">
      <w:pPr>
        <w:pStyle w:val="Heading1"/>
      </w:pPr>
      <w:r>
        <w:t>1. The Standard Dialectic</w:t>
      </w:r>
    </w:p>
    <w:p w14:paraId="6AF62D27" w14:textId="77777777" w:rsidR="00397BDB" w:rsidRDefault="00000000">
      <w:pPr>
        <w:spacing w:after="200"/>
      </w:pPr>
      <w:r>
        <w:t>Every student of analytic ethics learns the following narrative. Utilitarianism, understood as the view that right action maximizes aggregate welfare impartially considered, possesses an initial appeal: it is clean, rational, egalitarian. But this appeal dissolves upon examination. The utilitarian calculus commits us to conclusions that strike most people as monstrous. Harvest one healthy patient's organs to save five. Push the fat man off the bridge to stop the trolley. Break a promise to A because doing so produces marginally more utility for B and C. Kill your mother if it produces net positive welfare for strangers. The intuition pump works because these conclusions violate something deep in our moral psychology, even when the utilitarian arithmetic checks out.</w:t>
      </w:r>
    </w:p>
    <w:p w14:paraId="6AF62D28" w14:textId="77777777" w:rsidR="00397BDB" w:rsidRDefault="00000000">
      <w:pPr>
        <w:spacing w:after="200"/>
      </w:pPr>
      <w:r>
        <w:t xml:space="preserve">Enter deontology. Kant, or Ross, or the </w:t>
      </w:r>
      <w:proofErr w:type="spellStart"/>
      <w:r>
        <w:t>contractualists</w:t>
      </w:r>
      <w:proofErr w:type="spellEnd"/>
      <w:r>
        <w:t xml:space="preserve">, or the rights theorists—the specific formulation varies, but the structure is consistent. There are </w:t>
      </w:r>
      <w:proofErr w:type="gramStart"/>
      <w:r>
        <w:t>side-constraints</w:t>
      </w:r>
      <w:proofErr w:type="gramEnd"/>
      <w:r>
        <w:t xml:space="preserve">. There are agent-relative duties. There are inviolable rights. One cannot simply aggregate across </w:t>
      </w:r>
      <w:proofErr w:type="gramStart"/>
      <w:r>
        <w:t>persons</w:t>
      </w:r>
      <w:proofErr w:type="gramEnd"/>
      <w:r>
        <w:t xml:space="preserve">. The separateness of </w:t>
      </w:r>
      <w:proofErr w:type="gramStart"/>
      <w:r>
        <w:t>persons</w:t>
      </w:r>
      <w:proofErr w:type="gramEnd"/>
      <w:r>
        <w:t xml:space="preserve"> matters. Certain acts are intrinsically impermissible regardless of their consequences. This is presented as the mature corrective to utilitarian naïveté.</w:t>
      </w:r>
    </w:p>
    <w:p w14:paraId="6AF62D29" w14:textId="77777777" w:rsidR="00397BDB" w:rsidRDefault="00000000">
      <w:pPr>
        <w:spacing w:after="200"/>
      </w:pPr>
      <w:r>
        <w:t>This dialectic is so dominant that even sophisticated consequentialists—Railton, Parfit in certain moods, the indirect utilitarians—spend the bulk of their intellectual energy explaining away the counterexamples rather than embracing them. The burden of proof has effectively shifted. Utilitarianism is the starting point that needs refinement or abandonment; deontology is the destination.</w:t>
      </w:r>
    </w:p>
    <w:p w14:paraId="6AF62D2A" w14:textId="77777777" w:rsidR="00397BDB" w:rsidRDefault="00000000">
      <w:pPr>
        <w:pStyle w:val="Heading1"/>
      </w:pPr>
      <w:r>
        <w:t>2. The Inversion</w:t>
      </w:r>
    </w:p>
    <w:p w14:paraId="6AF62D2B" w14:textId="77777777" w:rsidR="00397BDB" w:rsidRDefault="00000000">
      <w:pPr>
        <w:spacing w:after="200"/>
      </w:pPr>
      <w:r>
        <w:t xml:space="preserve">The thesis of this paper is that the standard dialectic gets the matter exactly backwards. The advertised pathologies of utilitarianism are almost entirely hypothetical. No hospital </w:t>
      </w:r>
      <w:proofErr w:type="gramStart"/>
      <w:r>
        <w:lastRenderedPageBreak/>
        <w:t>administrator has ever</w:t>
      </w:r>
      <w:proofErr w:type="gramEnd"/>
      <w:r>
        <w:t xml:space="preserve"> faced the organ-harvesting scenario. No bystander has ever stood beside a bridge with a conveniently positioned fat man. These are philosophical confections—useful perhaps for isolating </w:t>
      </w:r>
      <w:proofErr w:type="gramStart"/>
      <w:r>
        <w:t>intuitions, but</w:t>
      </w:r>
      <w:proofErr w:type="gramEnd"/>
      <w:r>
        <w:t xml:space="preserve"> bearing no relationship to the actual texture of moral life.</w:t>
      </w:r>
    </w:p>
    <w:p w14:paraId="6AF62D2C" w14:textId="77777777" w:rsidR="00397BDB" w:rsidRDefault="00000000">
      <w:pPr>
        <w:spacing w:after="200"/>
      </w:pPr>
      <w:r>
        <w:t>Meanwhile, deontology as actually deployed in contemporary applied ethics, policy, and institutional discourse generates a different species of absurdity—one that escapes scrutiny precisely because it does not appear dramatically monstrous. It appears, instead, like taking rights seriously. Consider the following examples, none of which are invented.</w:t>
      </w:r>
    </w:p>
    <w:p w14:paraId="6AF62D2D" w14:textId="77777777" w:rsidR="00397BDB" w:rsidRDefault="00000000">
      <w:pPr>
        <w:pStyle w:val="Heading2"/>
      </w:pPr>
      <w:r>
        <w:t>2.1 AI Training and Copyright</w:t>
      </w:r>
    </w:p>
    <w:p w14:paraId="6AF62D2E" w14:textId="77777777" w:rsidR="00397BDB" w:rsidRDefault="00000000">
      <w:pPr>
        <w:spacing w:after="200"/>
      </w:pPr>
      <w:r>
        <w:t xml:space="preserve">A significant movement in contemporary applied ethics contends that large AI companies violate authors' rights by training language models on published works without obtaining explicit consent. Leave aside that these authors wrote with the presumed intention of disseminating their ideas. Leave aside that the training process does not copy or reproduce the </w:t>
      </w:r>
      <w:proofErr w:type="gramStart"/>
      <w:r>
        <w:t>works</w:t>
      </w:r>
      <w:proofErr w:type="gramEnd"/>
      <w:r>
        <w:t xml:space="preserve"> in any legally cognizable sense. The rights-claim is treated as self-evidently weighty—a moral catastrophe on par with the trolley cases—</w:t>
      </w:r>
      <w:proofErr w:type="gramStart"/>
      <w:r>
        <w:t>despite the fact that</w:t>
      </w:r>
      <w:proofErr w:type="gramEnd"/>
      <w:r>
        <w:t xml:space="preserve"> its implementation would paralyze technological development for the sake of, at most, a few signatures on forms and negligible royalty payments.</w:t>
      </w:r>
    </w:p>
    <w:p w14:paraId="6AF62D2F" w14:textId="77777777" w:rsidR="00397BDB" w:rsidRDefault="00000000">
      <w:pPr>
        <w:pStyle w:val="Heading2"/>
      </w:pPr>
      <w:r>
        <w:t>2.2 Medical Ethics and Procedural Scrupulosity</w:t>
      </w:r>
    </w:p>
    <w:p w14:paraId="6AF62D30" w14:textId="77777777" w:rsidR="00397BDB" w:rsidRDefault="00000000">
      <w:pPr>
        <w:spacing w:after="200"/>
      </w:pPr>
      <w:r>
        <w:t xml:space="preserve">Medical ethics has increasingly become a regime of compliance theater and consent-form metaphysics. Physicians are prohibited from </w:t>
      </w:r>
      <w:proofErr w:type="gramStart"/>
      <w:r>
        <w:t>performing procedures—</w:t>
      </w:r>
      <w:proofErr w:type="gramEnd"/>
      <w:r>
        <w:t>procedures that would benefit patients—because the rights of some third party (a secretary who did not see a form, an administrator who did not sign off) would be violated. The patient's welfare, the physician's judgment, the actual medical stakes: these are subordinated to procedural technicalities that have nothing to do with autonomy in any meaningful sense. What matters is that the paperwork is in order. That no one's rights have been technically infringed. The framework has become entirely divorced from the human interests it purports to protect.</w:t>
      </w:r>
    </w:p>
    <w:p w14:paraId="6AF62D31" w14:textId="77777777" w:rsidR="00397BDB" w:rsidRDefault="00000000">
      <w:pPr>
        <w:pStyle w:val="Heading2"/>
      </w:pPr>
      <w:r>
        <w:t>2.3 Antinatalism and the Consent Fetish</w:t>
      </w:r>
    </w:p>
    <w:p w14:paraId="6AF62D32" w14:textId="77777777" w:rsidR="00397BDB" w:rsidRDefault="00000000">
      <w:pPr>
        <w:spacing w:after="200"/>
      </w:pPr>
      <w:r>
        <w:t>Seana Shiffrin, a distinguished philosopher at UCLA, has argued that procreation is morally problematic because it brings a person into existence without that person's consent. The reasoning is as follows: being brought into existence constitutes a drastic change to one's condition; such changes require consent; since the person who will exist cannot consent prior to existing, the right to consent is violated by the very act of procreation. Therefore, people do not have a straightforward right to exist—their existence violates their own right to consent to drastic changes.</w:t>
      </w:r>
    </w:p>
    <w:p w14:paraId="6AF62D33" w14:textId="77777777" w:rsidR="00397BDB" w:rsidRDefault="00000000">
      <w:pPr>
        <w:spacing w:after="200"/>
      </w:pPr>
      <w:r>
        <w:t xml:space="preserve">This is not a fringe position entertained by cranks. Shiffrin is a major figure. The paper is widely cited. The consent-violation framework she employs is taken seriously as a methodology even by those who reject the </w:t>
      </w:r>
      <w:proofErr w:type="spellStart"/>
      <w:r>
        <w:t>antinatalist</w:t>
      </w:r>
      <w:proofErr w:type="spellEnd"/>
      <w:r>
        <w:t xml:space="preserve"> conclusion. But the conclusion is genuinely unhinged—so disconnected from anything recognizably human that it functions as a reductio of the framework that generated it. Yet within the profession, it is treated not as a reductio but as an interesting contribution.</w:t>
      </w:r>
    </w:p>
    <w:p w14:paraId="6AF62D34" w14:textId="77777777" w:rsidR="00397BDB" w:rsidRDefault="00000000">
      <w:pPr>
        <w:pStyle w:val="Heading2"/>
      </w:pPr>
      <w:r>
        <w:t>2.4 Corporate Governance and Democratic Paralysis</w:t>
      </w:r>
    </w:p>
    <w:p w14:paraId="6AF62D35" w14:textId="77777777" w:rsidR="00397BDB" w:rsidRDefault="00000000">
      <w:pPr>
        <w:spacing w:after="200"/>
      </w:pPr>
      <w:r>
        <w:t xml:space="preserve">Christopher McMahon, in his work on corporate capitalism, argues on Rawlsian and deontological grounds that corporations should be democratically run. The reasoning is that </w:t>
      </w:r>
      <w:r>
        <w:lastRenderedPageBreak/>
        <w:t xml:space="preserve">hierarchical corporate structures violate workers' rights—specifically, their right to participate in decisions that affect their lives. This sounds noble in the seminar room. In practice, it would mean oblivion. Not a single lunch box would be produced. The argument treats the existence of productive enterprise as a background condition that will persist regardless of what constraints are imposed upon it. It does not. What prevents McMahon's vision from being implemented is a certain consequentialism on people's </w:t>
      </w:r>
      <w:proofErr w:type="gramStart"/>
      <w:r>
        <w:t>part—a</w:t>
      </w:r>
      <w:proofErr w:type="gramEnd"/>
      <w:r>
        <w:t xml:space="preserve"> tacit recognition that productive activity requires structures incompatible with the demands of deontological purity.</w:t>
      </w:r>
    </w:p>
    <w:p w14:paraId="6AF62D36" w14:textId="77777777" w:rsidR="00397BDB" w:rsidRDefault="00000000">
      <w:pPr>
        <w:pStyle w:val="Heading1"/>
      </w:pPr>
      <w:r>
        <w:t>3. The Asymmetry</w:t>
      </w:r>
    </w:p>
    <w:p w14:paraId="6AF62D37" w14:textId="77777777" w:rsidR="00397BDB" w:rsidRDefault="00000000">
      <w:pPr>
        <w:spacing w:after="200"/>
      </w:pPr>
      <w:r>
        <w:t xml:space="preserve">Notice the </w:t>
      </w:r>
      <w:proofErr w:type="gramStart"/>
      <w:r>
        <w:t>asymmetry</w:t>
      </w:r>
      <w:proofErr w:type="gramEnd"/>
      <w:r>
        <w:t xml:space="preserve">. When consequentialist reasoning is abused—when it licenses callousness, corner-cutting, or </w:t>
      </w:r>
      <w:proofErr w:type="gramStart"/>
      <w:r>
        <w:t>exploitation—</w:t>
      </w:r>
      <w:proofErr w:type="gramEnd"/>
      <w:r>
        <w:t>we recognize the abuse as abuse. We have names for it: cold, calculating, inhumane. The framework does not immunize its pathologies.</w:t>
      </w:r>
    </w:p>
    <w:p w14:paraId="6AF62D38" w14:textId="77777777" w:rsidR="00397BDB" w:rsidRDefault="00000000">
      <w:pPr>
        <w:spacing w:after="200"/>
      </w:pPr>
      <w:r>
        <w:t xml:space="preserve">But when deontological reasoning generates absurdities, they are treated not as pathologies but as discoveries. Shiffrin's antinatalism is not an embarrassment to be explained away; it is a serious contribution that follows rigorously from the premises. McMahon's corporate democracy is not a reductio; it is a bold challenge to capitalist assumptions. The consent-fetishism in medical ethics is not bureaucratic overreach; it is respect for patient autonomy. The AI copyright discourse is not </w:t>
      </w:r>
      <w:proofErr w:type="gramStart"/>
      <w:r>
        <w:t>rent-seeking</w:t>
      </w:r>
      <w:proofErr w:type="gramEnd"/>
      <w:r>
        <w:t xml:space="preserve"> dressed in principle; it </w:t>
      </w:r>
      <w:proofErr w:type="gramStart"/>
      <w:r>
        <w:t>is standing</w:t>
      </w:r>
      <w:proofErr w:type="gramEnd"/>
      <w:r>
        <w:t xml:space="preserve"> up for creators' rights.</w:t>
      </w:r>
    </w:p>
    <w:p w14:paraId="6AF62D39" w14:textId="77777777" w:rsidR="00397BDB" w:rsidRDefault="00000000">
      <w:pPr>
        <w:spacing w:after="200"/>
      </w:pPr>
      <w:r>
        <w:t>The framework immunizes its own pathologies by dressing them in the language of rights and dignity. Consequences be damned—literally. The entire point of deontology, as advertised, is that consequences do not justify violations of rights. This means that no matter how absurd, how destructive, how disconnected from human flourishing a conclusion may be, it cannot be rejected on those grounds. If the framework entails it, and the framework is correct, then the conclusion stands.</w:t>
      </w:r>
    </w:p>
    <w:p w14:paraId="6AF62D3A" w14:textId="77777777" w:rsidR="00397BDB" w:rsidRDefault="00000000">
      <w:pPr>
        <w:pStyle w:val="Heading1"/>
      </w:pPr>
      <w:r>
        <w:t>4. The Psychological Mechanism</w:t>
      </w:r>
    </w:p>
    <w:p w14:paraId="6AF62D3B" w14:textId="77777777" w:rsidR="00397BDB" w:rsidRDefault="00000000">
      <w:pPr>
        <w:spacing w:after="200"/>
      </w:pPr>
      <w:r>
        <w:t>What explains this pattern? Several psychological mechanisms suggest themselves, but one stands out as primary: resentment dressed as principle.</w:t>
      </w:r>
    </w:p>
    <w:p w14:paraId="6AF62D3C" w14:textId="77777777" w:rsidR="00397BDB" w:rsidRDefault="00000000">
      <w:pPr>
        <w:spacing w:after="200"/>
      </w:pPr>
      <w:r>
        <w:t xml:space="preserve">Much of the consent-fetishism and rights-talk described above functions, in practice, as a veto. People who cannot build anything, cannot produce anything, cannot create value—they can still block. They can still object. They can still demand that processes be halted pending further review. Deontological frameworks provide an infinite supply of such objections. Every productive activity involves someone doing something that affects someone else without explicit consent, without perfect procedural compliance, without satisfying every possible </w:t>
      </w:r>
      <w:proofErr w:type="gramStart"/>
      <w:r>
        <w:t>rights-claim</w:t>
      </w:r>
      <w:proofErr w:type="gramEnd"/>
      <w:r>
        <w:t xml:space="preserve"> that could be constructed after the fact.</w:t>
      </w:r>
    </w:p>
    <w:p w14:paraId="6AF62D3D" w14:textId="77777777" w:rsidR="00397BDB" w:rsidRDefault="00000000">
      <w:pPr>
        <w:spacing w:after="200"/>
      </w:pPr>
      <w:r>
        <w:t>This is power for people who would otherwise have none. The person who cannot make anything can still matter. They can find the rights violation. They can publish the paper. They can sit on the ethics board. They can file the objection. They can demand the process. The veto is their vocation. The objection is their identity. The rights-claim is the only available weapon for people who cannot do anything, will not do anything, and resent those who can and will.</w:t>
      </w:r>
    </w:p>
    <w:p w14:paraId="6AF62D3E" w14:textId="77777777" w:rsidR="00397BDB" w:rsidRDefault="00000000">
      <w:pPr>
        <w:spacing w:after="200"/>
      </w:pPr>
      <w:r>
        <w:t xml:space="preserve">And because the move is dressed in the language of rights and dignity and respect for </w:t>
      </w:r>
      <w:proofErr w:type="gramStart"/>
      <w:r>
        <w:t>persons</w:t>
      </w:r>
      <w:proofErr w:type="gramEnd"/>
      <w:r>
        <w:t xml:space="preserve">, it is almost impossible to oppose without appearing to be against those things. The </w:t>
      </w:r>
      <w:r>
        <w:lastRenderedPageBreak/>
        <w:t xml:space="preserve">philosophical </w:t>
      </w:r>
      <w:proofErr w:type="gramStart"/>
      <w:r>
        <w:t>apparatus—</w:t>
      </w:r>
      <w:proofErr w:type="gramEnd"/>
      <w:r>
        <w:t xml:space="preserve">the Kant exegesis, the trolley variations, the consent literature, the Rawlsian constructions—provides the pedigree. It lets the resentment speak </w:t>
      </w:r>
      <w:proofErr w:type="gramStart"/>
      <w:r>
        <w:t>in</w:t>
      </w:r>
      <w:proofErr w:type="gramEnd"/>
      <w:r>
        <w:t xml:space="preserve"> a register that commands institutional deference.</w:t>
      </w:r>
    </w:p>
    <w:p w14:paraId="6AF62D3F" w14:textId="77777777" w:rsidR="00397BDB" w:rsidRDefault="00000000">
      <w:pPr>
        <w:pStyle w:val="Heading1"/>
      </w:pPr>
      <w:r>
        <w:t>5. The Absence of Shame</w:t>
      </w:r>
    </w:p>
    <w:p w14:paraId="6AF62D40" w14:textId="77777777" w:rsidR="00397BDB" w:rsidRDefault="00000000">
      <w:pPr>
        <w:spacing w:after="200"/>
      </w:pPr>
      <w:r>
        <w:t>A person with intellectual integrity, confronted with the realization that their framework generates absurdities, would feel embarrassment. They would revise. They would at minimum acknowledge the tension. That is what intellectual honesty requires.</w:t>
      </w:r>
    </w:p>
    <w:p w14:paraId="6AF62D41" w14:textId="77777777" w:rsidR="00397BDB" w:rsidRDefault="00000000">
      <w:pPr>
        <w:spacing w:after="200"/>
      </w:pPr>
      <w:r>
        <w:t xml:space="preserve">But there is no embarrassment in the cases described. Shiffrin publishes </w:t>
      </w:r>
      <w:proofErr w:type="gramStart"/>
      <w:r>
        <w:t>the</w:t>
      </w:r>
      <w:proofErr w:type="gramEnd"/>
      <w:r>
        <w:t xml:space="preserve"> antinatalism paper and it is treated as a contribution. McMahon publishes the corporate democracy </w:t>
      </w:r>
      <w:proofErr w:type="gramStart"/>
      <w:r>
        <w:t>argument</w:t>
      </w:r>
      <w:proofErr w:type="gramEnd"/>
      <w:r>
        <w:t xml:space="preserve"> and it is reviewed respectfully. The AI copyright advocates make their claims and get invited to panels. Nobody is ashamed. Nobody says, "Wait, if my framework leads here, maybe something is wrong with my framework."</w:t>
      </w:r>
    </w:p>
    <w:p w14:paraId="6AF62D42" w14:textId="77777777" w:rsidR="00397BDB" w:rsidRDefault="00000000">
      <w:pPr>
        <w:spacing w:after="200"/>
      </w:pPr>
      <w:r>
        <w:t>This absence of shame is diagnostic. A normal person reasoning in good faith hits a reductio and flinches. They feel the pull of "this can't be right." The people described above do not flinch. They publish.</w:t>
      </w:r>
    </w:p>
    <w:p w14:paraId="6AF62D43" w14:textId="77777777" w:rsidR="00397BDB" w:rsidRDefault="00000000">
      <w:pPr>
        <w:spacing w:after="200"/>
      </w:pPr>
      <w:r>
        <w:t xml:space="preserve">Which means one of two things. Either they are so captured by the framework that they cannot see the absurdity—in which case they lack basic cognitive function—or they see it and do not care because the veto-power is the point—in which case they lack basic moral function. Either way, we are not dealing with intellectual error. We are dealing with a character defect. The framework did not make them this way. They found the framework because it </w:t>
      </w:r>
      <w:proofErr w:type="gramStart"/>
      <w:r>
        <w:t>fit</w:t>
      </w:r>
      <w:proofErr w:type="gramEnd"/>
      <w:r>
        <w:t xml:space="preserve"> what they already were.</w:t>
      </w:r>
    </w:p>
    <w:p w14:paraId="6AF62D44" w14:textId="77777777" w:rsidR="00397BDB" w:rsidRDefault="00000000">
      <w:pPr>
        <w:pStyle w:val="Heading1"/>
      </w:pPr>
      <w:r>
        <w:t>6. Conclusion</w:t>
      </w:r>
    </w:p>
    <w:p w14:paraId="6AF62D45" w14:textId="77777777" w:rsidR="00397BDB" w:rsidRDefault="00000000">
      <w:pPr>
        <w:spacing w:after="200"/>
      </w:pPr>
      <w:r>
        <w:t xml:space="preserve">The standard dialectic in analytic ethics presents deontology as the bulwark against utilitarian monstrosity. Do not harvest organs. Do not push fat men off bridges. Do not kill mother to benefit strangers. Respect rights. Honor the separateness of </w:t>
      </w:r>
      <w:proofErr w:type="gramStart"/>
      <w:r>
        <w:t>persons</w:t>
      </w:r>
      <w:proofErr w:type="gramEnd"/>
      <w:r>
        <w:t>.</w:t>
      </w:r>
    </w:p>
    <w:p w14:paraId="6AF62D46" w14:textId="77777777" w:rsidR="00397BDB" w:rsidRDefault="00000000">
      <w:pPr>
        <w:spacing w:after="200"/>
      </w:pPr>
      <w:r>
        <w:t>This paper has argued that the real-world manifestation of deontological reasoning bears no resemblance to this noble advertisement. What we get instead is: paralysis via procedural scrupulosity, rights-talk weaponized for rent-seeking, and philosophical conclusions that are genuinely unhinged but treated as serious contributions because they follow "the rules."</w:t>
      </w:r>
    </w:p>
    <w:p w14:paraId="6AF62D47" w14:textId="77777777" w:rsidR="00397BDB" w:rsidRDefault="00000000">
      <w:pPr>
        <w:spacing w:after="200"/>
      </w:pPr>
      <w:r>
        <w:t>Consequentialism can go wrong. But deontology, as institutionally practiced, is the wrong. It is a power move—a power move of the powerless and the spineless—and that is all it is.</w:t>
      </w:r>
    </w:p>
    <w:p w14:paraId="6AF62D48" w14:textId="77777777" w:rsidR="00397BDB" w:rsidRDefault="00000000">
      <w:pPr>
        <w:spacing w:after="200"/>
      </w:pPr>
      <w:r>
        <w:t xml:space="preserve">Strip away the philosophical scaffolding and what remains is: "You can't do that." Not because of consequences. Not because of genuine harm. But because I said </w:t>
      </w:r>
      <w:proofErr w:type="gramStart"/>
      <w:r>
        <w:t>so, and</w:t>
      </w:r>
      <w:proofErr w:type="gramEnd"/>
      <w:r>
        <w:t xml:space="preserve"> I have found a framework that lets "I said so" sound like moral philosophy.</w:t>
      </w:r>
    </w:p>
    <w:sectPr w:rsidR="00397BD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543"/>
    <w:multiLevelType w:val="hybridMultilevel"/>
    <w:tmpl w:val="E8E8BA5C"/>
    <w:lvl w:ilvl="0" w:tplc="FBEAFB34">
      <w:start w:val="1"/>
      <w:numFmt w:val="bullet"/>
      <w:lvlText w:val="●"/>
      <w:lvlJc w:val="left"/>
      <w:pPr>
        <w:ind w:left="720" w:hanging="360"/>
      </w:pPr>
    </w:lvl>
    <w:lvl w:ilvl="1" w:tplc="A42E00C8">
      <w:start w:val="1"/>
      <w:numFmt w:val="bullet"/>
      <w:lvlText w:val="○"/>
      <w:lvlJc w:val="left"/>
      <w:pPr>
        <w:ind w:left="1440" w:hanging="360"/>
      </w:pPr>
    </w:lvl>
    <w:lvl w:ilvl="2" w:tplc="69960732">
      <w:start w:val="1"/>
      <w:numFmt w:val="bullet"/>
      <w:lvlText w:val="■"/>
      <w:lvlJc w:val="left"/>
      <w:pPr>
        <w:ind w:left="2160" w:hanging="360"/>
      </w:pPr>
    </w:lvl>
    <w:lvl w:ilvl="3" w:tplc="829055CC">
      <w:start w:val="1"/>
      <w:numFmt w:val="bullet"/>
      <w:lvlText w:val="●"/>
      <w:lvlJc w:val="left"/>
      <w:pPr>
        <w:ind w:left="2880" w:hanging="360"/>
      </w:pPr>
    </w:lvl>
    <w:lvl w:ilvl="4" w:tplc="F0D0F612">
      <w:start w:val="1"/>
      <w:numFmt w:val="bullet"/>
      <w:lvlText w:val="○"/>
      <w:lvlJc w:val="left"/>
      <w:pPr>
        <w:ind w:left="3600" w:hanging="360"/>
      </w:pPr>
    </w:lvl>
    <w:lvl w:ilvl="5" w:tplc="A5285ECC">
      <w:start w:val="1"/>
      <w:numFmt w:val="bullet"/>
      <w:lvlText w:val="■"/>
      <w:lvlJc w:val="left"/>
      <w:pPr>
        <w:ind w:left="4320" w:hanging="360"/>
      </w:pPr>
    </w:lvl>
    <w:lvl w:ilvl="6" w:tplc="137CD21A">
      <w:start w:val="1"/>
      <w:numFmt w:val="bullet"/>
      <w:lvlText w:val="●"/>
      <w:lvlJc w:val="left"/>
      <w:pPr>
        <w:ind w:left="5040" w:hanging="360"/>
      </w:pPr>
    </w:lvl>
    <w:lvl w:ilvl="7" w:tplc="DC181124">
      <w:start w:val="1"/>
      <w:numFmt w:val="bullet"/>
      <w:lvlText w:val="●"/>
      <w:lvlJc w:val="left"/>
      <w:pPr>
        <w:ind w:left="5760" w:hanging="360"/>
      </w:pPr>
    </w:lvl>
    <w:lvl w:ilvl="8" w:tplc="F1D64088">
      <w:start w:val="1"/>
      <w:numFmt w:val="bullet"/>
      <w:lvlText w:val="●"/>
      <w:lvlJc w:val="left"/>
      <w:pPr>
        <w:ind w:left="6480" w:hanging="360"/>
      </w:pPr>
    </w:lvl>
  </w:abstractNum>
  <w:num w:numId="1" w16cid:durableId="800264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BDB"/>
    <w:rsid w:val="000F57A4"/>
    <w:rsid w:val="00397BDB"/>
    <w:rsid w:val="003A7BEE"/>
    <w:rsid w:val="00CC1EA6"/>
    <w:rsid w:val="00F75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2D21"/>
  <w15:docId w15:val="{61579B0C-C316-44DB-A424-FF874810B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6"/>
      <w:szCs w:val="26"/>
    </w:rPr>
  </w:style>
  <w:style w:type="paragraph" w:styleId="Heading2">
    <w:name w:val="heading 2"/>
    <w:uiPriority w:val="9"/>
    <w:unhideWhenUsed/>
    <w:qFormat/>
    <w:pPr>
      <w:spacing w:before="240" w:after="120"/>
      <w:outlineLvl w:val="1"/>
    </w:pPr>
    <w:rPr>
      <w:b/>
      <w:bCs/>
      <w:i/>
      <w:i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Abstract">
    <w:name w:val="Abstract"/>
    <w:pPr>
      <w:spacing w:after="240"/>
      <w:ind w:left="720" w:right="72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1884</Words>
  <Characters>10890</Characters>
  <Application>Microsoft Office Word</Application>
  <DocSecurity>0</DocSecurity>
  <Lines>163</Lines>
  <Paragraphs>39</Paragraphs>
  <ScaleCrop>false</ScaleCrop>
  <Company/>
  <LinksUpToDate>false</LinksUpToDate>
  <CharactersWithSpaces>12708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JM Kuczynski</cp:lastModifiedBy>
  <cp:revision>3</cp:revision>
  <dcterms:created xsi:type="dcterms:W3CDTF">2025-12-22T12:09:00Z</dcterms:created>
  <dcterms:modified xsi:type="dcterms:W3CDTF">2025-12-22T12:10:00Z</dcterms:modified>
</cp:coreProperties>
</file>