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720"/>
        <w:jc w:val="center"/>
      </w:pPr>
      <w:r>
        <w:rPr>
          <w:rFonts w:ascii="Times New Roman" w:cs="Times New Roman" w:eastAsia="Times New Roman" w:hAnsi="Times New Roman"/>
          <w:b/>
          <w:bCs/>
          <w:sz w:val="32"/>
          <w:szCs w:val="32"/>
        </w:rPr>
        <w:t xml:space="preserve">Contextualism, Pragmatic Encroachment, and the Rational Promotion of Framework Belief</w:t>
      </w:r>
    </w:p>
    <w:p>
      <w:pPr>
        <w:spacing w:after="120" w:before="120"/>
        <w:jc w:val="center"/>
      </w:pPr>
      <w:r>
        <w:rPr>
          <w:rFonts w:ascii="Times New Roman" w:cs="Times New Roman" w:eastAsia="Times New Roman" w:hAnsi="Times New Roman"/>
          <w:i/>
          <w:iCs/>
          <w:sz w:val="24"/>
          <w:szCs w:val="24"/>
        </w:rPr>
        <w:t xml:space="preserve">John-Michael Kuczynski</w:t>
      </w:r>
    </w:p>
    <w:p>
      <w:pPr>
        <w:spacing w:after="480" w:before="0"/>
        <w:jc w:val="center"/>
      </w:pPr>
      <w:r>
        <w:rPr>
          <w:rFonts w:ascii="Times New Roman" w:cs="Times New Roman" w:eastAsia="Times New Roman" w:hAnsi="Times New Roman"/>
          <w:sz w:val="24"/>
          <w:szCs w:val="24"/>
        </w:rPr>
        <w:t xml:space="preserve">Zhi Systems</w:t>
      </w:r>
    </w:p>
    <w:p>
      <w:pPr>
        <w:spacing w:after="120" w:before="0"/>
        <w:jc w:val="left"/>
      </w:pPr>
      <w:r>
        <w:rPr>
          <w:rFonts w:ascii="Times New Roman" w:cs="Times New Roman" w:eastAsia="Times New Roman" w:hAnsi="Times New Roman"/>
          <w:b/>
          <w:bCs/>
          <w:sz w:val="24"/>
          <w:szCs w:val="24"/>
        </w:rPr>
        <w:t xml:space="preserve">Abstract</w:t>
      </w:r>
    </w:p>
    <w:p>
      <w:pPr>
        <w:spacing w:after="480" w:before="0"/>
        <w:ind w:left="720" w:right="720"/>
        <w:jc w:val="both"/>
      </w:pPr>
      <w:r>
        <w:rPr>
          <w:rFonts w:ascii="Times New Roman" w:cs="Times New Roman" w:eastAsia="Times New Roman" w:hAnsi="Times New Roman"/>
          <w:sz w:val="22"/>
          <w:szCs w:val="22"/>
        </w:rPr>
        <w:t xml:space="preserve">This paper examines two prominent responses to the stakes-sensitivity of knowledge attributions: contextualism and pragmatic encroachment. It argues that contextualism, properly understood, is a doctrine in the philosophy of language rather than epistemology proper, and that its claim to epistemological significance rests on an equivocation between facts about the word 'knows' and facts about knowledge itself. Pragmatic encroachment, as developed by Fantl, McGrath, Hawthorne, and Stanley, is a more substantive position, but it suffers from three independent objections: it provides no traction against the Cartesian skeptic, it is falsified by cases in which rational action and knowledge come apart in the wrong direction, and it fails to accommodate purely theoretical knowledge. The paper concludes by articulating a positive proposal — the rational promotion of high-credence beliefs to framework status — which captures what is genuinely true in the pragmatist tradition while avoiding the deficiencies of both contextualism and standard pragmatic encroachment accounts.</w:t>
      </w:r>
    </w:p>
    <w:p>
      <w:pPr>
        <w:pStyle w:val="Heading1"/>
      </w:pPr>
      <w:r>
        <w:rPr>
          <w:rFonts w:ascii="Times New Roman" w:cs="Times New Roman" w:eastAsia="Times New Roman" w:hAnsi="Times New Roman"/>
          <w:b/>
          <w:bCs/>
          <w:sz w:val="28"/>
          <w:szCs w:val="28"/>
        </w:rPr>
        <w:t xml:space="preserve">1. Introduction</w:t>
      </w:r>
    </w:p>
    <w:p>
      <w:pPr>
        <w:spacing w:after="240" w:before="0"/>
        <w:jc w:val="both"/>
      </w:pPr>
      <w:r>
        <w:rPr>
          <w:rFonts w:ascii="Times New Roman" w:cs="Times New Roman" w:eastAsia="Times New Roman" w:hAnsi="Times New Roman"/>
          <w:sz w:val="24"/>
          <w:szCs w:val="24"/>
        </w:rPr>
        <w:t xml:space="preserve">It is a familiar observation that the standards governing knowledge attributions appear to shift with context. When the stakes are low, we are prepared to say that someone knows something on the basis of evidence that would seem insufficient if the stakes were raised. This observation has generated two importantly different theoretical responses. Contextualists hold that 'knows' is a context-sensitive expression whose truth-conditions vary with the attributor's conversational situation. Advocates of pragmatic encroachment hold that the epistemic facts themselves — not merely how we talk about them — are sensitive to the practical interests of the knowing subject.</w:t>
      </w:r>
    </w:p>
    <w:p>
      <w:pPr>
        <w:spacing w:after="240" w:before="0"/>
        <w:jc w:val="both"/>
      </w:pPr>
      <w:r>
        <w:rPr>
          <w:rFonts w:ascii="Times New Roman" w:cs="Times New Roman" w:eastAsia="Times New Roman" w:hAnsi="Times New Roman"/>
          <w:sz w:val="24"/>
          <w:szCs w:val="24"/>
        </w:rPr>
        <w:t xml:space="preserve">Neither position is satisfactory. Contextualism, this paper argues, is not an epistemological doctrine at all. Pragmatic encroachment is a genuine epistemological proposal, but it fails on multiple fronts. The paper develops a third position: that rational agency requires the promotion of certain high-credence beliefs from live Bayesian hypotheses to operative framework commitments, and that this promotion — not stakes-sensitivity in the decision-theoretic sense — is what the pragmatist tradition in epistemology has been gesturing at, imprecisely, all along.</w:t>
      </w:r>
    </w:p>
    <w:p>
      <w:pPr>
        <w:pStyle w:val="Heading1"/>
      </w:pPr>
      <w:r>
        <w:rPr>
          <w:rFonts w:ascii="Times New Roman" w:cs="Times New Roman" w:eastAsia="Times New Roman" w:hAnsi="Times New Roman"/>
          <w:b/>
          <w:bCs/>
          <w:sz w:val="28"/>
          <w:szCs w:val="28"/>
        </w:rPr>
        <w:t xml:space="preserve">2. Contextualism: A Misclassified Doctrine</w:t>
      </w:r>
    </w:p>
    <w:p>
      <w:pPr>
        <w:spacing w:after="240" w:before="0"/>
        <w:jc w:val="both"/>
      </w:pPr>
      <w:r>
        <w:rPr>
          <w:rFonts w:ascii="Times New Roman" w:cs="Times New Roman" w:eastAsia="Times New Roman" w:hAnsi="Times New Roman"/>
          <w:sz w:val="24"/>
          <w:szCs w:val="24"/>
        </w:rPr>
        <w:t xml:space="preserve">Contextualism about knowledge attributions, as developed by DeRose, Cohen, and Lewis, holds that the word 'knows' behaves like a gradable or context-sensitive predicate: just as 'flat' picks out different properties depending on what contrasts are salient in the conversational context, 'knows' picks out different epistemic relations depending on what error-possibilities are salient to the attributor.</w:t>
      </w:r>
      <w:r>
        <w:rPr>
          <w:rStyle w:val="FootnoteReference"/>
        </w:rPr>
        <w:footnoteReference w:id="1"/>
      </w:r>
      <w:r>
        <w:rPr>
          <w:rFonts w:ascii="Times New Roman" w:cs="Times New Roman" w:eastAsia="Times New Roman" w:hAnsi="Times New Roman"/>
          <w:sz w:val="24"/>
          <w:szCs w:val="24"/>
        </w:rPr>
        <w:t xml:space="preserve"> On DeRose's canonical bank case, a speaker who truly says 'I know the bank is open on Saturday' in a low-stakes context does not contradict a speaker who truly says 'I don't know the bank is open on Saturday' in a high-stakes context. Both utterances are true, because 'knows' expresses a different relation in each conversational setting.</w:t>
      </w:r>
      <w:r>
        <w:rPr>
          <w:rStyle w:val="FootnoteReference"/>
        </w:rPr>
        <w:footnoteReference w:id="2"/>
      </w:r>
    </w:p>
    <w:p>
      <w:pPr>
        <w:spacing w:after="240" w:before="0"/>
        <w:jc w:val="both"/>
      </w:pPr>
      <w:r>
        <w:rPr>
          <w:rFonts w:ascii="Times New Roman" w:cs="Times New Roman" w:eastAsia="Times New Roman" w:hAnsi="Times New Roman"/>
          <w:sz w:val="24"/>
          <w:szCs w:val="24"/>
        </w:rPr>
        <w:t xml:space="preserve">This is an interesting observation about English, and perhaps about natural language semantics generally.</w:t>
      </w:r>
      <w:r>
        <w:rPr>
          <w:rStyle w:val="FootnoteReference"/>
        </w:rPr>
        <w:footnoteReference w:id="3"/>
      </w:r>
      <w:r>
        <w:rPr>
          <w:rFonts w:ascii="Times New Roman" w:cs="Times New Roman" w:eastAsia="Times New Roman" w:hAnsi="Times New Roman"/>
          <w:sz w:val="24"/>
          <w:szCs w:val="24"/>
        </w:rPr>
        <w:t xml:space="preserve"> It is not, however, an epistemological doctrine. The test is straightforward: does the thesis have any revisionary implications for first-order epistemic questions? Does it tell us what we know, how knowledge is acquired, what distinguishes reliable from unreliable belief-forming processes, or what the proper structure of epistemic justification is? It does not. Contextualism leaves every substantive epistemological question exactly where it found it. What it offers is a diagnosis of certain patterns in our use of the word 'knows' — a contribution to the philosophy of language, and a modest one at that, since context-sensitivity is a pervasive and well-understood feature of natural language predicates.</w:t>
      </w:r>
    </w:p>
    <w:p>
      <w:pPr>
        <w:spacing w:after="240" w:before="0"/>
        <w:jc w:val="both"/>
      </w:pPr>
      <w:r>
        <w:rPr>
          <w:rFonts w:ascii="Times New Roman" w:cs="Times New Roman" w:eastAsia="Times New Roman" w:hAnsi="Times New Roman"/>
          <w:sz w:val="24"/>
          <w:szCs w:val="24"/>
        </w:rPr>
        <w:t xml:space="preserve">The misclassification of contextualism as an epistemological position is not a trivial error. It generates the illusion that a semantically motivated thesis about conversational standards has bearing on the traditional epistemological problems — skepticism, the analysis of knowledge, the structure of justification — when in fact it has none. The skeptic, for instance, is not making a claim about the word 'knows.' The skeptic is making a claim about whether human beings stand in the epistemic relation that 'knows' (at some contextually specified standard) expresses. Showing that 'knows' is context-sensitive does nothing to address that claim. Contextualism does not solve the skeptical problem; it merely relocates the vocabulary in which the problem is stated.</w:t>
      </w:r>
    </w:p>
    <w:p>
      <w:pPr>
        <w:spacing w:after="240" w:before="0"/>
        <w:jc w:val="both"/>
      </w:pPr>
      <w:r>
        <w:rPr>
          <w:rFonts w:ascii="Times New Roman" w:cs="Times New Roman" w:eastAsia="Times New Roman" w:hAnsi="Times New Roman"/>
          <w:sz w:val="24"/>
          <w:szCs w:val="24"/>
        </w:rPr>
        <w:t xml:space="preserve">It is a striking sociological fact that contextualism occupied a central position in professional epistemology for three decades. This longevity reflects the discipline's susceptibility to a particular kind of pseudo-profundity: the analysis of linguistic behavior dressed up as metaphysical discovery. The contextualist literature is sophisticated, technically accomplished, and almost entirely beside the point of what epistemology is supposed to be doing.</w:t>
      </w:r>
    </w:p>
    <w:p>
      <w:pPr>
        <w:pStyle w:val="Heading1"/>
      </w:pPr>
      <w:r>
        <w:rPr>
          <w:rFonts w:ascii="Times New Roman" w:cs="Times New Roman" w:eastAsia="Times New Roman" w:hAnsi="Times New Roman"/>
          <w:b/>
          <w:bCs/>
          <w:sz w:val="28"/>
          <w:szCs w:val="28"/>
        </w:rPr>
        <w:t xml:space="preserve">3. Pragmatic Encroachment: The Position and Its Appeal</w:t>
      </w:r>
    </w:p>
    <w:p>
      <w:pPr>
        <w:spacing w:after="240" w:before="0"/>
        <w:jc w:val="both"/>
      </w:pPr>
      <w:r>
        <w:rPr>
          <w:rFonts w:ascii="Times New Roman" w:cs="Times New Roman" w:eastAsia="Times New Roman" w:hAnsi="Times New Roman"/>
          <w:sz w:val="24"/>
          <w:szCs w:val="24"/>
        </w:rPr>
        <w:t xml:space="preserve">Pragmatic encroachment — developed under various labels by Hawthorne, Stanley, and Fantl and McGrath — is a genuinely epistemological thesis.</w:t>
      </w:r>
      <w:r>
        <w:rPr>
          <w:rStyle w:val="FootnoteReference"/>
        </w:rPr>
        <w:footnoteReference w:id="4"/>
      </w:r>
      <w:r>
        <w:rPr>
          <w:rFonts w:ascii="Times New Roman" w:cs="Times New Roman" w:eastAsia="Times New Roman" w:hAnsi="Times New Roman"/>
          <w:sz w:val="24"/>
          <w:szCs w:val="24"/>
        </w:rPr>
        <w:t xml:space="preserve"> Unlike contextualism, it does not locate stakes-sensitivity in the semantics of the knowledge-attributing expression. It locates it in the epistemic facts themselves. On this view, whether a subject actually knows a proposition is partly determined by her practical situation — specifically, by what is at stake in acting on that proposition. The same evidence that constitutes knowledge when the stakes are low may fail to constitute knowledge when the stakes are high, not because 'knows' means something different in the two cases, but because the subject's epistemic position is genuinely different.</w:t>
      </w:r>
    </w:p>
    <w:p>
      <w:pPr>
        <w:spacing w:after="240" w:before="0"/>
        <w:jc w:val="both"/>
      </w:pPr>
      <w:r>
        <w:rPr>
          <w:rFonts w:ascii="Times New Roman" w:cs="Times New Roman" w:eastAsia="Times New Roman" w:hAnsi="Times New Roman"/>
          <w:sz w:val="24"/>
          <w:szCs w:val="24"/>
        </w:rPr>
        <w:t xml:space="preserve">Fantl and McGrath state the core commitment with admirable directness: S knows that p only if S is rational to act as if p.</w:t>
      </w:r>
      <w:r>
        <w:rPr>
          <w:rStyle w:val="FootnoteReference"/>
        </w:rPr>
        <w:footnoteReference w:id="5"/>
      </w:r>
      <w:r>
        <w:rPr>
          <w:rStyle w:val="FootnoteReference"/>
        </w:rPr>
        <w:footnoteReference w:id="6"/>
      </w:r>
      <w:r>
        <w:rPr>
          <w:rFonts w:ascii="Times New Roman" w:cs="Times New Roman" w:eastAsia="Times New Roman" w:hAnsi="Times New Roman"/>
          <w:sz w:val="24"/>
          <w:szCs w:val="24"/>
        </w:rPr>
        <w:t xml:space="preserve"> This act-condition is presented as a necessary condition on knowledge, not merely on knowledge-attribution. The practical stakes determine whether one's evidence is sufficient to make action on p rational; when they outrun one's evidence, one does not know, regardless of how strong that evidence is by some absolute measure.</w:t>
      </w:r>
    </w:p>
    <w:p>
      <w:pPr>
        <w:spacing w:after="240" w:before="0"/>
        <w:jc w:val="both"/>
      </w:pPr>
      <w:r>
        <w:rPr>
          <w:rFonts w:ascii="Times New Roman" w:cs="Times New Roman" w:eastAsia="Times New Roman" w:hAnsi="Times New Roman"/>
          <w:sz w:val="24"/>
          <w:szCs w:val="24"/>
        </w:rPr>
        <w:t xml:space="preserve">The appeal of this position is clear. It explains, without semantic gymnastics, why we are reluctant to say that a surgeon 'knows' that a procedure is safe when one wrong move will be catastrophic, even if her evidence would satisfy us in a lower-stakes context. It connects epistemology to rational agency in a principled way, rather than treating knowledge as a purely theoretical relationship between minds and propositions that happens to have practical implications. And it avoids the implausible asymmetry that afflicts contextualism, on which a detached third-party observer can truly say 'she knows' while the subject truly says 'I don't know' — a situation that seems to violate the most basic intuitions about the objectivity of knowledge.</w:t>
      </w:r>
    </w:p>
    <w:p>
      <w:pPr>
        <w:pStyle w:val="Heading1"/>
      </w:pPr>
      <w:r>
        <w:rPr>
          <w:rFonts w:ascii="Times New Roman" w:cs="Times New Roman" w:eastAsia="Times New Roman" w:hAnsi="Times New Roman"/>
          <w:b/>
          <w:bCs/>
          <w:sz w:val="28"/>
          <w:szCs w:val="28"/>
        </w:rPr>
        <w:t xml:space="preserve">4. Three Objections to Pragmatic Encroachment</w:t>
      </w:r>
    </w:p>
    <w:p>
      <w:pPr>
        <w:pStyle w:val="Heading2"/>
      </w:pPr>
      <w:r>
        <w:rPr>
          <w:rFonts w:ascii="Times New Roman" w:cs="Times New Roman" w:eastAsia="Times New Roman" w:hAnsi="Times New Roman"/>
          <w:b/>
          <w:bCs/>
          <w:sz w:val="24"/>
          <w:szCs w:val="24"/>
        </w:rPr>
        <w:t xml:space="preserve">4.1 The Skeptical Objection</w:t>
      </w:r>
    </w:p>
    <w:p>
      <w:pPr>
        <w:spacing w:after="240" w:before="0"/>
        <w:jc w:val="both"/>
      </w:pPr>
      <w:r>
        <w:rPr>
          <w:rFonts w:ascii="Times New Roman" w:cs="Times New Roman" w:eastAsia="Times New Roman" w:hAnsi="Times New Roman"/>
          <w:sz w:val="24"/>
          <w:szCs w:val="24"/>
        </w:rPr>
        <w:t xml:space="preserve">If pragmatic encroachment is to bear anti-skeptical weight — if it is to explain how, despite the apparent possibility of pervasive error, we genuinely know the things we ordinarily take ourselves to know — it fails entirely. The Cartesian skeptic is not questioning whether the subject's evidence clears a stakes-relative bar. The skeptic is questioning whether the subject has any substantive epistemic access to an external world at all. Pragmatic encroachment is wholly internal to the framework of rational agency: it presupposes that rational action is a going concern and asks what epistemic conditions must be satisfied for action on a given proposition to count as rational. This presupposition is precisely what the skeptic denies.</w:t>
      </w:r>
    </w:p>
    <w:p>
      <w:pPr>
        <w:spacing w:after="240" w:before="0"/>
        <w:jc w:val="both"/>
      </w:pPr>
      <w:r>
        <w:rPr>
          <w:rFonts w:ascii="Times New Roman" w:cs="Times New Roman" w:eastAsia="Times New Roman" w:hAnsi="Times New Roman"/>
          <w:sz w:val="24"/>
          <w:szCs w:val="24"/>
        </w:rPr>
        <w:t xml:space="preserve">Moore, Wittgenstein, and Peirce all developed anti-skeptical strategies that engage the skeptic at the appropriate level — questioning the coherence of the skeptical challenge itself, or identifying the framework commitments that make inquiry possible, or arguing that genuine doubt requires specific grounds rather than abstract possibility.</w:t>
      </w:r>
      <w:r>
        <w:rPr>
          <w:rStyle w:val="FootnoteReference"/>
        </w:rPr>
        <w:footnoteReference w:id="7"/>
      </w:r>
      <w:r>
        <w:rPr>
          <w:rStyle w:val="FootnoteReference"/>
        </w:rPr>
        <w:footnoteReference w:id="8"/>
      </w:r>
      <w:r>
        <w:rPr>
          <w:rStyle w:val="FootnoteReference"/>
        </w:rPr>
        <w:footnoteReference w:id="12"/>
      </w:r>
      <w:r>
        <w:rPr>
          <w:rFonts w:ascii="Times New Roman" w:cs="Times New Roman" w:eastAsia="Times New Roman" w:hAnsi="Times New Roman"/>
          <w:sz w:val="24"/>
          <w:szCs w:val="24"/>
        </w:rPr>
        <w:t xml:space="preserve"> Pragmatic encroachment does none of this. As an anti-skeptical resource, it arrives one hundred and fifty years too late and offers nothing that its predecessors did not already provide, more powerfully.</w:t>
      </w:r>
    </w:p>
    <w:p>
      <w:pPr>
        <w:pStyle w:val="Heading2"/>
      </w:pPr>
      <w:r>
        <w:rPr>
          <w:rFonts w:ascii="Times New Roman" w:cs="Times New Roman" w:eastAsia="Times New Roman" w:hAnsi="Times New Roman"/>
          <w:b/>
          <w:bCs/>
          <w:sz w:val="24"/>
          <w:szCs w:val="24"/>
        </w:rPr>
        <w:t xml:space="preserve">4.2 The Counterexample Objection</w:t>
      </w:r>
    </w:p>
    <w:p>
      <w:pPr>
        <w:spacing w:after="240" w:before="0"/>
        <w:jc w:val="both"/>
      </w:pPr>
      <w:r>
        <w:rPr>
          <w:rFonts w:ascii="Times New Roman" w:cs="Times New Roman" w:eastAsia="Times New Roman" w:hAnsi="Times New Roman"/>
          <w:sz w:val="24"/>
          <w:szCs w:val="24"/>
        </w:rPr>
        <w:t xml:space="preserve">The act-condition — S knows p only if S is rational to act as if p — is straightforwardly falsified by cases in which rational action and knowledge come apart in the wrong direction. Consider the following: an agent has strong inductive evidence for a proposition p; the evidence falls short of certainty, and the agent is aware that p is the kind of proposition that can be overturned by future evidence; yet, given the agent's practical situation, it would be fully rational — indeed mandatory — to act on p. The agent may even explicitly acknowledge uncertainty about p while acting on it. In such a case, rational action is present and knowledge is absent. The act-condition requires that knowledge be present wherever rational action is, and the case falsifies that requirement.</w:t>
      </w:r>
    </w:p>
    <w:p>
      <w:pPr>
        <w:spacing w:after="240" w:before="0"/>
        <w:jc w:val="both"/>
      </w:pPr>
      <w:r>
        <w:rPr>
          <w:rFonts w:ascii="Times New Roman" w:cs="Times New Roman" w:eastAsia="Times New Roman" w:hAnsi="Times New Roman"/>
          <w:sz w:val="24"/>
          <w:szCs w:val="24"/>
        </w:rPr>
        <w:t xml:space="preserve">This objection is not merely a philosopher's toy case. It describes a situation that is structurally ubiquitous in practical reasoning: agents routinely act rationally on propositions they do not know, and they are epistemically entitled to do so. The planning of any complex action under uncertainty instantiates this structure. Pragmatic encroachment, by treating rational action as sufficient (in the relevant direction) for knowledge, systematically inflates the domain of knowledge beyond its proper limits.</w:t>
      </w:r>
    </w:p>
    <w:p>
      <w:pPr>
        <w:pStyle w:val="Heading2"/>
      </w:pPr>
      <w:r>
        <w:rPr>
          <w:rFonts w:ascii="Times New Roman" w:cs="Times New Roman" w:eastAsia="Times New Roman" w:hAnsi="Times New Roman"/>
          <w:b/>
          <w:bCs/>
          <w:sz w:val="24"/>
          <w:szCs w:val="24"/>
        </w:rPr>
        <w:t xml:space="preserve">4.3 The Theoretical Knowledge Objection</w:t>
      </w:r>
    </w:p>
    <w:p>
      <w:pPr>
        <w:spacing w:after="240" w:before="0"/>
        <w:jc w:val="both"/>
      </w:pPr>
      <w:r>
        <w:rPr>
          <w:rFonts w:ascii="Times New Roman" w:cs="Times New Roman" w:eastAsia="Times New Roman" w:hAnsi="Times New Roman"/>
          <w:sz w:val="24"/>
          <w:szCs w:val="24"/>
        </w:rPr>
        <w:t xml:space="preserve">The most fundamental objection to pragmatic encroachment is that it cannot accommodate purely theoretical knowledge — knowledge in mathematics, formal logic, and metaphysics, where the connection to practical action is at best indirect and often nonexistent. If knowing that p requires that one be rational to act on p, then knowing that Russell's paradox admits of a non-type-theoretic resolution, or that the Cantor diagonal argument establishes the uncountability of the reals, or that the third Kantian antinomy rests on an equivocation, requires that there be some action on which it would be rational to act given this knowledge.</w:t>
      </w:r>
    </w:p>
    <w:p>
      <w:pPr>
        <w:spacing w:after="240" w:before="0"/>
        <w:jc w:val="both"/>
      </w:pPr>
      <w:r>
        <w:rPr>
          <w:rFonts w:ascii="Times New Roman" w:cs="Times New Roman" w:eastAsia="Times New Roman" w:hAnsi="Times New Roman"/>
          <w:sz w:val="24"/>
          <w:szCs w:val="24"/>
        </w:rPr>
        <w:t xml:space="preserve">The pragmatic encroacher faces a dilemma here. If she identifies some action — publication, say, or assertion — as the relevant action, she conflates acting on a belief with doing something motivated in part by holding that belief. The act of publishing a proof is not an act on the mathematical proposition proved; it is an act on a proposition about one's career, one's obligations to the community of inquiry, and so forth. If, on the other hand, she acknowledges that there is no determinate action on which the relevant theoretical belief licenses action, she must concede that the act-condition is simply inapplicable to a large and central domain of knowledge — which would constitute a devastating limitation on the scope of what is supposed to be a general theory.</w:t>
      </w:r>
    </w:p>
    <w:p>
      <w:pPr>
        <w:spacing w:after="240" w:before="0"/>
        <w:jc w:val="both"/>
      </w:pPr>
      <w:r>
        <w:rPr>
          <w:rFonts w:ascii="Times New Roman" w:cs="Times New Roman" w:eastAsia="Times New Roman" w:hAnsi="Times New Roman"/>
          <w:sz w:val="24"/>
          <w:szCs w:val="24"/>
        </w:rPr>
        <w:t xml:space="preserve">This is precisely where the Jamesian pragmatist tradition has always been weakest: pure inquiry, in which the connection to praxis is structural and distant rather than immediate and determining. Pragmatic encroachment inherits this weakness without inheriting whatever compensating virtues the broader pragmatist tradition possesses.</w:t>
      </w:r>
    </w:p>
    <w:p>
      <w:pPr>
        <w:pStyle w:val="Heading1"/>
      </w:pPr>
      <w:r>
        <w:rPr>
          <w:rFonts w:ascii="Times New Roman" w:cs="Times New Roman" w:eastAsia="Times New Roman" w:hAnsi="Times New Roman"/>
          <w:b/>
          <w:bCs/>
          <w:sz w:val="28"/>
          <w:szCs w:val="28"/>
        </w:rPr>
        <w:t xml:space="preserve">5. A Positive Proposal: The Rational Promotion of Framework Belief</w:t>
      </w:r>
    </w:p>
    <w:p>
      <w:pPr>
        <w:spacing w:after="240" w:before="0"/>
        <w:jc w:val="both"/>
      </w:pPr>
      <w:r>
        <w:rPr>
          <w:rFonts w:ascii="Times New Roman" w:cs="Times New Roman" w:eastAsia="Times New Roman" w:hAnsi="Times New Roman"/>
          <w:sz w:val="24"/>
          <w:szCs w:val="24"/>
        </w:rPr>
        <w:t xml:space="preserve">The foregoing critique leaves open the question of what is genuinely true in the stakes-sensitivity intuition. The intuition is not fabricated: there does seem to be an important connection between the demands of rational agency and the epistemic standing of one's beliefs. The question is whether pragmatic encroachment correctly identifies the nature of that connection.</w:t>
      </w:r>
    </w:p>
    <w:p>
      <w:pPr>
        <w:spacing w:after="240" w:before="0"/>
        <w:jc w:val="both"/>
      </w:pPr>
      <w:r>
        <w:rPr>
          <w:rFonts w:ascii="Times New Roman" w:cs="Times New Roman" w:eastAsia="Times New Roman" w:hAnsi="Times New Roman"/>
          <w:sz w:val="24"/>
          <w:szCs w:val="24"/>
        </w:rPr>
        <w:t xml:space="preserve">The proposal advanced here begins with a distinction that pragmatic encroachment entirely ignores: the distinction between beliefs that are live Bayesian hypotheses and beliefs that function as framework commitments. A live Bayesian hypothesis is one whose credence is genuinely responsive to evidence: it rises and falls in proportion to the confirmatory or disconfirmatory bearing of new information. A framework commitment is a belief that has been effectively removed from the Bayesian pool: it functions not as an object of assessment by evidence but as part of the apparatus by which evidence is assessed. Its credence is not literally 1 — its holder may acknowledge, in a philosophical moment, that it is not strictly certain — but it is treated as 1 for all practical and epistemic purposes, and it would yield only under the pressure of a global revision of a large network of interconnected commitments.</w:t>
      </w:r>
    </w:p>
    <w:p>
      <w:pPr>
        <w:spacing w:after="240" w:before="0"/>
        <w:jc w:val="both"/>
      </w:pPr>
      <w:r>
        <w:rPr>
          <w:rFonts w:ascii="Times New Roman" w:cs="Times New Roman" w:eastAsia="Times New Roman" w:hAnsi="Times New Roman"/>
          <w:sz w:val="24"/>
          <w:szCs w:val="24"/>
        </w:rPr>
        <w:t xml:space="preserve">This distinction is related to Wittgenstein's notion of hinge propositions</w:t>
      </w:r>
      <w:r>
        <w:rPr>
          <w:rStyle w:val="FootnoteReference"/>
        </w:rPr>
        <w:footnoteReference w:id="7"/>
      </w:r>
      <w:r>
        <w:rPr>
          <w:rFonts w:ascii="Times New Roman" w:cs="Times New Roman" w:eastAsia="Times New Roman" w:hAnsi="Times New Roman"/>
          <w:sz w:val="24"/>
          <w:szCs w:val="24"/>
        </w:rPr>
        <w:t xml:space="preserve"> and to the Neurathian picture of the web of belief as a raft repaired plank by plank rather than rebuilt from scratch,</w:t>
      </w:r>
      <w:r>
        <w:rPr>
          <w:rStyle w:val="FootnoteReference"/>
        </w:rPr>
        <w:footnoteReference w:id="10"/>
      </w:r>
      <w:r>
        <w:rPr>
          <w:rFonts w:ascii="Times New Roman" w:cs="Times New Roman" w:eastAsia="Times New Roman" w:hAnsi="Times New Roman"/>
          <w:sz w:val="24"/>
          <w:szCs w:val="24"/>
        </w:rPr>
        <w:t xml:space="preserve"> and it has affinities with Quine's account of how central beliefs are insulated from revision at the periphery.</w:t>
      </w:r>
      <w:r>
        <w:rPr>
          <w:rStyle w:val="FootnoteReference"/>
        </w:rPr>
        <w:footnoteReference w:id="11"/>
      </w:r>
      <w:r>
        <w:rPr>
          <w:rFonts w:ascii="Times New Roman" w:cs="Times New Roman" w:eastAsia="Times New Roman" w:hAnsi="Times New Roman"/>
          <w:sz w:val="24"/>
          <w:szCs w:val="24"/>
        </w:rPr>
        <w:t xml:space="preserve"> But the present proposal goes beyond these accounts in a specific direction: it treats the transition from live hypothesis to framework commitment — what we may call promotion — as itself a rational act, governed by identifiable conditions, rather than as a merely causal or social phenomenon.</w:t>
      </w:r>
    </w:p>
    <w:p>
      <w:pPr>
        <w:spacing w:after="240" w:before="0"/>
        <w:jc w:val="both"/>
      </w:pPr>
      <w:r>
        <w:rPr>
          <w:rFonts w:ascii="Times New Roman" w:cs="Times New Roman" w:eastAsia="Times New Roman" w:hAnsi="Times New Roman"/>
          <w:sz w:val="24"/>
          <w:szCs w:val="24"/>
        </w:rPr>
        <w:t xml:space="preserve">James's notion of precursive belief is the closest ancestor of this proposal,</w:t>
      </w:r>
      <w:r>
        <w:rPr>
          <w:rStyle w:val="FootnoteReference"/>
        </w:rPr>
        <w:footnoteReference w:id="9"/>
      </w:r>
      <w:r>
        <w:rPr>
          <w:rFonts w:ascii="Times New Roman" w:cs="Times New Roman" w:eastAsia="Times New Roman" w:hAnsi="Times New Roman"/>
          <w:sz w:val="24"/>
          <w:szCs w:val="24"/>
        </w:rPr>
        <w:t xml:space="preserve"> though it is importantly different. James's precursive faith concerns beliefs whose adoption is causally necessary for their own verification: one must believe in order to get the evidence that would confirm the belief. The present proposal concerns something more general: the conditions under which it is rational to remove a belief from the space of live hypotheses and treat it as a fixed point around which inquiry and action are organized. The connection to praxis is structural rather than causal.</w:t>
      </w:r>
    </w:p>
    <w:p>
      <w:pPr>
        <w:spacing w:after="240" w:before="0"/>
        <w:jc w:val="both"/>
      </w:pPr>
      <w:r>
        <w:rPr>
          <w:rFonts w:ascii="Times New Roman" w:cs="Times New Roman" w:eastAsia="Times New Roman" w:hAnsi="Times New Roman"/>
          <w:sz w:val="24"/>
          <w:szCs w:val="24"/>
        </w:rPr>
        <w:t xml:space="preserve">The conditions for rational promotion are approximately these: (a) the credence assigned to the belief on current evidence is sufficiently high; (b) the belief is sufficiently load-bearing — a sufficiently large portion of the agent's other beliefs and epistemic practices depend on it; and (c) the cognitive cost of maintaining the belief as a live hypothesis — the perpetual revisability, the standing vulnerability to skeptical challenge — outweighs the epistemic benefit of doing so.</w:t>
      </w:r>
      <w:r>
        <w:rPr>
          <w:rStyle w:val="FootnoteReference"/>
        </w:rPr>
        <w:footnoteReference w:id="13"/>
      </w:r>
      <w:r>
        <w:rPr>
          <w:rFonts w:ascii="Times New Roman" w:cs="Times New Roman" w:eastAsia="Times New Roman" w:hAnsi="Times New Roman"/>
          <w:sz w:val="24"/>
          <w:szCs w:val="24"/>
        </w:rPr>
        <w:t xml:space="preserve"> When these conditions are satisfied, it is rational to promote the belief: to treat it not as a hypothesis to be weighed against alternatives but as a framework commitment against which alternatives are assessed.</w:t>
      </w:r>
    </w:p>
    <w:p>
      <w:pPr>
        <w:spacing w:after="240" w:before="0"/>
        <w:jc w:val="both"/>
      </w:pPr>
      <w:r>
        <w:rPr>
          <w:rFonts w:ascii="Times New Roman" w:cs="Times New Roman" w:eastAsia="Times New Roman" w:hAnsi="Times New Roman"/>
          <w:sz w:val="24"/>
          <w:szCs w:val="24"/>
        </w:rPr>
        <w:t xml:space="preserve">This proposal has genuine anti-skeptical force, which pragmatic encroachment lacks. The skeptic's challenge, on this view, is not the discovery of an evidential deficit but a demand that framework commitments be returned to the Bayesian pool — a demand that, if met, would make coherent inquiry and rational agency impossible. The appropriate response is not to produce further evidence for the framework commitments (which would already presuppose them) but to identify the demand itself as incoherent: one cannot coherently require that the conditions of possibility of inquiry be themselves subject to inquiry in the same mode.</w:t>
      </w:r>
    </w:p>
    <w:p>
      <w:pPr>
        <w:spacing w:after="240" w:before="0"/>
        <w:jc w:val="both"/>
      </w:pPr>
      <w:r>
        <w:rPr>
          <w:rFonts w:ascii="Times New Roman" w:cs="Times New Roman" w:eastAsia="Times New Roman" w:hAnsi="Times New Roman"/>
          <w:sz w:val="24"/>
          <w:szCs w:val="24"/>
        </w:rPr>
        <w:t xml:space="preserve">The proposal also accommodates theoretical knowledge in a way that pragmatic encroachment cannot. A mathematical or logical belief can satisfy conditions (a), (b), and (c) for promotion without having any direct connection to practical action. Its load-bearing character derives from its role in the agent's inferential and epistemic practices, not from its implications for overt behavior. The proposition that classical propositional logic is sound and complete, for instance, is framework-eligible not because of any action it licenses but because of the enormous weight it carries in the agent's broader cognitive architecture.</w:t>
      </w:r>
    </w:p>
    <w:p>
      <w:pPr>
        <w:spacing w:after="240" w:before="0"/>
        <w:jc w:val="both"/>
      </w:pPr>
      <w:r>
        <w:rPr>
          <w:rFonts w:ascii="Times New Roman" w:cs="Times New Roman" w:eastAsia="Times New Roman" w:hAnsi="Times New Roman"/>
          <w:sz w:val="24"/>
          <w:szCs w:val="24"/>
        </w:rPr>
        <w:t xml:space="preserve">Finally, the proposal preserves the revisability that distinguishes it from simple dogmatism. Promotion is not permanent. A belief that has been promoted to framework status can be demoted — returned to the Bayesian pool — when the network of commitments in which it is embedded undergoes sufficient pressure. This is precisely the structure of scientific revolutions: what previously functioned as a framework commitment (Newtonian absolute space, the fixity of species) becomes, under sufficient anomaly pressure, a live hypothesis again.</w:t>
      </w:r>
      <w:r>
        <w:rPr>
          <w:rStyle w:val="FootnoteReference"/>
        </w:rPr>
        <w:footnoteReference w:id="14"/>
      </w:r>
      <w:r>
        <w:rPr>
          <w:rFonts w:ascii="Times New Roman" w:cs="Times New Roman" w:eastAsia="Times New Roman" w:hAnsi="Times New Roman"/>
          <w:sz w:val="24"/>
          <w:szCs w:val="24"/>
        </w:rPr>
        <w:t xml:space="preserve"> The difference between promoted beliefs and dogmatically held beliefs is not that the former are certain and the latter are not, but that the former are rationally revisable under conditions of global network pressure, while the latter are not revisable under any conditions.</w:t>
      </w:r>
    </w:p>
    <w:p>
      <w:pPr>
        <w:pStyle w:val="Heading1"/>
      </w:pPr>
      <w:r>
        <w:rPr>
          <w:rFonts w:ascii="Times New Roman" w:cs="Times New Roman" w:eastAsia="Times New Roman" w:hAnsi="Times New Roman"/>
          <w:b/>
          <w:bCs/>
          <w:sz w:val="28"/>
          <w:szCs w:val="28"/>
        </w:rPr>
        <w:t xml:space="preserve">6. Conclusion</w:t>
      </w:r>
    </w:p>
    <w:p>
      <w:pPr>
        <w:spacing w:after="240" w:before="0"/>
        <w:jc w:val="both"/>
      </w:pPr>
      <w:r>
        <w:rPr>
          <w:rFonts w:ascii="Times New Roman" w:cs="Times New Roman" w:eastAsia="Times New Roman" w:hAnsi="Times New Roman"/>
          <w:sz w:val="24"/>
          <w:szCs w:val="24"/>
        </w:rPr>
        <w:t xml:space="preserve">Contextualism about knowledge attributions is a semantic thesis, not an epistemological one. Its long tenure at the center of epistemological debate reflects a confusion between facts about the word 'knows' and facts about the epistemic relations that word expresses. Pragmatic encroachment is a genuine epistemological thesis, but it is undermined by its failure to engage the Cartesian skeptic, by its susceptibility to counterexamples in which rational action and knowledge come apart, and by its inability to accommodate theoretical knowledge.</w:t>
      </w:r>
    </w:p>
    <w:p>
      <w:pPr>
        <w:spacing w:after="240" w:before="0"/>
        <w:jc w:val="both"/>
      </w:pPr>
      <w:r>
        <w:rPr>
          <w:rFonts w:ascii="Times New Roman" w:cs="Times New Roman" w:eastAsia="Times New Roman" w:hAnsi="Times New Roman"/>
          <w:sz w:val="24"/>
          <w:szCs w:val="24"/>
        </w:rPr>
        <w:t xml:space="preserve">What is genuinely true in the pragmatist tradition's insistence on the connection between knowledge and agency is better captured by the notion of rational promotion: the transition, under identifiable conditions, from treating a belief as a live Bayesian hypothesis to treating it as a framework commitment against which other hypotheses are assessed. This transition is a rational act, not merely a causal or social one; it is revisable under conditions of global network pressure; and it applies equally to practical and theoretical beliefs. It is, moreover, genuinely anti-skeptical in a way that neither contextualism nor standard pragmatic encroachment manages to be.</w:t>
      </w:r>
    </w:p>
    <w:p>
      <w:pPr>
        <w:spacing w:after="240" w:before="0"/>
        <w:jc w:val="both"/>
      </w:pPr>
      <w:r>
        <w:rPr>
          <w:rFonts w:ascii="Times New Roman" w:cs="Times New Roman" w:eastAsia="Times New Roman" w:hAnsi="Times New Roman"/>
          <w:sz w:val="24"/>
          <w:szCs w:val="24"/>
        </w:rPr>
        <w:t xml:space="preserve">The epistemology of framework commitment remains underdeveloped relative to the epistemology of first-order belief. The conditions for rational promotion require more precise specification; the relationship between promotion and knowledge (as opposed to rational certainty) requires analysis; and the logic of demotion under network pressure deserves systematic treatment. These are the tasks for subsequent work. The present paper has aimed only to clear the ground — by showing what the two dominant stakes-sensitive positions fail to achieve — and to identify the terrain on which a more adequate account must be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Times New Roman" w:cs="Times New Roman" w:eastAsia="Times New Roman" w:hAnsi="Times New Roman"/>
          <w:sz w:val="18"/>
          <w:szCs w:val="18"/>
        </w:rPr>
        <w:t xml:space="preserve">Keith DeRose, "Contextualism and Knowledge Attributions," Philosophy and Phenomenological Research 52 (1992): 913–929; Stewart Cohen, "Contextualist Solutions to Epistemological Problems," Australasian Journal of Philosophy 76 (1998): 289–306.</w:t>
      </w:r>
    </w:p>
  </w:footnote>
  <w:footnote w:id="2">
    <w:p>
      <w:r>
        <w:rPr>
          <w:rStyle w:val="FootnoteReference"/>
        </w:rPr>
        <w:footnoteRef/>
      </w:r>
      <w:r>
        <w:rPr>
          <w:rFonts w:ascii="Times New Roman" w:cs="Times New Roman" w:eastAsia="Times New Roman" w:hAnsi="Times New Roman"/>
          <w:sz w:val="18"/>
          <w:szCs w:val="18"/>
        </w:rPr>
        <w:t xml:space="preserve">DeRose, "Solving the Skeptical Problem," Philosophical Review 104 (1995): 1–52.</w:t>
      </w:r>
    </w:p>
  </w:footnote>
  <w:footnote w:id="3">
    <w:p>
      <w:r>
        <w:rPr>
          <w:rStyle w:val="FootnoteReference"/>
        </w:rPr>
        <w:footnoteRef/>
      </w:r>
      <w:r>
        <w:rPr>
          <w:rFonts w:ascii="Times New Roman" w:cs="Times New Roman" w:eastAsia="Times New Roman" w:hAnsi="Times New Roman"/>
          <w:sz w:val="18"/>
          <w:szCs w:val="18"/>
        </w:rPr>
        <w:t xml:space="preserve">David Lewis, "Elusive Knowledge," Australasian Journal of Philosophy 74 (1996): 549–567.</w:t>
      </w:r>
    </w:p>
  </w:footnote>
  <w:footnote w:id="4">
    <w:p>
      <w:r>
        <w:rPr>
          <w:rStyle w:val="FootnoteReference"/>
        </w:rPr>
        <w:footnoteRef/>
      </w:r>
      <w:r>
        <w:rPr>
          <w:rFonts w:ascii="Times New Roman" w:cs="Times New Roman" w:eastAsia="Times New Roman" w:hAnsi="Times New Roman"/>
          <w:sz w:val="18"/>
          <w:szCs w:val="18"/>
        </w:rPr>
        <w:t xml:space="preserve">John Hawthorne, Knowledge and Lotteries (Oxford: Oxford University Press, 2004); Jason Stanley, Knowledge and Practical Interests (Oxford: Oxford University Press, 2005).</w:t>
      </w:r>
    </w:p>
  </w:footnote>
  <w:footnote w:id="5">
    <w:p>
      <w:r>
        <w:rPr>
          <w:rStyle w:val="FootnoteReference"/>
        </w:rPr>
        <w:footnoteRef/>
      </w:r>
      <w:r>
        <w:rPr>
          <w:rFonts w:ascii="Times New Roman" w:cs="Times New Roman" w:eastAsia="Times New Roman" w:hAnsi="Times New Roman"/>
          <w:sz w:val="18"/>
          <w:szCs w:val="18"/>
        </w:rPr>
        <w:t xml:space="preserve">Matthew McGrath and Julianne Cullison, "Epistemic Reasons, Evidence, and the Role of Stakes," Philosophical Issues 23 (2013): 299–319; Matthew McGrath, "Dogmatism, Underminers, and Pragmatic Encroachment," Philosophical Studies 162 (2013): 191–210.</w:t>
      </w:r>
    </w:p>
  </w:footnote>
  <w:footnote w:id="6">
    <w:p>
      <w:r>
        <w:rPr>
          <w:rStyle w:val="FootnoteReference"/>
        </w:rPr>
        <w:footnoteRef/>
      </w:r>
      <w:r>
        <w:rPr>
          <w:rFonts w:ascii="Times New Roman" w:cs="Times New Roman" w:eastAsia="Times New Roman" w:hAnsi="Times New Roman"/>
          <w:sz w:val="18"/>
          <w:szCs w:val="18"/>
        </w:rPr>
        <w:t xml:space="preserve">Jeremy Fantl and Matthew McGrath, Knowledge in an Uncertain World (Oxford: Oxford University Press, 2009), p. 28. The 'act-condition' is stated as a necessary condition on knowledge: S knows p only if S is rational to act as if p.</w:t>
      </w:r>
    </w:p>
  </w:footnote>
  <w:footnote w:id="7">
    <w:p>
      <w:r>
        <w:rPr>
          <w:rStyle w:val="FootnoteReference"/>
        </w:rPr>
        <w:footnoteRef/>
      </w:r>
      <w:r>
        <w:rPr>
          <w:rFonts w:ascii="Times New Roman" w:cs="Times New Roman" w:eastAsia="Times New Roman" w:hAnsi="Times New Roman"/>
          <w:sz w:val="18"/>
          <w:szCs w:val="18"/>
        </w:rPr>
        <w:t xml:space="preserve">Ludwig Wittgenstein, On Certainty, ed. G. E. M. Anscombe and G. H. von Wright, trans. G. E. M. Anscombe and Denis Paul (Oxford: Blackwell, 1969), §§341–343.</w:t>
      </w:r>
    </w:p>
  </w:footnote>
  <w:footnote w:id="8">
    <w:p>
      <w:r>
        <w:rPr>
          <w:rStyle w:val="FootnoteReference"/>
        </w:rPr>
        <w:footnoteRef/>
      </w:r>
      <w:r>
        <w:rPr>
          <w:rFonts w:ascii="Times New Roman" w:cs="Times New Roman" w:eastAsia="Times New Roman" w:hAnsi="Times New Roman"/>
          <w:sz w:val="18"/>
          <w:szCs w:val="18"/>
        </w:rPr>
        <w:t xml:space="preserve">G. E. Moore, "Proof of an External World," Proceedings of the British Academy 25 (1939): 273–300.</w:t>
      </w:r>
    </w:p>
  </w:footnote>
  <w:footnote w:id="9">
    <w:p>
      <w:r>
        <w:rPr>
          <w:rStyle w:val="FootnoteReference"/>
        </w:rPr>
        <w:footnoteRef/>
      </w:r>
      <w:r>
        <w:rPr>
          <w:rFonts w:ascii="Times New Roman" w:cs="Times New Roman" w:eastAsia="Times New Roman" w:hAnsi="Times New Roman"/>
          <w:sz w:val="18"/>
          <w:szCs w:val="18"/>
        </w:rPr>
        <w:t xml:space="preserve">William James, "The Will to Believe," New World 6 (1896): 327–347. James's precursive faith concerns beliefs whose adoption is causally necessary for their own verification. The present proposal is structurally related but distinct: it concerns the rational promotion of high-credence beliefs to framework status as a condition of coherent agency, not of self-fulfilling verification.</w:t>
      </w:r>
    </w:p>
  </w:footnote>
  <w:footnote w:id="10">
    <w:p>
      <w:r>
        <w:rPr>
          <w:rStyle w:val="FootnoteReference"/>
        </w:rPr>
        <w:footnoteRef/>
      </w:r>
      <w:r>
        <w:rPr>
          <w:rFonts w:ascii="Times New Roman" w:cs="Times New Roman" w:eastAsia="Times New Roman" w:hAnsi="Times New Roman"/>
          <w:sz w:val="18"/>
          <w:szCs w:val="18"/>
        </w:rPr>
        <w:t xml:space="preserve">Otto Neurath, "Protocol Statements," in Logical Empiricism, ed. A. J. Ayer (New York: Free Press, 1959), pp. 199–208.</w:t>
      </w:r>
    </w:p>
  </w:footnote>
  <w:footnote w:id="11">
    <w:p>
      <w:r>
        <w:rPr>
          <w:rStyle w:val="FootnoteReference"/>
        </w:rPr>
        <w:footnoteRef/>
      </w:r>
      <w:r>
        <w:rPr>
          <w:rFonts w:ascii="Times New Roman" w:cs="Times New Roman" w:eastAsia="Times New Roman" w:hAnsi="Times New Roman"/>
          <w:sz w:val="18"/>
          <w:szCs w:val="18"/>
        </w:rPr>
        <w:t xml:space="preserve">W. V. O. Quine, "Two Dogmas of Empiricism," Philosophical Review 60 (1951): 20–43.</w:t>
      </w:r>
    </w:p>
  </w:footnote>
  <w:footnote w:id="12">
    <w:p>
      <w:r>
        <w:rPr>
          <w:rStyle w:val="FootnoteReference"/>
        </w:rPr>
        <w:footnoteRef/>
      </w:r>
      <w:r>
        <w:rPr>
          <w:rFonts w:ascii="Times New Roman" w:cs="Times New Roman" w:eastAsia="Times New Roman" w:hAnsi="Times New Roman"/>
          <w:sz w:val="18"/>
          <w:szCs w:val="18"/>
        </w:rPr>
        <w:t xml:space="preserve">C. S. Peirce, "The Fixation of Belief," Popular Science Monthly 12 (1877): 1–15.</w:t>
      </w:r>
    </w:p>
  </w:footnote>
  <w:footnote w:id="13">
    <w:p>
      <w:r>
        <w:rPr>
          <w:rStyle w:val="FootnoteReference"/>
        </w:rPr>
        <w:footnoteRef/>
      </w:r>
      <w:r>
        <w:rPr>
          <w:rFonts w:ascii="Times New Roman" w:cs="Times New Roman" w:eastAsia="Times New Roman" w:hAnsi="Times New Roman"/>
          <w:sz w:val="18"/>
          <w:szCs w:val="18"/>
        </w:rPr>
        <w:t xml:space="preserve">The conditions proposed here are sufficient for rational promotion, not individually necessary. A complete account would require further specification of how to weigh factors (a), (b), and (c) against one another — a task left for subsequent work.</w:t>
      </w:r>
    </w:p>
  </w:footnote>
  <w:footnote w:id="14">
    <w:p>
      <w:r>
        <w:rPr>
          <w:rStyle w:val="FootnoteReference"/>
        </w:rPr>
        <w:footnoteRef/>
      </w:r>
      <w:r>
        <w:rPr>
          <w:rFonts w:ascii="Times New Roman" w:cs="Times New Roman" w:eastAsia="Times New Roman" w:hAnsi="Times New Roman"/>
          <w:sz w:val="18"/>
          <w:szCs w:val="18"/>
        </w:rPr>
        <w:t xml:space="preserve">Thomas Kuhn, The Structure of Scientific Revolutions (Chicago: University of Chicago Press, 1962). On the Kuhnian account, paradigm shifts involve wholesale demotion of formerly operative framework commitments back into the space of live empirical hypotheses — precisely the reversal of promotion described here.</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40" w:before="2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2026-03-31T19:20:59.073Z</dcterms:created>
  <dcterms:modified xsi:type="dcterms:W3CDTF">2026-03-31T19:20:59.073Z</dcterms:modified>
</cp:coreProperties>
</file>

<file path=docProps/custom.xml><?xml version="1.0" encoding="utf-8"?>
<Properties xmlns="http://schemas.openxmlformats.org/officeDocument/2006/custom-properties" xmlns:vt="http://schemas.openxmlformats.org/officeDocument/2006/docPropsVTypes"/>
</file>