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The Flat Learning Curve: Why Legal Reasoning Fails on Its Own Terms</w:t>
      </w:r>
    </w:p>
    <w:p>
      <w:pPr>
        <w:spacing w:after="80"/>
        <w:jc w:val="center"/>
      </w:pPr>
      <w:r>
        <w:rPr>
          <w:rFonts w:ascii="Times New Roman" w:cs="Times New Roman" w:eastAsia="Times New Roman" w:hAnsi="Times New Roman"/>
          <w:i/>
          <w:iCs/>
          <w:sz w:val="24"/>
          <w:szCs w:val="24"/>
        </w:rPr>
        <w:t xml:space="preserve">Issue III of “Self-Cancelling Concepts”</w:t>
      </w:r>
    </w:p>
    <w:p>
      <w:pPr>
        <w:spacing w:after="360"/>
        <w:jc w:val="center"/>
      </w:pPr>
      <w:r>
        <w:rPr>
          <w:rFonts w:ascii="Times New Roman" w:cs="Times New Roman" w:eastAsia="Times New Roman" w:hAnsi="Times New Roman"/>
          <w:sz w:val="24"/>
          <w:szCs w:val="24"/>
        </w:rPr>
        <w:t xml:space="preserve">Author: Zhi Systems</w:t>
      </w:r>
    </w:p>
    <w:p>
      <w:pPr>
        <w:pStyle w:val="Heading1"/>
        <w:spacing w:before="360" w:after="24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i/>
          <w:iCs/>
          <w:sz w:val="24"/>
          <w:szCs w:val="24"/>
        </w:rPr>
        <w:t xml:space="preserve">In Issue I of this series (“Satori as Self-Cancelling Concept”), we argued that Zen Buddhism’s central promise—satori—is a concept whose content reduces, upon specification, to the recognition that there is no content. In Issue II (“Legal Satori”), we extended the analysis to the legal profession, arguing that “thinking like a lawyer” exhibits the same self-cancelling structure. The present article completes the argument by identifying the specific internal pathologies of legal reasoning that distinguish it from every genuine form of expertise. The claim is not that legal reasoning fails to transfer to other domains—many forms of domain-specific expertise do not transfer, and this is uninteresting. The claim is that legal reasoning fails to consolidate even within its own domain. It does not produce the qualitative cognitive transformation—the compression, the pattern recognition, the reduction of friction—that characterizes mastery in every discipline where mastery is real. Three diagnostic failures are identified: the flat learning curve (legal knowledge accumulates but never organizes), the sedimentary structure of legal complexity (which resists holistic comprehension because it was never holistically produced), and the migration of senior expertise to social capital (which is precisely what one would predict in a domain with no cognitive structure to internalize). Together, these three failures constitute a complete indictment—not of individual lawyers, but of the claim that legal reasoning is a form of reasoning at all.</w:t>
      </w:r>
    </w:p>
    <w:p>
      <w:pPr>
        <w:spacing w:after="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legal reasoning, expertise, learning curves, domain specificity, social capital, cognitive consolidation, complexity, integration</w:t>
      </w:r>
    </w:p>
    <w:p>
      <w:pPr>
        <w:pStyle w:val="Heading1"/>
        <w:spacing w:before="360" w:after="240"/>
      </w:pPr>
      <w:r>
        <w:rPr>
          <w:rFonts w:ascii="Times New Roman" w:cs="Times New Roman" w:eastAsia="Times New Roman" w:hAnsi="Times New Roman"/>
          <w:b/>
          <w:bCs/>
          <w:sz w:val="28"/>
          <w:szCs w:val="28"/>
        </w:rPr>
        <w:t xml:space="preserve">1. Introduction: The Wrong Objection and the Right One</w:t>
      </w:r>
    </w:p>
    <w:p>
      <w:pPr>
        <w:spacing w:after="200" w:line="276"/>
        <w:jc w:val="both"/>
      </w:pPr>
      <w:r>
        <w:rPr>
          <w:rFonts w:ascii="Times New Roman" w:cs="Times New Roman" w:eastAsia="Times New Roman" w:hAnsi="Times New Roman"/>
          <w:sz w:val="24"/>
          <w:szCs w:val="24"/>
        </w:rPr>
        <w:t xml:space="preserve">A natural response to the argument developed in Issues I and II of this series is to ask whether “legal reasoning” produces cognitive benefits that transfer outside the legal domain. If law school teaches one to “think like a lawyer,” does that capacity improve one’s reasoning in other contexts? The empirical literature on this question is thin to the point of nonexistence. There is no robust evidence that legal education produces transferable reasoning skills. There is no strong evidence that “thinking like a lawyer” is a unique cognitive skill; what legal reasoning involves shares much with other forms of reasoning, and the definitions that have been offered are frequently circular—they state that individuals are thinking like lawyers when they are thinking through the tasks that most lawyers do.</w:t>
      </w:r>
    </w:p>
    <w:p>
      <w:pPr>
        <w:spacing w:after="200" w:line="276"/>
        <w:jc w:val="both"/>
      </w:pPr>
      <w:r>
        <w:rPr>
          <w:rFonts w:ascii="Times New Roman" w:cs="Times New Roman" w:eastAsia="Times New Roman" w:hAnsi="Times New Roman"/>
          <w:sz w:val="24"/>
          <w:szCs w:val="24"/>
        </w:rPr>
        <w:t xml:space="preserve">This absence of evidence is suggestive but, as a line of attack, ultimately a red herring. The transferability objection is weak because it invites an easy and largely correct response: most forms of domain-specific expertise do not transfer. The chess grandmaster does not become a better military strategist. The surgeon’s spatial reasoning does not improve her ability to navigate a city. Domain specificity is the norm in expertise research, and pointing out that legal reasoning is domain-specific tells us nothing distinctive about its pathology.</w:t>
      </w:r>
    </w:p>
    <w:p>
      <w:pPr>
        <w:spacing w:after="200" w:line="276"/>
        <w:jc w:val="both"/>
      </w:pPr>
      <w:r>
        <w:rPr>
          <w:rFonts w:ascii="Times New Roman" w:cs="Times New Roman" w:eastAsia="Times New Roman" w:hAnsi="Times New Roman"/>
          <w:sz w:val="24"/>
          <w:szCs w:val="24"/>
        </w:rPr>
        <w:t xml:space="preserve">The right objection is different, and it is devastating. The pathology of legal reasoning is not that it fails to generalize beyond its domain. It is that it fails to consolidate within its domain. Legal reasoning does not produce the qualitative cognitive transformation—the click, the compression, the reduction of friction—that characterizes mastery in every discipline where mastery is real. The learning curve is not steep followed by a plateau. It is flat—permanently. This article develops that claim through three convergent lines of argument.</w:t>
      </w:r>
    </w:p>
    <w:p>
      <w:pPr>
        <w:pStyle w:val="Heading1"/>
        <w:spacing w:before="360" w:after="240"/>
      </w:pPr>
      <w:r>
        <w:rPr>
          <w:rFonts w:ascii="Times New Roman" w:cs="Times New Roman" w:eastAsia="Times New Roman" w:hAnsi="Times New Roman"/>
          <w:b/>
          <w:bCs/>
          <w:sz w:val="28"/>
          <w:szCs w:val="28"/>
        </w:rPr>
        <w:t xml:space="preserve">2. What Mastery Feels Like: Three Comparative Cases</w:t>
      </w:r>
    </w:p>
    <w:p>
      <w:pPr>
        <w:spacing w:after="200" w:line="276"/>
        <w:jc w:val="both"/>
      </w:pPr>
      <w:r>
        <w:rPr>
          <w:rFonts w:ascii="Times New Roman" w:cs="Times New Roman" w:eastAsia="Times New Roman" w:hAnsi="Times New Roman"/>
          <w:sz w:val="24"/>
          <w:szCs w:val="24"/>
        </w:rPr>
        <w:t xml:space="preserve">To see what is missing in legal education, it is useful to examine what is present in domains where genuine mastery occurs. Consider three cases, chosen for their diversity and for the clarity with which they illustrate the internal phenomenology of learning.</w:t>
      </w:r>
    </w:p>
    <w:p>
      <w:pPr>
        <w:spacing w:before="240" w:after="200" w:line="276"/>
        <w:jc w:val="both"/>
      </w:pPr>
      <w:r>
        <w:rPr>
          <w:rFonts w:ascii="Times New Roman" w:cs="Times New Roman" w:eastAsia="Times New Roman" w:hAnsi="Times New Roman"/>
          <w:b/>
          <w:bCs/>
          <w:i/>
          <w:iCs/>
          <w:sz w:val="24"/>
          <w:szCs w:val="24"/>
        </w:rPr>
        <w:t xml:space="preserve">Accounting.</w:t>
      </w:r>
      <w:r>
        <w:rPr>
          <w:rFonts w:ascii="Times New Roman" w:cs="Times New Roman" w:eastAsia="Times New Roman" w:hAnsi="Times New Roman"/>
          <w:sz w:val="24"/>
          <w:szCs w:val="24"/>
        </w:rPr>
        <w:t xml:space="preserve"> Accounting is not an intellectually thrilling discipline. The material is dry, the rules are numerous, and the first weeks of study are irritating. But at some point—typically within weeks—the framework clicks. The double-entry system, the relationship between balance sheet and income statement, the logic of accruals and deferrals: these form a coherent structure, and once that structure is internalized, new information is absorbed </w:t>
      </w:r>
      <w:r>
        <w:rPr>
          <w:rFonts w:ascii="Times New Roman" w:cs="Times New Roman" w:eastAsia="Times New Roman" w:hAnsi="Times New Roman"/>
          <w:i/>
          <w:iCs/>
          <w:sz w:val="24"/>
          <w:szCs w:val="24"/>
        </w:rPr>
        <w:t xml:space="preserve">by</w:t>
      </w:r>
      <w:r>
        <w:rPr>
          <w:rFonts w:ascii="Times New Roman" w:cs="Times New Roman" w:eastAsia="Times New Roman" w:hAnsi="Times New Roman"/>
          <w:sz w:val="24"/>
          <w:szCs w:val="24"/>
        </w:rPr>
        <w:t xml:space="preserve"> the framework rather than merely added </w:t>
      </w:r>
      <w:r>
        <w:rPr>
          <w:rFonts w:ascii="Times New Roman" w:cs="Times New Roman" w:eastAsia="Times New Roman" w:hAnsi="Times New Roman"/>
          <w:i/>
          <w:iCs/>
          <w:sz w:val="24"/>
          <w:szCs w:val="24"/>
        </w:rPr>
        <w:t xml:space="preserve">to</w:t>
      </w:r>
      <w:r>
        <w:rPr>
          <w:rFonts w:ascii="Times New Roman" w:cs="Times New Roman" w:eastAsia="Times New Roman" w:hAnsi="Times New Roman"/>
          <w:sz w:val="24"/>
          <w:szCs w:val="24"/>
        </w:rPr>
        <w:t xml:space="preserve"> it. The framework does cognitive work for the learner. A new regulation does not require independent memorization; it is understood as a variation on a structure that is already in place. This is what a learnable discipline feels like from the inside.</w:t>
      </w:r>
    </w:p>
    <w:p>
      <w:pPr>
        <w:spacing w:before="240" w:after="200" w:line="276"/>
        <w:jc w:val="both"/>
      </w:pPr>
      <w:r>
        <w:rPr>
          <w:rFonts w:ascii="Times New Roman" w:cs="Times New Roman" w:eastAsia="Times New Roman" w:hAnsi="Times New Roman"/>
          <w:b/>
          <w:bCs/>
          <w:i/>
          <w:iCs/>
          <w:sz w:val="24"/>
          <w:szCs w:val="24"/>
        </w:rPr>
        <w:t xml:space="preserve">Finance.</w:t>
      </w:r>
      <w:r>
        <w:rPr>
          <w:rFonts w:ascii="Times New Roman" w:cs="Times New Roman" w:eastAsia="Times New Roman" w:hAnsi="Times New Roman"/>
          <w:sz w:val="24"/>
          <w:szCs w:val="24"/>
        </w:rPr>
        <w:t xml:space="preserve"> Finance is more complex than accounting and more resistant to early systematization. The novice trader may make money initially—through luck, through a bull market—and then lose it. He tries strategies that seem reasonable, that work for a time, and that then fail. The learning curve is not smooth. But at some point, a real discrimination emerges: the practitioner comes to understand, with increasing precision, what can be predicted and what cannot, and with what degree of confidence. This discrimination is genuinely cognitive. It compresses the domain. The financier who understands volatility, who can construct an options strategy that converts a ten-percent equity return into a twenty-percent return with a fifth of the exposure, has not merely memorized more facts. He has undergone a qualitative cognitive transformation. He sees structure where he previously saw noise. And each new instrument, each new market condition, is assimilated into an existing framework rather than memorized independently. The friction decreases. The signal-to-noise ratio improves. The thing gets easier—not because the problems get simpler, but because the practitioner’s relationship to the problems has changed.</w:t>
      </w:r>
    </w:p>
    <w:p>
      <w:pPr>
        <w:spacing w:before="240" w:after="200" w:line="276"/>
        <w:jc w:val="both"/>
      </w:pPr>
      <w:r>
        <w:rPr>
          <w:rFonts w:ascii="Times New Roman" w:cs="Times New Roman" w:eastAsia="Times New Roman" w:hAnsi="Times New Roman"/>
          <w:b/>
          <w:bCs/>
          <w:i/>
          <w:iCs/>
          <w:sz w:val="24"/>
          <w:szCs w:val="24"/>
        </w:rPr>
        <w:t xml:space="preserve">Law.</w:t>
      </w:r>
      <w:r>
        <w:rPr>
          <w:rFonts w:ascii="Times New Roman" w:cs="Times New Roman" w:eastAsia="Times New Roman" w:hAnsi="Times New Roman"/>
          <w:sz w:val="24"/>
          <w:szCs w:val="24"/>
        </w:rPr>
        <w:t xml:space="preserve"> Two solid years of law school—UCC Article 9, property, secured transactions, and a wide range of additional coursework—and nothing clicks. Ever. There is no moment where the framework organizes. There is no point at which new information begins to absorb into existing structure rather than simply piling on top of it. The student memorizes statutes. He memorizes fact patterns that appear on examinations. He engages in “issue spotting,” which is held up as the signature cognitive achievement of legal education but which, upon inspection, amounts to little more than pattern-matching against a memorized statute: the statute says that if X occurs then Y follows; the fact pattern contains X; the student “spots” the “issue.” The professor may throw “curve balls”—jurisdictional variations, procedural complications—but these are not deeper applications of principle. They are arbitrary variations that must be independently memorized. In Alabama the secured loan must be repaid on Tuesday; in Wyoming, on Wednesday. This is not complexity. It is trivia in the costume of complexity.</w:t>
      </w:r>
    </w:p>
    <w:p>
      <w:pPr>
        <w:spacing w:after="200" w:line="276"/>
        <w:jc w:val="both"/>
      </w:pPr>
      <w:r>
        <w:rPr>
          <w:rFonts w:ascii="Times New Roman" w:cs="Times New Roman" w:eastAsia="Times New Roman" w:hAnsi="Times New Roman"/>
          <w:sz w:val="24"/>
          <w:szCs w:val="24"/>
        </w:rPr>
        <w:t xml:space="preserve">The three cases are diagnostically precise. In accounting, the framework forms quickly and then does work for the learner. In finance, the framework forms slowly, through a dialectic of theory and failure, and then compresses the domain. In law, no framework forms at all. The learning curve is not steep followed by a plateau (accounting), nor uneven followed by compression (finance). It is flat. More exposure produces more familiarity, but not more understanding, because there is nothing there to understand—only more to memorize.</w:t>
      </w:r>
    </w:p>
    <w:p>
      <w:pPr>
        <w:pStyle w:val="Heading1"/>
        <w:spacing w:before="360" w:after="240"/>
      </w:pPr>
      <w:r>
        <w:rPr>
          <w:rFonts w:ascii="Times New Roman" w:cs="Times New Roman" w:eastAsia="Times New Roman" w:hAnsi="Times New Roman"/>
          <w:b/>
          <w:bCs/>
          <w:sz w:val="28"/>
          <w:szCs w:val="28"/>
        </w:rPr>
        <w:t xml:space="preserve">3. The Intermediate Effect and Its Legal Significance</w:t>
      </w:r>
    </w:p>
    <w:p>
      <w:pPr>
        <w:spacing w:after="200" w:line="276"/>
        <w:jc w:val="both"/>
      </w:pPr>
      <w:r>
        <w:rPr>
          <w:rFonts w:ascii="Times New Roman" w:cs="Times New Roman" w:eastAsia="Times New Roman" w:hAnsi="Times New Roman"/>
          <w:sz w:val="24"/>
          <w:szCs w:val="24"/>
        </w:rPr>
        <w:t xml:space="preserve">The empirical literature on legal education provides an inadvertent confirmation of this analysis. In a study examining the development of legal reasoning skills in law students through their law school careers—modeled on the extensive research into medical expertise development—Stefan Krieger found a striking pattern. Beginning law students, given a legal problem with a suggested hypothesis and contradictory evidence, did what novices do: they grabbed the hypothesis and ignored or reinterpreted the contradictory evidence. Their answers were simple, incomplete, but often substantively oriented. They engaged with the facts of the case as human beings confronting a human situation.</w:t>
      </w:r>
    </w:p>
    <w:p>
      <w:pPr>
        <w:spacing w:after="200" w:line="276"/>
        <w:jc w:val="both"/>
      </w:pPr>
      <w:r>
        <w:rPr>
          <w:rFonts w:ascii="Times New Roman" w:cs="Times New Roman" w:eastAsia="Times New Roman" w:hAnsi="Times New Roman"/>
          <w:sz w:val="24"/>
          <w:szCs w:val="24"/>
        </w:rPr>
        <w:t xml:space="preserve">Consider a concrete illustration. A total novice is given a case: A strikes B with a baseball bat. The novice says: A is guilty; lock him up. This answer is approximately sixty-nine percent correct. It captures the moral and factual core of the situation. A child could produce it.</w:t>
      </w:r>
    </w:p>
    <w:p>
      <w:pPr>
        <w:spacing w:after="200" w:line="276"/>
        <w:jc w:val="both"/>
      </w:pPr>
      <w:r>
        <w:rPr>
          <w:rFonts w:ascii="Times New Roman" w:cs="Times New Roman" w:eastAsia="Times New Roman" w:hAnsi="Times New Roman"/>
          <w:sz w:val="24"/>
          <w:szCs w:val="24"/>
        </w:rPr>
        <w:t xml:space="preserve">Intermediate law students—those midway through their legal education—performed worse. They had learned enough procedure to destroy their natural competence. They attempted to apply frameworks they half-understood—elements of offenses, burdens of proof, procedural posture—and the result was that they could no longer reach even the obvious answer. They maintained multiple hypotheses concurrently without evaluating them efficiently. The study interpreted this as a “process of knowledge reorganization that interferes with problem solving”—a phenomenon known in expertise research as the intermediate effect. The intermediate student was more confused than the layperson, and his output was worse.</w:t>
      </w:r>
    </w:p>
    <w:p>
      <w:pPr>
        <w:spacing w:after="200" w:line="276"/>
        <w:jc w:val="both"/>
      </w:pPr>
      <w:r>
        <w:rPr>
          <w:rFonts w:ascii="Times New Roman" w:cs="Times New Roman" w:eastAsia="Times New Roman" w:hAnsi="Times New Roman"/>
          <w:sz w:val="24"/>
          <w:szCs w:val="24"/>
        </w:rPr>
        <w:t xml:space="preserve">The intermediate law student, given the same case, does not evaluate it as a human situation. He tries to apply procedure, does it badly, and produces nothing. Zero. The procedure has not enhanced his reasoning; it has replaced his reasoning with noise.</w:t>
      </w:r>
    </w:p>
    <w:p>
      <w:pPr>
        <w:spacing w:after="200" w:line="276"/>
        <w:jc w:val="both"/>
      </w:pPr>
      <w:r>
        <w:rPr>
          <w:rFonts w:ascii="Times New Roman" w:cs="Times New Roman" w:eastAsia="Times New Roman" w:hAnsi="Times New Roman"/>
          <w:sz w:val="24"/>
          <w:szCs w:val="24"/>
        </w:rPr>
        <w:t xml:space="preserve">Advanced students recovered some performance. The advanced student says: yes, A struck B; but B provoked A; however, the five-factor test for the provocation defense in this jurisdiction requires all five factors, and only three are present; at the same time, there may be a mitigating circumstance under a separate doctrine; however, that doctrine is applied differently in this circuit… and so on. The answer is procedurally elaborate. But it arrives at the same destination the novice reached instantly: A is guilty. The “expertise” consists entirely of knowing which procedural hoops to traverse in order to arrive at a conclusion that was obvious before any hoops existed.</w:t>
      </w:r>
    </w:p>
    <w:p>
      <w:pPr>
        <w:spacing w:after="200" w:line="276"/>
        <w:jc w:val="both"/>
      </w:pPr>
      <w:r>
        <w:rPr>
          <w:rFonts w:ascii="Times New Roman" w:cs="Times New Roman" w:eastAsia="Times New Roman" w:hAnsi="Times New Roman"/>
          <w:sz w:val="24"/>
          <w:szCs w:val="24"/>
        </w:rPr>
        <w:t xml:space="preserve">In medicine—where the intermediate effect was originally studied—the learning curve is genuinely U-shaped. The intermediate slump is a transitional cost on the way to real mastery. The expert physician has reorganized her knowledge into efficient diagnostic schemas that compress the domain’s complexity into navigable form. The recovery is real because the domain is integrated: there are genuine causal structures, genuine patterns, genuine relationships between symptoms and pathologies that reward cognitive reorganization.</w:t>
      </w:r>
    </w:p>
    <w:p>
      <w:pPr>
        <w:spacing w:after="200" w:line="276"/>
        <w:jc w:val="both"/>
      </w:pPr>
      <w:r>
        <w:rPr>
          <w:rFonts w:ascii="Times New Roman" w:cs="Times New Roman" w:eastAsia="Times New Roman" w:hAnsi="Times New Roman"/>
          <w:sz w:val="24"/>
          <w:szCs w:val="24"/>
        </w:rPr>
        <w:t xml:space="preserve">The critical question for law is: how U-shaped is the curve? How many law students—or lawyers—actually reach the other side, where substantive understanding and procedural fluency are integrated into a coherent cognitive architecture?</w:t>
      </w:r>
    </w:p>
    <w:p>
      <w:pPr>
        <w:spacing w:after="200" w:line="276"/>
        <w:jc w:val="both"/>
      </w:pPr>
      <w:r>
        <w:rPr>
          <w:rFonts w:ascii="Times New Roman" w:cs="Times New Roman" w:eastAsia="Times New Roman" w:hAnsi="Times New Roman"/>
          <w:sz w:val="24"/>
          <w:szCs w:val="24"/>
        </w:rPr>
        <w:t xml:space="preserve">The honest answer is: almost none. And the ones who do were already capable of it before they entered law school. The lawyer who can say “A struck B, and here is how the five-factor test maps onto the moral reality of that situation, and here is where the test fails to capture what is actually going on” is not a product of legal education. He is a person who already possessed strong substantive judgment—moral, economic, philosophical—and who learned the procedural overlay as a second language. Legal education did not give him the substantive capacity. And the question raised by this analysis is whether it even gave him the procedural capacity efficiently, or whether that too could have been acquired in a fraction of the time.</w:t>
      </w:r>
    </w:p>
    <w:p>
      <w:pPr>
        <w:spacing w:after="200" w:line="276"/>
        <w:jc w:val="both"/>
      </w:pPr>
      <w:r>
        <w:rPr>
          <w:rFonts w:ascii="Times New Roman" w:cs="Times New Roman" w:eastAsia="Times New Roman" w:hAnsi="Times New Roman"/>
          <w:sz w:val="24"/>
          <w:szCs w:val="24"/>
        </w:rPr>
        <w:t xml:space="preserve">The vast majority of legal practitioners fall into one of two categories. Either they remain in the intermediate trough permanently—capable of generating procedural complexity but unable to evaluate it substantively, producing briefs that are technically formatted but say nothing. Or they “recover” in the sense described in Issue II: they habituate. They stop trying to integrate. They produce procedural output fluently and have long since stopped asking whether the output corresponds to anything real. This is not the recovery from the intermediate effect that occurs in medicine. It is not cognitive reorganization into deeper schemas. It is the extinction of the expectation that such reorganization is possible—which is, once again, precisely what we have been calling legal satori.</w:t>
      </w:r>
    </w:p>
    <w:p>
      <w:pPr>
        <w:pStyle w:val="Heading1"/>
        <w:spacing w:before="360" w:after="240"/>
      </w:pPr>
      <w:r>
        <w:rPr>
          <w:rFonts w:ascii="Times New Roman" w:cs="Times New Roman" w:eastAsia="Times New Roman" w:hAnsi="Times New Roman"/>
          <w:b/>
          <w:bCs/>
          <w:sz w:val="28"/>
          <w:szCs w:val="28"/>
        </w:rPr>
        <w:t xml:space="preserve">4. The Migration of Expertise to Social Capital</w:t>
      </w:r>
    </w:p>
    <w:p>
      <w:pPr>
        <w:spacing w:after="200" w:line="276"/>
        <w:jc w:val="both"/>
      </w:pPr>
      <w:r>
        <w:rPr>
          <w:rFonts w:ascii="Times New Roman" w:cs="Times New Roman" w:eastAsia="Times New Roman" w:hAnsi="Times New Roman"/>
          <w:sz w:val="24"/>
          <w:szCs w:val="24"/>
        </w:rPr>
        <w:t xml:space="preserve">If the foregoing analysis is correct—if legal reasoning does not consolidate into genuine cognitive architecture—then a prediction follows. In any domain with real cognitive structure, senior expertise is primarily cognitive. In a domain without real cognitive structure, senior expertise must migrate elsewhere, because there is nothing cognitive for it to consist in. The prediction is that in law, senior expertise will turn out to be primarily social.</w:t>
      </w:r>
    </w:p>
    <w:p>
      <w:pPr>
        <w:spacing w:after="200" w:line="276"/>
        <w:jc w:val="both"/>
      </w:pPr>
      <w:r>
        <w:rPr>
          <w:rFonts w:ascii="Times New Roman" w:cs="Times New Roman" w:eastAsia="Times New Roman" w:hAnsi="Times New Roman"/>
          <w:sz w:val="24"/>
          <w:szCs w:val="24"/>
        </w:rPr>
        <w:t xml:space="preserve">This prediction is confirmed by observation. Consider the highly respected, highly effective senior lawyer—the kind of practitioner who is described, within the profession, as possessing exceptional “legal judgment.” What does his effectiveness actually consist in? A great deal of it—arguably the majority—consists in his having cultivated relationships with particular judges, particular firms, particular bar committee members, particular administrative officials. He knows which clerk is sympathetic. He knows which opposing counsel is angling for a judgeship and will therefore settle quietly. He knows who on the relevant committee owes whom a favor. He has managed his reputation within a specific professional community over decades. His “judgment” is, to a very significant degree, a map of people and institutional dynamics—not a map of ideas.</w:t>
      </w:r>
    </w:p>
    <w:p>
      <w:pPr>
        <w:spacing w:after="200" w:line="276"/>
        <w:jc w:val="both"/>
      </w:pPr>
      <w:r>
        <w:rPr>
          <w:rFonts w:ascii="Times New Roman" w:cs="Times New Roman" w:eastAsia="Times New Roman" w:hAnsi="Times New Roman"/>
          <w:sz w:val="24"/>
          <w:szCs w:val="24"/>
        </w:rPr>
        <w:t xml:space="preserve">Now perform the thought experiment: strip away the social capital. The senior lawyer is dropped into a jurisdiction where he knows no one—no judges, no opposing counsel, no clerks, no committee members. His reputation does not follow him. What remains?</w:t>
      </w:r>
    </w:p>
    <w:p>
      <w:pPr>
        <w:spacing w:after="200" w:line="276"/>
        <w:jc w:val="both"/>
      </w:pPr>
      <w:r>
        <w:rPr>
          <w:rFonts w:ascii="Times New Roman" w:cs="Times New Roman" w:eastAsia="Times New Roman" w:hAnsi="Times New Roman"/>
          <w:sz w:val="24"/>
          <w:szCs w:val="24"/>
        </w:rPr>
        <w:t xml:space="preserve">Procedural fluency. He knows how to file motions. He knows the format of a brief. He has a large store of memorized jurisdictional trivia—though not for the new jurisdiction. But the thing that made him effective—the thing that made him win—was largely the social graph. Remove it, and a great deal of his “legal wisdom” simply vanishes.</w:t>
      </w:r>
    </w:p>
    <w:p>
      <w:pPr>
        <w:spacing w:after="200" w:line="276"/>
        <w:jc w:val="both"/>
      </w:pPr>
      <w:r>
        <w:rPr>
          <w:rFonts w:ascii="Times New Roman" w:cs="Times New Roman" w:eastAsia="Times New Roman" w:hAnsi="Times New Roman"/>
          <w:sz w:val="24"/>
          <w:szCs w:val="24"/>
        </w:rPr>
        <w:t xml:space="preserve">Compare this with any domain where genuine cognitive mastery exists. Drop the experienced financier into a new city with no contacts and a trading terminal, and he still knows what can be predicted and what cannot. He still constructs the options strategy. His expertise survives the removal of context because his expertise is cognitive—it is in him, not in his Rolodex.</w:t>
      </w:r>
    </w:p>
    <w:p>
      <w:pPr>
        <w:spacing w:after="200" w:line="276"/>
        <w:jc w:val="both"/>
      </w:pPr>
      <w:r>
        <w:rPr>
          <w:rFonts w:ascii="Times New Roman" w:cs="Times New Roman" w:eastAsia="Times New Roman" w:hAnsi="Times New Roman"/>
          <w:sz w:val="24"/>
          <w:szCs w:val="24"/>
        </w:rPr>
        <w:t xml:space="preserve">Or consider the military analogy, which is instructive because the military profession, like law, involves hierarchy, tradition, ritual, and the application of doctrine to messy reality. The officer who studies strategy at a military academy and then commands troops in the field undergoes a genuine intellectual arc. He initially thinks what he learned was irrelevant to actual combat. Then, with experience, he discovers that the theory was capturing something real, but subject to qualifications he was not made aware of. He arrives at a synthesis of theory and practice that is deeper than either alone. This is the tempering of abstraction by lived experience—a dialectic that produces genuine understanding.</w:t>
      </w:r>
    </w:p>
    <w:p>
      <w:pPr>
        <w:spacing w:after="200" w:line="276"/>
        <w:jc w:val="both"/>
      </w:pPr>
      <w:r>
        <w:rPr>
          <w:rFonts w:ascii="Times New Roman" w:cs="Times New Roman" w:eastAsia="Times New Roman" w:hAnsi="Times New Roman"/>
          <w:sz w:val="24"/>
          <w:szCs w:val="24"/>
        </w:rPr>
        <w:t xml:space="preserve">No analogous process occurs in law. The experienced lawyer does not look back at what he learned in law school and think: “That abstraction was actually right, but only under these conditions.” He looks back—if he is honest—and thinks: “None of that mattered. What mattered was that I learned how the system actually operates, which is to say, I learned who the players are and how they behave.” This is not the tempering of theory by practice. It is the replacement of theory by social navigation, because there was never any theory there to temper.</w:t>
      </w:r>
    </w:p>
    <w:p>
      <w:pPr>
        <w:spacing w:after="200" w:line="276"/>
        <w:jc w:val="both"/>
      </w:pPr>
      <w:r>
        <w:rPr>
          <w:rFonts w:ascii="Times New Roman" w:cs="Times New Roman" w:eastAsia="Times New Roman" w:hAnsi="Times New Roman"/>
          <w:sz w:val="24"/>
          <w:szCs w:val="24"/>
        </w:rPr>
        <w:t xml:space="preserve">The migration of legal expertise to social capital is not an accident. It is not a contingent feature of legal culture that could be reformed away. It is the inevitable consequence of the fact that the domain has no integrated cognitive structure to internalize. When there is nothing to master cognitively, mastery migrates to the only other available dimension: the social. The “great lawyer” is great the way a great lobbyist is great, or the way a great political fixer is great. He knows the terrain. But the terrain is made of people and institutional quirks, not ideas.</w:t>
      </w:r>
    </w:p>
    <w:p>
      <w:pPr>
        <w:pStyle w:val="Heading1"/>
        <w:spacing w:before="360" w:after="240"/>
      </w:pPr>
      <w:r>
        <w:rPr>
          <w:rFonts w:ascii="Times New Roman" w:cs="Times New Roman" w:eastAsia="Times New Roman" w:hAnsi="Times New Roman"/>
          <w:b/>
          <w:bCs/>
          <w:sz w:val="28"/>
          <w:szCs w:val="28"/>
        </w:rPr>
        <w:t xml:space="preserve">5. The Three Failures as a Unified Indictment</w:t>
      </w:r>
    </w:p>
    <w:p>
      <w:pPr>
        <w:spacing w:after="200" w:line="276"/>
        <w:jc w:val="both"/>
      </w:pPr>
      <w:r>
        <w:rPr>
          <w:rFonts w:ascii="Times New Roman" w:cs="Times New Roman" w:eastAsia="Times New Roman" w:hAnsi="Times New Roman"/>
          <w:sz w:val="24"/>
          <w:szCs w:val="24"/>
        </w:rPr>
        <w:t xml:space="preserve">The three failures identified in this article are not independent. They are three manifestations of a single underlying condition: the absence of integrated cognitive structure in the legal domain.</w:t>
      </w:r>
    </w:p>
    <w:p>
      <w:pPr>
        <w:spacing w:after="200" w:line="276"/>
        <w:jc w:val="both"/>
      </w:pPr>
      <w:r>
        <w:rPr>
          <w:rFonts w:ascii="Times New Roman" w:cs="Times New Roman" w:eastAsia="Times New Roman" w:hAnsi="Times New Roman"/>
          <w:sz w:val="24"/>
          <w:szCs w:val="24"/>
        </w:rPr>
        <w:t xml:space="preserve">The flat learning curve (Section 2) is a consequence of this absence. Where there is no integrated structure, there is nothing for learning to consolidate into. Knowledge accumulates but never organizes. New information piles on top of old information rather than being absorbed by a framework, because there is no framework. The learner’s experience never undergoes the qualitative transformation that characterizes mastery, because there is no structural depth for the transformation to reach.</w:t>
      </w:r>
    </w:p>
    <w:p>
      <w:pPr>
        <w:spacing w:after="200" w:line="276"/>
        <w:jc w:val="both"/>
      </w:pPr>
      <w:r>
        <w:rPr>
          <w:rFonts w:ascii="Times New Roman" w:cs="Times New Roman" w:eastAsia="Times New Roman" w:hAnsi="Times New Roman"/>
          <w:sz w:val="24"/>
          <w:szCs w:val="24"/>
        </w:rPr>
        <w:t xml:space="preserve">The failed intermediate recovery (Section 3) is a consequence of this absence. In medicine, the intermediate effect resolves because the domain’s integrated structure provides something for the reorganizing knowledge to organize around. In law, the reorganization has no attractor. The intermediate student’s confusion is not a waypoint on the road to mastery. It is a more accurate perception of reality than the beginner’s false confidence. The “recovery” that follows is not cognitive reorganization but habituation—the extinction of the expectation of coherence.</w:t>
      </w:r>
    </w:p>
    <w:p>
      <w:pPr>
        <w:spacing w:after="200" w:line="276"/>
        <w:jc w:val="both"/>
      </w:pPr>
      <w:r>
        <w:rPr>
          <w:rFonts w:ascii="Times New Roman" w:cs="Times New Roman" w:eastAsia="Times New Roman" w:hAnsi="Times New Roman"/>
          <w:sz w:val="24"/>
          <w:szCs w:val="24"/>
        </w:rPr>
        <w:t xml:space="preserve">The migration of senior expertise to social capital (Section 4) is a consequence of this absence. In a domain with genuine cognitive structure, expertise is primarily cognitive because there is something cognitive to acquire. In a domain without such structure, expertise must find another substrate. In law, it finds the social graph. The senior lawyer’s effectiveness consists not in what he knows but in whom he knows, because the domain offers nothing of cognitive substance to know.</w:t>
      </w:r>
    </w:p>
    <w:p>
      <w:pPr>
        <w:spacing w:after="200" w:line="276"/>
        <w:jc w:val="both"/>
      </w:pPr>
      <w:r>
        <w:rPr>
          <w:rFonts w:ascii="Times New Roman" w:cs="Times New Roman" w:eastAsia="Times New Roman" w:hAnsi="Times New Roman"/>
          <w:sz w:val="24"/>
          <w:szCs w:val="24"/>
        </w:rPr>
        <w:t xml:space="preserve">Together, these three failures constitute a complete indictment—not of individual lawyers, many of whom are intelligent and diligent, but of the claim that legal reasoning is a form of reasoning at all. A form of reasoning that does not consolidate, whose intermediate learners regress without genuine recovery, and whose senior practitioners derive their effectiveness from social relationships rather than cognitive architecture is not a form of reasoning. It is a set of procedures embedded in a social hierarchy—and the phrase “legal reasoning” is the label that prevents this from being seen.</w:t>
      </w:r>
    </w:p>
    <w:p>
      <w:pPr>
        <w:pStyle w:val="Heading1"/>
        <w:spacing w:before="360" w:after="240"/>
      </w:pPr>
      <w:r>
        <w:rPr>
          <w:rFonts w:ascii="Times New Roman" w:cs="Times New Roman" w:eastAsia="Times New Roman" w:hAnsi="Times New Roman"/>
          <w:b/>
          <w:bCs/>
          <w:sz w:val="28"/>
          <w:szCs w:val="28"/>
        </w:rPr>
        <w:t xml:space="preserve">6. The Sedimentary Explanation</w:t>
      </w:r>
    </w:p>
    <w:p>
      <w:pPr>
        <w:spacing w:after="200" w:line="276"/>
        <w:jc w:val="both"/>
      </w:pPr>
      <w:r>
        <w:rPr>
          <w:rFonts w:ascii="Times New Roman" w:cs="Times New Roman" w:eastAsia="Times New Roman" w:hAnsi="Times New Roman"/>
          <w:sz w:val="24"/>
          <w:szCs w:val="24"/>
        </w:rPr>
        <w:t xml:space="preserve">Why does law lack integrated cognitive structure? The answer, developed in Issue II of this series, is that legal complexity is sedimentary rather than organic. A biological system is complex but integrated: its components are functionally organized, and this organization supports holistic comprehension. The expert biologist grasps the organism as a unified system. His mastery is precisely the ability to perceive the integration.</w:t>
      </w:r>
    </w:p>
    <w:p>
      <w:pPr>
        <w:spacing w:after="200" w:line="276"/>
        <w:jc w:val="both"/>
      </w:pPr>
      <w:r>
        <w:rPr>
          <w:rFonts w:ascii="Times New Roman" w:cs="Times New Roman" w:eastAsia="Times New Roman" w:hAnsi="Times New Roman"/>
          <w:sz w:val="24"/>
          <w:szCs w:val="24"/>
        </w:rPr>
        <w:t xml:space="preserve">The law is not a functionally integrated system. It is an accumulation of statutes enacted by different legislatures at different times for different reasons; of regulations drafted by agencies with overlapping and conflicting mandates; of judicial opinions that contradict one another across jurisdictions and sometimes within a single jurisdiction; of procedural rules that vary by county and are revised without coordination. The law was not designed. It sedimented. And sedimentary complexity does not reward understanding, because it was not produced by a process that understanding could recapitulate.</w:t>
      </w:r>
    </w:p>
    <w:p>
      <w:pPr>
        <w:spacing w:after="200" w:line="276"/>
        <w:jc w:val="both"/>
      </w:pPr>
      <w:r>
        <w:rPr>
          <w:rFonts w:ascii="Times New Roman" w:cs="Times New Roman" w:eastAsia="Times New Roman" w:hAnsi="Times New Roman"/>
          <w:sz w:val="24"/>
          <w:szCs w:val="24"/>
        </w:rPr>
        <w:t xml:space="preserve">This is why the learning curve is flat: there is no underlying logic to discern. This is why the intermediate effect does not resolve: there is no structural depth for reorganized knowledge to latch onto. This is why senior expertise is social rather than cognitive: there is no cognitive object to have expertise about. The sedimentary character of legal complexity is not an incidental feature that could be reformed. It is constitutive of what law is. And it is what makes “legal reasoning” a contradiction in terms.</w:t>
      </w:r>
    </w:p>
    <w:p>
      <w:pPr>
        <w:pStyle w:val="Heading1"/>
        <w:spacing w:before="360" w:after="240"/>
      </w:pPr>
      <w:r>
        <w:rPr>
          <w:rFonts w:ascii="Times New Roman" w:cs="Times New Roman" w:eastAsia="Times New Roman" w:hAnsi="Times New Roman"/>
          <w:b/>
          <w:bCs/>
          <w:sz w:val="28"/>
          <w:szCs w:val="28"/>
        </w:rPr>
        <w:t xml:space="preserve">7. Conclusion: The Complete Arc</w:t>
      </w:r>
    </w:p>
    <w:p>
      <w:pPr>
        <w:spacing w:after="200" w:line="276"/>
        <w:jc w:val="both"/>
      </w:pPr>
      <w:r>
        <w:rPr>
          <w:rFonts w:ascii="Times New Roman" w:cs="Times New Roman" w:eastAsia="Times New Roman" w:hAnsi="Times New Roman"/>
          <w:sz w:val="24"/>
          <w:szCs w:val="24"/>
        </w:rPr>
        <w:t xml:space="preserve">The argument of this three-part series is now complete. In Issue I, we showed that Zen Buddhism’s concept of satori is self-cancelling: its content, when specified, is identical to the recognition of its own emptiness. In Issue II, we showed that the legal profession’s concept of “thinking like a lawyer” exhibits the same structure: the “insight” it promises is the eventual recognition that no such insight exists. In the present issue, we have identified the specific mechanisms that produce this self-cancellation in the legal domain: the flat learning curve, the failed intermediate recovery, and the migration of expertise to social capital—all consequences of the sedimentary, non-integrated character of legal complexity.</w:t>
      </w:r>
    </w:p>
    <w:p>
      <w:pPr>
        <w:spacing w:after="200" w:line="276"/>
        <w:jc w:val="both"/>
      </w:pPr>
      <w:r>
        <w:rPr>
          <w:rFonts w:ascii="Times New Roman" w:cs="Times New Roman" w:eastAsia="Times New Roman" w:hAnsi="Times New Roman"/>
          <w:sz w:val="24"/>
          <w:szCs w:val="24"/>
        </w:rPr>
        <w:t xml:space="preserve">The profession will object. It will say that the critic “doesn’t understand how complex the law is”—confusing sedimentary complexity with integrated complexity. It will say that the critic “has never practiced”—deploying the same immunization strategy that Zen deploys against the outsider who has not “attained” satori. It will say that legal reasoning is “subtle” and “nuanced”—which are words that, in this context, function exactly as “beyond concepts” functions in the Zen vocabulary: as placeholders for a content that, if specified, would turn out to be absent.</w:t>
      </w:r>
    </w:p>
    <w:p>
      <w:pPr>
        <w:spacing w:after="200" w:line="276"/>
        <w:jc w:val="both"/>
      </w:pPr>
      <w:r>
        <w:rPr>
          <w:rFonts w:ascii="Times New Roman" w:cs="Times New Roman" w:eastAsia="Times New Roman" w:hAnsi="Times New Roman"/>
          <w:sz w:val="24"/>
          <w:szCs w:val="24"/>
        </w:rPr>
        <w:t xml:space="preserve">But the three diagnostics developed here are not impressionistic. They are structural, empirically grounded, and comparative. Every genuine discipline produces cognitive consolidation; law does not. Every genuine discipline resolves the intermediate effect through deeper cognitive organization; law does not. In every genuine discipline, senior expertise survives the removal of social context; in law, it largely does not. These are not the marks of a discipline whose depth exceeds the critic’s comprehension. They are the marks of a domain that has no depth—and whose most important institutional function is to prevent this from being recognized.</w:t>
      </w:r>
    </w:p>
    <w:p>
      <w:pPr>
        <w:spacing w:after="200" w:line="276"/>
        <w:jc w:val="both"/>
      </w:pPr>
      <w:r>
        <w:rPr>
          <w:rFonts w:ascii="Times New Roman" w:cs="Times New Roman" w:eastAsia="Times New Roman" w:hAnsi="Times New Roman"/>
          <w:sz w:val="24"/>
          <w:szCs w:val="24"/>
        </w:rPr>
        <w:t xml:space="preserve">What the legal profession calls reasoning is procedure. What it calls expertise is social capital. What it calls complexity is sediment. And what it calls education is the three-year, $200,000 process by which an intelligent person is taught to mistake these things for one another.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20"/>
        <w:szCs w:val="20"/>
      </w:rPr>
      <w:t xml:space="preserve">Zhi Systems — The Flat Learning Curve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2026-02-18T22:57:22.519Z</dcterms:created>
  <dcterms:modified xsi:type="dcterms:W3CDTF">2026-02-18T22:57:22.520Z</dcterms:modified>
</cp:coreProperties>
</file>

<file path=docProps/custom.xml><?xml version="1.0" encoding="utf-8"?>
<Properties xmlns="http://schemas.openxmlformats.org/officeDocument/2006/custom-properties" xmlns:vt="http://schemas.openxmlformats.org/officeDocument/2006/docPropsVTypes"/>
</file>