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The Grammar of Nothing: Why Legal Knowledge Illuminates No Reality Beyond Itself</w:t>
      </w:r>
    </w:p>
    <w:p>
      <w:pPr>
        <w:spacing w:after="80"/>
        <w:jc w:val="center"/>
      </w:pPr>
      <w:r>
        <w:rPr>
          <w:rFonts w:ascii="Times New Roman" w:cs="Times New Roman" w:eastAsia="Times New Roman" w:hAnsi="Times New Roman"/>
          <w:i/>
          <w:iCs/>
          <w:sz w:val="24"/>
          <w:szCs w:val="24"/>
        </w:rPr>
        <w:t xml:space="preserve">Issue IV and Final of “Self-Cancelling Concepts”</w:t>
      </w:r>
    </w:p>
    <w:p>
      <w:pPr>
        <w:spacing w:after="360"/>
        <w:jc w:val="center"/>
      </w:pPr>
      <w:r>
        <w:rPr>
          <w:rFonts w:ascii="Times New Roman" w:cs="Times New Roman" w:eastAsia="Times New Roman" w:hAnsi="Times New Roman"/>
          <w:sz w:val="24"/>
          <w:szCs w:val="24"/>
        </w:rPr>
        <w:t xml:space="preserve">Author: Zhi Systems</w:t>
      </w:r>
    </w:p>
    <w:p>
      <w:pPr>
        <w:pStyle w:val="Heading1"/>
        <w:spacing w:before="360" w:after="240"/>
      </w:pPr>
      <w:r>
        <w:rPr>
          <w:rFonts w:ascii="Times New Roman" w:cs="Times New Roman" w:eastAsia="Times New Roman" w:hAnsi="Times New Roman"/>
          <w:b/>
          <w:bCs/>
          <w:sz w:val="28"/>
          <w:szCs w:val="28"/>
        </w:rPr>
        <w:t xml:space="preserve">Abstract</w:t>
      </w:r>
    </w:p>
    <w:p>
      <w:pPr>
        <w:spacing w:after="200" w:line="276"/>
        <w:jc w:val="both"/>
      </w:pPr>
      <w:r>
        <w:rPr>
          <w:rFonts w:ascii="Times New Roman" w:cs="Times New Roman" w:eastAsia="Times New Roman" w:hAnsi="Times New Roman"/>
          <w:i/>
          <w:iCs/>
          <w:sz w:val="24"/>
          <w:szCs w:val="24"/>
        </w:rPr>
        <w:t xml:space="preserve">The first three issues of this series established that the concept of “legal reasoning” is self-cancelling (Issue I–II) and that legal education fails to produce genuine cognitive mastery even within its own domain (Issue III). The present article completes the argument by identifying what legal knowledge lacks that every genuine form of expertise possesses: a deep grammar—a structural lens that, once internalized, reveals previously invisible patterns not merely within the domain but across human experience generally. Finance provides such a grammar (of incentives, exchange, and risk). Philosophy provides one (of implication, presupposition, and consistency). Military experience provides one (of strategy, constraint, and the dialectic of plan and reality). Even rudimentary chess provides one (of consequential reasoning under constraint). Law provides none. Legal knowledge begins and ends with legal procedure. It illuminates no reality beyond itself. This article develops that claim through a series of diagnostic tests: the lens test (does the discipline make the world more legible?), the character test (does it illuminate human nature?), the correction test (does insider knowledge make a dramatization’s corresponding reality more or less interesting than the dramatization itself?), and the transfer test (does even rudimentary competence sharpen general reasoning?). Law fails every test. The conclusion is that law is not a way of understanding the world. It is a set of procedures for navigating an institutional apparatus—and the phrase “legal reasoning” is the label that prevents this from being seen.</w:t>
      </w:r>
    </w:p>
    <w:p>
      <w:pPr>
        <w:spacing w:after="20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deep grammar, legal reasoning, expertise, transfer, cognitive lens, dramatization, character, institutional knowledge</w:t>
      </w:r>
    </w:p>
    <w:p>
      <w:pPr>
        <w:pStyle w:val="Heading1"/>
        <w:spacing w:before="360" w:after="240"/>
      </w:pPr>
      <w:r>
        <w:rPr>
          <w:rFonts w:ascii="Times New Roman" w:cs="Times New Roman" w:eastAsia="Times New Roman" w:hAnsi="Times New Roman"/>
          <w:b/>
          <w:bCs/>
          <w:sz w:val="28"/>
          <w:szCs w:val="28"/>
        </w:rPr>
        <w:t xml:space="preserve">1. Introduction: What a Discipline Gives You</w:t>
      </w:r>
    </w:p>
    <w:p>
      <w:pPr>
        <w:spacing w:after="200" w:line="276"/>
        <w:jc w:val="both"/>
      </w:pPr>
      <w:r>
        <w:rPr>
          <w:rFonts w:ascii="Times New Roman" w:cs="Times New Roman" w:eastAsia="Times New Roman" w:hAnsi="Times New Roman"/>
          <w:sz w:val="24"/>
          <w:szCs w:val="24"/>
        </w:rPr>
        <w:t xml:space="preserve">The first three issues of this series built a cumulative case against the concept of “legal reasoning.” Issue I showed that Zen Buddhism’s concept of satori is self-cancelling: its content, when specified, is identical to the recognition of its own emptiness. Issue II showed that “thinking like a lawyer” exhibits the same structure. Issue III identified the specific internal pathologies—the flat learning curve, the failed intermediate recovery, the migration of senior expertise to social capital—that explain why legal education fails to produce genuine cognitive mastery.</w:t>
      </w:r>
    </w:p>
    <w:p>
      <w:pPr>
        <w:spacing w:after="200" w:line="276"/>
        <w:jc w:val="both"/>
      </w:pPr>
      <w:r>
        <w:rPr>
          <w:rFonts w:ascii="Times New Roman" w:cs="Times New Roman" w:eastAsia="Times New Roman" w:hAnsi="Times New Roman"/>
          <w:sz w:val="24"/>
          <w:szCs w:val="24"/>
        </w:rPr>
        <w:t xml:space="preserve">The present article raises the stakes. The argument so far has been largely negative: legal reasoning does not consolidate, does not produce mastery, does not cohere. But a negative argument invites the suspicion that something has merely been overlooked—that the critic has failed to see what is there. This article forecloses that suspicion by specifying, with precision, what is missing. What is missing is a deep grammar.</w:t>
      </w:r>
    </w:p>
    <w:p>
      <w:pPr>
        <w:spacing w:after="200" w:line="276"/>
        <w:jc w:val="both"/>
      </w:pPr>
      <w:r>
        <w:rPr>
          <w:rFonts w:ascii="Times New Roman" w:cs="Times New Roman" w:eastAsia="Times New Roman" w:hAnsi="Times New Roman"/>
          <w:sz w:val="24"/>
          <w:szCs w:val="24"/>
        </w:rPr>
        <w:t xml:space="preserve">Every genuine discipline—every domain of knowledge that deserves the name—provides the learner with a structural lens. Once internalized, this lens reveals patterns in the world that were previously invisible. The patterns are not confined to the domain itself. They obtain wherever the underlying structure obtains, which is typically everywhere. The financier sees incentive structures in family disputes. The philosopher sees hidden presuppositions in advertising. The engineer sees load-bearing structures and failure points in organizations. The musician perceives temporal patterning in speech. The discipline gives you a grammar—and the grammar, once acquired, reads the world.</w:t>
      </w:r>
    </w:p>
    <w:p>
      <w:pPr>
        <w:spacing w:after="200" w:line="276"/>
        <w:jc w:val="both"/>
      </w:pPr>
      <w:r>
        <w:rPr>
          <w:rFonts w:ascii="Times New Roman" w:cs="Times New Roman" w:eastAsia="Times New Roman" w:hAnsi="Times New Roman"/>
          <w:sz w:val="24"/>
          <w:szCs w:val="24"/>
        </w:rPr>
        <w:t xml:space="preserve">Law gives you no such grammar. Legal knowledge, however extensive, does not make the world more legible. It does not reveal structure in human affairs that was previously hidden. It does not provide a vocabulary that applies beyond the courthouse. It begins and ends with itself. This article establishes that claim through four diagnostic tests, each of which law fails completely.</w:t>
      </w:r>
    </w:p>
    <w:p>
      <w:pPr>
        <w:pStyle w:val="Heading1"/>
        <w:spacing w:before="360" w:after="240"/>
      </w:pPr>
      <w:r>
        <w:rPr>
          <w:rFonts w:ascii="Times New Roman" w:cs="Times New Roman" w:eastAsia="Times New Roman" w:hAnsi="Times New Roman"/>
          <w:b/>
          <w:bCs/>
          <w:sz w:val="28"/>
          <w:szCs w:val="28"/>
        </w:rPr>
        <w:t xml:space="preserve">2. The Lens Test</w:t>
      </w:r>
    </w:p>
    <w:p>
      <w:pPr>
        <w:spacing w:after="200" w:line="276"/>
        <w:jc w:val="both"/>
      </w:pPr>
      <w:r>
        <w:rPr>
          <w:rFonts w:ascii="Times New Roman" w:cs="Times New Roman" w:eastAsia="Times New Roman" w:hAnsi="Times New Roman"/>
          <w:sz w:val="24"/>
          <w:szCs w:val="24"/>
        </w:rPr>
        <w:t xml:space="preserve">The first and most fundamental diagnostic: does the discipline provide a lens through which the world becomes more legible?</w:t>
      </w:r>
    </w:p>
    <w:p>
      <w:pPr>
        <w:spacing w:after="200" w:line="276"/>
        <w:jc w:val="both"/>
      </w:pPr>
      <w:r>
        <w:rPr>
          <w:rFonts w:ascii="Times New Roman" w:cs="Times New Roman" w:eastAsia="Times New Roman" w:hAnsi="Times New Roman"/>
          <w:sz w:val="24"/>
          <w:szCs w:val="24"/>
        </w:rPr>
        <w:t xml:space="preserve">Consider finance. A person who has built a business—or managed investments, or simply worked within the economy with sustained attention—acquires a grammar of incentives, risk, time-preference, and exchange. This grammar is not a metaphor. It is a structural description of how human beings actually behave in conditions of scarcity and uncertainty. And once internalized, it applies everywhere. Two people negotiating who picks up the children: that is a transaction, with opportunity costs and implicit pricing. A politician trading a vote for a committee chairmanship: that is a transaction, with discount rates and reputational exposure. A person choosing between a stable career and an entrepreneurial gamble: that is a risk calculation, legible in precisely the terms that finance provides. The financier does not force this lens onto the world. The world presents itself through the lens because the lens captures something real. Finance is a deep grammar of human interaction, and having internalized it, one cannot help but perceive the structures it describes.</w:t>
      </w:r>
    </w:p>
    <w:p>
      <w:pPr>
        <w:spacing w:after="200" w:line="276"/>
        <w:jc w:val="both"/>
      </w:pPr>
      <w:r>
        <w:rPr>
          <w:rFonts w:ascii="Times New Roman" w:cs="Times New Roman" w:eastAsia="Times New Roman" w:hAnsi="Times New Roman"/>
          <w:sz w:val="24"/>
          <w:szCs w:val="24"/>
        </w:rPr>
        <w:t xml:space="preserve">Philosophy provides an equally powerful but differently oriented grammar: the grammar of implication, consistency, hidden presupposition, and argumentative structure. Once internalized, it is inescapable. The philosopher sees when a political argument smuggles in an undefended premise. He sees when two commitments are jointly inconsistent even though their holder has not noticed. He sees the structure of an argument—not just its content—and this structural perception applies to everything from advertising to theology to dinner-table conversation. The grammar of logic is everywhere, because every domain involves claims that stand in logical relations to one another.</w:t>
      </w:r>
    </w:p>
    <w:p>
      <w:pPr>
        <w:spacing w:after="200" w:line="276"/>
        <w:jc w:val="both"/>
      </w:pPr>
      <w:r>
        <w:rPr>
          <w:rFonts w:ascii="Times New Roman" w:cs="Times New Roman" w:eastAsia="Times New Roman" w:hAnsi="Times New Roman"/>
          <w:sz w:val="24"/>
          <w:szCs w:val="24"/>
        </w:rPr>
        <w:t xml:space="preserve">Military experience provides a grammar of strategy, constraint, and the relationship between plan and execution. The experienced officer sees friction—in the Clausewitzian sense—everywhere: in businesses, in political campaigns, in any enterprise where intention meets resistance. He understands the difference between a plan and its implementation, between a strategy and the conditions that must obtain for the strategy to work. This grammar applies far beyond the battlefield because the underlying structure—purposive action under uncertainty and opposition—is a universal feature of human endeavor.</w:t>
      </w:r>
    </w:p>
    <w:p>
      <w:pPr>
        <w:spacing w:after="200" w:line="276"/>
        <w:jc w:val="both"/>
      </w:pPr>
      <w:r>
        <w:rPr>
          <w:rFonts w:ascii="Times New Roman" w:cs="Times New Roman" w:eastAsia="Times New Roman" w:hAnsi="Times New Roman"/>
          <w:sz w:val="24"/>
          <w:szCs w:val="24"/>
        </w:rPr>
        <w:t xml:space="preserve">Now: what does legal knowledge reveal? What deep grammar does the lawyer possess? What structures does he perceive, after decades of practice, that the layperson does not?</w:t>
      </w:r>
    </w:p>
    <w:p>
      <w:pPr>
        <w:spacing w:after="200" w:line="276"/>
        <w:jc w:val="both"/>
      </w:pPr>
      <w:r>
        <w:rPr>
          <w:rFonts w:ascii="Times New Roman" w:cs="Times New Roman" w:eastAsia="Times New Roman" w:hAnsi="Times New Roman"/>
          <w:sz w:val="24"/>
          <w:szCs w:val="24"/>
        </w:rPr>
        <w:t xml:space="preserve">The answer is: none. The lawyer sees legal procedure. He sees that a situation might give rise to a cause of action. He sees that a contract is missing a clause, or that a business is exposed to a particular form of liability. But these perceptions are not perceptions of deep structure in human affairs. They are perceptions of how a specific institutional apparatus would process a given situation. The lawyer does not see the world more clearly. He sees the legal system more clearly—which is to say, he sees the machinery that processes the world, not the world itself. The lens does not reveal reality. It reveals the filter that the legal system interposes between itself and reality.</w:t>
      </w:r>
    </w:p>
    <w:p>
      <w:pPr>
        <w:spacing w:after="200" w:line="276"/>
        <w:jc w:val="both"/>
      </w:pPr>
      <w:r>
        <w:rPr>
          <w:rFonts w:ascii="Times New Roman" w:cs="Times New Roman" w:eastAsia="Times New Roman" w:hAnsi="Times New Roman"/>
          <w:sz w:val="24"/>
          <w:szCs w:val="24"/>
        </w:rPr>
        <w:t xml:space="preserve">This is the difference between a grammar and a procedure manual. Finance provides a grammar because it tracks a real structure—incentives, exchange, risk—that exists independently of any institutional apparatus. Philosophy provides a grammar because it tracks a real structure—logical relations between propositions—that exists independently of any institution. Law provides a procedure manual. Remove the institutional apparatus—the courts, the statutes, the jurisdictional boundaries—and legal knowledge refers to nothing. It has no independent object. It is, in the deepest sense, a grammar of nothing.</w:t>
      </w:r>
    </w:p>
    <w:p>
      <w:pPr>
        <w:pStyle w:val="Heading1"/>
        <w:spacing w:before="360" w:after="240"/>
      </w:pPr>
      <w:r>
        <w:rPr>
          <w:rFonts w:ascii="Times New Roman" w:cs="Times New Roman" w:eastAsia="Times New Roman" w:hAnsi="Times New Roman"/>
          <w:b/>
          <w:bCs/>
          <w:sz w:val="28"/>
          <w:szCs w:val="28"/>
        </w:rPr>
        <w:t xml:space="preserve">3. The Transfer Test: Chess, Business, and the Failure of Legal Education</w:t>
      </w:r>
    </w:p>
    <w:p>
      <w:pPr>
        <w:spacing w:after="200" w:line="276"/>
        <w:jc w:val="both"/>
      </w:pPr>
      <w:r>
        <w:rPr>
          <w:rFonts w:ascii="Times New Roman" w:cs="Times New Roman" w:eastAsia="Times New Roman" w:hAnsi="Times New Roman"/>
          <w:sz w:val="24"/>
          <w:szCs w:val="24"/>
        </w:rPr>
        <w:t xml:space="preserve">A corollary of the lens test is the transfer test: does even rudimentary competence in the discipline sharpen general reasoning?</w:t>
      </w:r>
    </w:p>
    <w:p>
      <w:pPr>
        <w:spacing w:after="200" w:line="276"/>
        <w:jc w:val="both"/>
      </w:pPr>
      <w:r>
        <w:rPr>
          <w:rFonts w:ascii="Times New Roman" w:cs="Times New Roman" w:eastAsia="Times New Roman" w:hAnsi="Times New Roman"/>
          <w:sz w:val="24"/>
          <w:szCs w:val="24"/>
        </w:rPr>
        <w:t xml:space="preserve">In every genuinely structured domain, the early-to-intermediate stages of learning exercise generic cognitive capacities—spatial reasoning, pattern recognition, strategic evaluation, the ability to hold multiple contingencies in mind—that bleed into other domains. The surgeon’s three-dimensional spatial reasoning, developed through thousands of hours of operating, enhances his general ability to think visually. Basic chess improves a person’s ability to evaluate trade-offs in business. Basic musicianship sharpens temporal pattern recognition. The transfer is real, though it is the generic cognitive substrate that transfers, not the domain-specific mastery. Getting from zero to middling at chess exercises transferable forms of reasoning; getting from middling to grandmaster involves chess-specific pattern libraries that do not generalize. But the rudimentary enhancement is genuine, and it arises naturally—without forcing, without deliberate “application.” The capacity is simply there, and it activates when the structure of a new problem calls for it.</w:t>
      </w:r>
    </w:p>
    <w:p>
      <w:pPr>
        <w:spacing w:after="200" w:line="276"/>
        <w:jc w:val="both"/>
      </w:pPr>
      <w:r>
        <w:rPr>
          <w:rFonts w:ascii="Times New Roman" w:cs="Times New Roman" w:eastAsia="Times New Roman" w:hAnsi="Times New Roman"/>
          <w:sz w:val="24"/>
          <w:szCs w:val="24"/>
        </w:rPr>
        <w:t xml:space="preserve">Consider a concrete case. A person takes up chess at the age of fifty. He is, by his own assessment, dreadful. But the practice of chess—even bad chess—makes him more deliberate about consequential decision-making generally. He finds himself reasoning in decision trees: if I take this action, then this consequence follows; but if I don’t, then a different consequence follows; and the first consequence is mitigated by a further consideration. This structure—multi-step consequential reasoning under constraint—transfers seamlessly. The applications arise naturally. He does not think: “Let me apply chess reasoning to this problem.” The deliberateness just appears, because chess has exercised a genuinely generic cognitive capacity, and that capacity, once sharpened, applies everywhere.</w:t>
      </w:r>
    </w:p>
    <w:p>
      <w:pPr>
        <w:spacing w:after="200" w:line="276"/>
        <w:jc w:val="both"/>
      </w:pPr>
      <w:r>
        <w:rPr>
          <w:rFonts w:ascii="Times New Roman" w:cs="Times New Roman" w:eastAsia="Times New Roman" w:hAnsi="Times New Roman"/>
          <w:sz w:val="24"/>
          <w:szCs w:val="24"/>
        </w:rPr>
        <w:t xml:space="preserve">Here is the damning point: this same person, having completed two years of law school, reports no analogous transfer. None. The multi-step consequential reasoning—“if I file this injunction, then I am estopped on this other issue; but if I don’t, then a default judgment will be issued; and the estoppel is rendered moot by…”—came from chess, not from legal education. The very form of reasoning that legal education claims to teach—the weighing of contingencies, the evaluation of downstream consequences, the balancing of competing considerations—was produced by a board game taken up in middle age and played badly, not by two years of intensive study at an accredited institution.</w:t>
      </w:r>
    </w:p>
    <w:p>
      <w:pPr>
        <w:spacing w:after="200" w:line="276"/>
        <w:jc w:val="both"/>
      </w:pPr>
      <w:r>
        <w:rPr>
          <w:rFonts w:ascii="Times New Roman" w:cs="Times New Roman" w:eastAsia="Times New Roman" w:hAnsi="Times New Roman"/>
          <w:sz w:val="24"/>
          <w:szCs w:val="24"/>
        </w:rPr>
        <w:t xml:space="preserve">This is not an anomaly. It is the predictable consequence of the flat learning curve identified in Issue III. Legal education does not exercise generic cognitive capacities because it is not engaged in genuine cognitive training. From day one, it consists of memorizing arbitrary particulars—this statute, this jurisdictional variation, this procedural requirement. There is no spatial reasoning being developed. No pattern recognition being sharpened. No strategic evaluation being refined. The generic cognitive substrate that would transfer if it were being exercised is never engaged in the first place. A bad chess player gets more cognitive enhancement from his hobby than a law student gets from a professional education that costs a quarter of a million dollars.</w:t>
      </w:r>
    </w:p>
    <w:p>
      <w:pPr>
        <w:pStyle w:val="Heading1"/>
        <w:spacing w:before="360" w:after="240"/>
      </w:pPr>
      <w:r>
        <w:rPr>
          <w:rFonts w:ascii="Times New Roman" w:cs="Times New Roman" w:eastAsia="Times New Roman" w:hAnsi="Times New Roman"/>
          <w:b/>
          <w:bCs/>
          <w:sz w:val="28"/>
          <w:szCs w:val="28"/>
        </w:rPr>
        <w:t xml:space="preserve">4. The Character Test: Scrooge and the Absence of Legal Depth</w:t>
      </w:r>
    </w:p>
    <w:p>
      <w:pPr>
        <w:spacing w:after="200" w:line="276"/>
        <w:jc w:val="both"/>
      </w:pPr>
      <w:r>
        <w:rPr>
          <w:rFonts w:ascii="Times New Roman" w:cs="Times New Roman" w:eastAsia="Times New Roman" w:hAnsi="Times New Roman"/>
          <w:sz w:val="24"/>
          <w:szCs w:val="24"/>
        </w:rPr>
        <w:t xml:space="preserve">A second corollary: does the discipline illuminate human character?</w:t>
      </w:r>
    </w:p>
    <w:p>
      <w:pPr>
        <w:spacing w:after="200" w:line="276"/>
        <w:jc w:val="both"/>
      </w:pPr>
      <w:r>
        <w:rPr>
          <w:rFonts w:ascii="Times New Roman" w:cs="Times New Roman" w:eastAsia="Times New Roman" w:hAnsi="Times New Roman"/>
          <w:sz w:val="24"/>
          <w:szCs w:val="24"/>
        </w:rPr>
        <w:t xml:space="preserve">Every genuine deep grammar provides insight into human motivation, because every deep grammar tracks a structure that shapes how people act. The financier who has built a business from nothing understands Scrooge—not the caricature, but the character—in a way that the pure moralist cannot. He knows what it takes to go from destitution to solvency. He knows that the discipline required—the thrift, the denial of gratification, the relentless calculus of what is necessary versus what is not—is a genuine virtue. It is what separates people who build something from people who do not. And he also knows, from inside that same experience, where the virtue curdles. Where the discipline that was necessary becomes a compulsion that no longer serves its original purpose. Where the man who learned to say no to everything can no longer say yes to anything. He sees Scrooge as a trajectory, not a moral cartoon, because he has been on a version of that trajectory himself.</w:t>
      </w:r>
    </w:p>
    <w:p>
      <w:pPr>
        <w:spacing w:after="200" w:line="276"/>
        <w:jc w:val="both"/>
      </w:pPr>
      <w:r>
        <w:rPr>
          <w:rFonts w:ascii="Times New Roman" w:cs="Times New Roman" w:eastAsia="Times New Roman" w:hAnsi="Times New Roman"/>
          <w:sz w:val="24"/>
          <w:szCs w:val="24"/>
        </w:rPr>
        <w:t xml:space="preserve">This is what a deep grammar does to fiction: it opens a sympathetic, structural understanding that goes beyond the moralism available to the casual reader. Dickens created Scrooge out of literary intuition. The financier understands Scrooge out of lived structural knowledge. The two converge because they are both tracking the same real formation in human psychology: the relationship between a person’s strengths and their deformations.</w:t>
      </w:r>
    </w:p>
    <w:p>
      <w:pPr>
        <w:spacing w:after="200" w:line="276"/>
        <w:jc w:val="both"/>
      </w:pPr>
      <w:r>
        <w:rPr>
          <w:rFonts w:ascii="Times New Roman" w:cs="Times New Roman" w:eastAsia="Times New Roman" w:hAnsi="Times New Roman"/>
          <w:sz w:val="24"/>
          <w:szCs w:val="24"/>
        </w:rPr>
        <w:t xml:space="preserve">Now try to find the legal Scrooge. Try to find a fictional character whose depths are illuminated by legal knowledge—not legal settings, but legal knowledge. There is no such character. Not because no one has tried to write one, but because law does not track anything in human nature. It does not provide a grammar of motivation, or pathology, or the relationship between virtue and its excess. It provides a grammar of procedure. And procedure does not illuminate character because procedure has nothing to do with character.</w:t>
      </w:r>
    </w:p>
    <w:p>
      <w:pPr>
        <w:spacing w:after="200" w:line="276"/>
        <w:jc w:val="both"/>
      </w:pPr>
      <w:r>
        <w:rPr>
          <w:rFonts w:ascii="Times New Roman" w:cs="Times New Roman" w:eastAsia="Times New Roman" w:hAnsi="Times New Roman"/>
          <w:sz w:val="24"/>
          <w:szCs w:val="24"/>
        </w:rPr>
        <w:t xml:space="preserve">The legal novels that work—Scott Turow’s, John Grisham’s—work not because they bring legal insight to fiction but because they bring human insight to legal settings. What is compelling in a Turow novel is not the procedure. It is the ambition, the lust, the self-deception, the moral compromise. Turow understands these things because he is an acute observer of human nature, and he happens to set his observations in a courthouse. A brilliant lawyer with no human insight could not have written his novels. A brilliant observer of human nature who had never attended law school could have—he would merely need someone to verify the procedural details. The legal setting is scaffolding. The substance is imported from outside, because the law itself contributes nothing.</w:t>
      </w:r>
    </w:p>
    <w:p>
      <w:pPr>
        <w:pStyle w:val="Heading1"/>
        <w:spacing w:before="360" w:after="240"/>
      </w:pPr>
      <w:r>
        <w:rPr>
          <w:rFonts w:ascii="Times New Roman" w:cs="Times New Roman" w:eastAsia="Times New Roman" w:hAnsi="Times New Roman"/>
          <w:b/>
          <w:bCs/>
          <w:sz w:val="28"/>
          <w:szCs w:val="28"/>
        </w:rPr>
        <w:t xml:space="preserve">5. The Correction Test: When Insider Knowledge Points Downward</w:t>
      </w:r>
    </w:p>
    <w:p>
      <w:pPr>
        <w:spacing w:after="200" w:line="276"/>
        <w:jc w:val="both"/>
      </w:pPr>
      <w:r>
        <w:rPr>
          <w:rFonts w:ascii="Times New Roman" w:cs="Times New Roman" w:eastAsia="Times New Roman" w:hAnsi="Times New Roman"/>
          <w:sz w:val="24"/>
          <w:szCs w:val="24"/>
        </w:rPr>
        <w:t xml:space="preserve">The most revealing diagnostic of all: when an insider corrects a dramatization of his domain, does the correction make the corresponding reality more interesting or less interesting than the dramatization?</w:t>
      </w:r>
    </w:p>
    <w:p>
      <w:pPr>
        <w:spacing w:after="200" w:line="276"/>
        <w:jc w:val="both"/>
      </w:pPr>
      <w:r>
        <w:rPr>
          <w:rFonts w:ascii="Times New Roman" w:cs="Times New Roman" w:eastAsia="Times New Roman" w:hAnsi="Times New Roman"/>
          <w:sz w:val="24"/>
          <w:szCs w:val="24"/>
        </w:rPr>
        <w:t xml:space="preserve">In every domain with genuine substance, the correction vector points upward. The Vietnam veteran watches a war film and tells you how it is wrong—and every correction is illuminating. “It wasn’t like that—it was worse.” “You didn’t see the enemy for days, and then suddenly they were everywhere.” “The fear wasn’t dramatic—it was boring and constant, and it ate you from the inside.” The dramatization simplified the reality. The veteran’s corrections restore the complexity. You come away knowing more about human beings under extreme conditions than the film could convey.</w:t>
      </w:r>
    </w:p>
    <w:p>
      <w:pPr>
        <w:spacing w:after="200" w:line="276"/>
        <w:jc w:val="both"/>
      </w:pPr>
      <w:r>
        <w:rPr>
          <w:rFonts w:ascii="Times New Roman" w:cs="Times New Roman" w:eastAsia="Times New Roman" w:hAnsi="Times New Roman"/>
          <w:sz w:val="24"/>
          <w:szCs w:val="24"/>
        </w:rPr>
        <w:t xml:space="preserve">The same holds for organized crime. The real insider who tells you how a mob film got it wrong is giving you something richer than the film. “We didn’t sit around looking menacing. It was a business. The boring parts were the most important parts. The violence wasn’t cinematic—it was quick and stupid and usually about money.” The corrections reveal a reality that is more structurally interesting than the dramatization, because the dramatization had to simplify the actual economics and psychology of the underworld into something visually compelling. The reality exceeded what the screen could show.</w:t>
      </w:r>
    </w:p>
    <w:p>
      <w:pPr>
        <w:spacing w:after="200" w:line="276"/>
        <w:jc w:val="both"/>
      </w:pPr>
      <w:r>
        <w:rPr>
          <w:rFonts w:ascii="Times New Roman" w:cs="Times New Roman" w:eastAsia="Times New Roman" w:hAnsi="Times New Roman"/>
          <w:sz w:val="24"/>
          <w:szCs w:val="24"/>
        </w:rPr>
        <w:t xml:space="preserve">In medicine, the same pattern holds. The physician who corrects a medical drama reveals a reality more interesting than the show: the ambiguity of diagnosis, the politics of treatment decisions, the moral weight of triage under resource constraints. The corrections add depth because the domain has depth to add.</w:t>
      </w:r>
    </w:p>
    <w:p>
      <w:pPr>
        <w:spacing w:after="200" w:line="276"/>
        <w:jc w:val="both"/>
      </w:pPr>
      <w:r>
        <w:rPr>
          <w:rFonts w:ascii="Times New Roman" w:cs="Times New Roman" w:eastAsia="Times New Roman" w:hAnsi="Times New Roman"/>
          <w:sz w:val="24"/>
          <w:szCs w:val="24"/>
        </w:rPr>
        <w:t xml:space="preserve">In business, the same. A person with genuine business experience watches a film in which a character is identified as the CEO of “some big company,” and immediately perceives what is missing. The character sits at an empty desk, drumming his fingers, apparently bored. The businessman sees at once that this is false—not procedurally false, but structurally false. A person who runs a business—any business, even a hot dog stand—is never bored. The nature of the activity is inherently consuming: decisions, contingencies, personnel, cash flow, strategy. The writers had no concept of what it means to run an enterprise, and business knowledge makes that absence visible instantly. The correction reveals a reality more engaging, more textured, more human than what the screenwriters invented to replace it.</w:t>
      </w:r>
    </w:p>
    <w:p>
      <w:pPr>
        <w:spacing w:after="200" w:line="276"/>
        <w:jc w:val="both"/>
      </w:pPr>
      <w:r>
        <w:rPr>
          <w:rFonts w:ascii="Times New Roman" w:cs="Times New Roman" w:eastAsia="Times New Roman" w:hAnsi="Times New Roman"/>
          <w:sz w:val="24"/>
          <w:szCs w:val="24"/>
        </w:rPr>
        <w:t xml:space="preserve">Now consider the lawyer. The lawyer watches a legal drama—The Verdict, a Law and Order episode, any courtroom film—and tells you how it is wrong. And every correction, without exception, makes the corresponding reality less interesting than the dramatization. “Actually, you can’t just show up to court like that.” “That motion would have been filed six months earlier.” “There would have been seventeen more hearings before that point.” “Discovery alone would have taken two years.” Every correction drains drama, pacing, moral clarity, and human stakes from the narrative and replaces them with procedural tedium.</w:t>
      </w:r>
    </w:p>
    <w:p>
      <w:pPr>
        <w:spacing w:after="200" w:line="276"/>
        <w:jc w:val="both"/>
      </w:pPr>
      <w:r>
        <w:rPr>
          <w:rFonts w:ascii="Times New Roman" w:cs="Times New Roman" w:eastAsia="Times New Roman" w:hAnsi="Times New Roman"/>
          <w:sz w:val="24"/>
          <w:szCs w:val="24"/>
        </w:rPr>
        <w:t xml:space="preserve">This is because the film did not simplify the reality. It improved on it. The dramatist had to import interest from outside the legal domain—from human psychology, from moral philosophy, from the sheer charisma of the actors—because the domain itself contributes nothing that an audience could care about. The legal procedure, portrayed accurately, is neither dramatic nor illuminating. It is machinery. And the lawyer’s corrections, however accurate, are corrections in the direction of machinery.</w:t>
      </w:r>
    </w:p>
    <w:p>
      <w:pPr>
        <w:spacing w:after="200" w:line="276"/>
        <w:jc w:val="both"/>
      </w:pPr>
      <w:r>
        <w:rPr>
          <w:rFonts w:ascii="Times New Roman" w:cs="Times New Roman" w:eastAsia="Times New Roman" w:hAnsi="Times New Roman"/>
          <w:sz w:val="24"/>
          <w:szCs w:val="24"/>
        </w:rPr>
        <w:t xml:space="preserve">The correction test is diagnostic because it reveals whether a domain’s reality exceeds or falls short of its mythologization. War’s reality exceeds its myths: the truth is more terrible and more psychologically complex than any film can convey. Crime’s reality exceeds its myths: the economics and social structures of organized crime are more intricate than Hollywood’s stylizations suggest. Business’s reality exceeds its myths: the actual texture of running an enterprise is richer and more consuming than any screenwriter’s blank desk and drumming fingers. Law’s reality does not exceed its myths. Law’s myths exceed its reality. The dramatist’s invention is more interesting than what it replaced, because what it replaced was nothing but procedure.</w:t>
      </w:r>
    </w:p>
    <w:p>
      <w:pPr>
        <w:pStyle w:val="Heading1"/>
        <w:spacing w:before="360" w:after="240"/>
      </w:pPr>
      <w:r>
        <w:rPr>
          <w:rFonts w:ascii="Times New Roman" w:cs="Times New Roman" w:eastAsia="Times New Roman" w:hAnsi="Times New Roman"/>
          <w:b/>
          <w:bCs/>
          <w:sz w:val="28"/>
          <w:szCs w:val="28"/>
        </w:rPr>
        <w:t xml:space="preserve">6. The Deep Grammar and Its Absence</w:t>
      </w:r>
    </w:p>
    <w:p>
      <w:pPr>
        <w:spacing w:after="200" w:line="276"/>
        <w:jc w:val="both"/>
      </w:pPr>
      <w:r>
        <w:rPr>
          <w:rFonts w:ascii="Times New Roman" w:cs="Times New Roman" w:eastAsia="Times New Roman" w:hAnsi="Times New Roman"/>
          <w:sz w:val="24"/>
          <w:szCs w:val="24"/>
        </w:rPr>
        <w:t xml:space="preserve">The four tests converge on a single conclusion: law lacks a deep grammar.</w:t>
      </w:r>
    </w:p>
    <w:p>
      <w:pPr>
        <w:spacing w:after="200" w:line="276"/>
        <w:jc w:val="both"/>
      </w:pPr>
      <w:r>
        <w:rPr>
          <w:rFonts w:ascii="Times New Roman" w:cs="Times New Roman" w:eastAsia="Times New Roman" w:hAnsi="Times New Roman"/>
          <w:sz w:val="24"/>
          <w:szCs w:val="24"/>
        </w:rPr>
        <w:t xml:space="preserve">A deep grammar, as the term is used here, is a structural vocabulary that tracks features of reality independent of any particular institutional setting. Finance has one: incentives, exchange, risk, and time-preference are features of human interaction that exist wherever scarcity exists, regardless of whether any financial institution mediates them. Philosophy has one: logical relations between propositions obtain whether or not anyone is constructing an argument. Military science has one: friction, the gap between plan and execution, the interplay of force and terrain—these are features of purposive action under opposition, and they obtain in boardrooms and political campaigns as surely as on battlefields. Even chess has one, at the rudimentary level: consequential reasoning under constraint is a feature of every decision with downstream implications, and the practice of chess develops it.</w:t>
      </w:r>
    </w:p>
    <w:p>
      <w:pPr>
        <w:spacing w:after="200" w:line="276"/>
        <w:jc w:val="both"/>
      </w:pPr>
      <w:r>
        <w:rPr>
          <w:rFonts w:ascii="Times New Roman" w:cs="Times New Roman" w:eastAsia="Times New Roman" w:hAnsi="Times New Roman"/>
          <w:sz w:val="24"/>
          <w:szCs w:val="24"/>
        </w:rPr>
        <w:t xml:space="preserve">Law has no deep grammar because it tracks no features of reality independent of the legal system itself. Legal concepts—jurisdiction, standing, estoppel, discovery, the burden of proof as allocated by a particular statute—are not descriptions of how the world works. They are descriptions of how a specific institutional apparatus processes disputes. Remove the apparatus, and the concepts refer to nothing. They have no independent object. They are, in the precise sense, self-referential: the legal system is both the subject and the object of legal knowledge.</w:t>
      </w:r>
    </w:p>
    <w:p>
      <w:pPr>
        <w:spacing w:after="200" w:line="276"/>
        <w:jc w:val="both"/>
      </w:pPr>
      <w:r>
        <w:rPr>
          <w:rFonts w:ascii="Times New Roman" w:cs="Times New Roman" w:eastAsia="Times New Roman" w:hAnsi="Times New Roman"/>
          <w:sz w:val="24"/>
          <w:szCs w:val="24"/>
        </w:rPr>
        <w:t xml:space="preserve">This self-referentiality is what produces every failure catalogued in this series. The self-cancelling structure (Issues I–II) arises because “legal reasoning” can only be defined in terms of itself. The flat learning curve (Issue III) arises because there is no underlying structure for knowledge to consolidate around. The migration of expertise to social capital (Issue III) arises because the domain offers no cognitive object to have expertise about. The failure of the lens test, the transfer test, the character test, and the correction test (the present issue) all arise because a grammar that refers only to itself cannot illuminate anything beyond itself.</w:t>
      </w:r>
    </w:p>
    <w:p>
      <w:pPr>
        <w:spacing w:after="200" w:line="276"/>
        <w:jc w:val="both"/>
      </w:pPr>
      <w:r>
        <w:rPr>
          <w:rFonts w:ascii="Times New Roman" w:cs="Times New Roman" w:eastAsia="Times New Roman" w:hAnsi="Times New Roman"/>
          <w:sz w:val="24"/>
          <w:szCs w:val="24"/>
        </w:rPr>
        <w:t xml:space="preserve">The legal profession’s response to this analysis is predictable and, by now, familiar. It will say that the critic “doesn’t understand the complexity.” It will say that legal reasoning is “subtle” and “nuanced.” It will say that one must practice to appreciate it. These are the same immunization strategies identified in Issue I: the framework is protected by defining all criticism as incomprehension. But the four diagnostic tests developed here are not impressionistic. They are structural and comparative. Every genuine discipline passes them. Law fails them all. This is not a matter of the critic’s comprehension. It is a matter of the domain’s emptiness.</w:t>
      </w:r>
    </w:p>
    <w:p>
      <w:pPr>
        <w:pStyle w:val="Heading1"/>
        <w:spacing w:before="360" w:after="240"/>
      </w:pPr>
      <w:r>
        <w:rPr>
          <w:rFonts w:ascii="Times New Roman" w:cs="Times New Roman" w:eastAsia="Times New Roman" w:hAnsi="Times New Roman"/>
          <w:b/>
          <w:bCs/>
          <w:sz w:val="28"/>
          <w:szCs w:val="28"/>
        </w:rPr>
        <w:t xml:space="preserve">7. Conclusion: The Complete Indictment</w:t>
      </w:r>
    </w:p>
    <w:p>
      <w:pPr>
        <w:spacing w:after="200" w:line="276"/>
        <w:jc w:val="both"/>
      </w:pPr>
      <w:r>
        <w:rPr>
          <w:rFonts w:ascii="Times New Roman" w:cs="Times New Roman" w:eastAsia="Times New Roman" w:hAnsi="Times New Roman"/>
          <w:sz w:val="24"/>
          <w:szCs w:val="24"/>
        </w:rPr>
        <w:t xml:space="preserve">The argument of this four-part series is now complete.</w:t>
      </w:r>
    </w:p>
    <w:p>
      <w:pPr>
        <w:spacing w:after="200" w:line="276"/>
        <w:jc w:val="both"/>
      </w:pPr>
      <w:r>
        <w:rPr>
          <w:rFonts w:ascii="Times New Roman" w:cs="Times New Roman" w:eastAsia="Times New Roman" w:hAnsi="Times New Roman"/>
          <w:sz w:val="24"/>
          <w:szCs w:val="24"/>
        </w:rPr>
        <w:t xml:space="preserve">Issue I established the analytical template: a self-cancelling concept is one whose content, when specified, reduces to the recognition that there is no content. Satori was the case study. Issue II applied the template to the legal profession, arguing that “thinking like a lawyer” is a self-cancelling concept whose realization consists of the discovery that there is nothing to realize. Issue III identified the internal mechanisms—the flat learning curve, the failed intermediate recovery, the migration of expertise to social capital—and traced them to the sedimentary, non-integrated character of legal complexity. Issue IV has identified what this non-integration entails at the deepest level: the absence of a deep grammar, a structural lens, a vocabulary that tracks features of reality independent of the legal system itself.</w:t>
      </w:r>
    </w:p>
    <w:p>
      <w:pPr>
        <w:spacing w:after="200" w:line="276"/>
        <w:jc w:val="both"/>
      </w:pPr>
      <w:r>
        <w:rPr>
          <w:rFonts w:ascii="Times New Roman" w:cs="Times New Roman" w:eastAsia="Times New Roman" w:hAnsi="Times New Roman"/>
          <w:sz w:val="24"/>
          <w:szCs w:val="24"/>
        </w:rPr>
        <w:t xml:space="preserve">The conclusion is not that lawyers are unintelligent. Many are highly intelligent. The conclusion is not that legal work is easy. It is often grueling. The conclusion is that intelligence and effort, in the legal domain, are applied to the navigation of an institutional apparatus rather than to the comprehension of a subject matter—because there is no subject matter to comprehend. The law is not a body of knowledge in the way that biology, or finance, or military science, or even chess is a body of knowledge. It is a set of procedures. The phrase “legal reasoning” disguises this fact by borrowing the connotations of genuine intellectual disciplines—depth, structure, mastery, insight—and applying them to an activity that possesses none of these things.</w:t>
      </w:r>
    </w:p>
    <w:p>
      <w:pPr>
        <w:spacing w:after="200" w:line="276"/>
        <w:jc w:val="both"/>
      </w:pPr>
      <w:r>
        <w:rPr>
          <w:rFonts w:ascii="Times New Roman" w:cs="Times New Roman" w:eastAsia="Times New Roman" w:hAnsi="Times New Roman"/>
          <w:sz w:val="24"/>
          <w:szCs w:val="24"/>
        </w:rPr>
        <w:t xml:space="preserve">The series began with Zen’s empty promise: sit, suffer, and you will achieve enlightenment—where enlightenment turns out to be the recognition that there is no enlightenment. The legal profession makes the same promise in secular form: study, pay, practice, and you will learn to think like a lawyer—where thinking like a lawyer turns out to be the recognition that there is no such thing as thinking like a lawyer. Both institutions sustain themselves by deferring a clarity that, if it arrived, would dissolve the enterprise. Both depend on the indefinite postponement of the moment when the practitioner says plainly: there is nothing here.</w:t>
      </w:r>
    </w:p>
    <w:p>
      <w:pPr>
        <w:spacing w:after="200" w:line="276"/>
        <w:jc w:val="both"/>
      </w:pPr>
      <w:r>
        <w:rPr>
          <w:rFonts w:ascii="Times New Roman" w:cs="Times New Roman" w:eastAsia="Times New Roman" w:hAnsi="Times New Roman"/>
          <w:sz w:val="24"/>
          <w:szCs w:val="24"/>
        </w:rPr>
        <w:t xml:space="preserve">What the legal profession calls reasoning is procedure. What it calls expertise is social capital. What it calls complexity is sediment. What it calls education is a credentialing process. And what it calls a deep grammar is silence—because if you listen for the grammar, for the structural vocabulary that would make the world more legible, that would illuminate character, that would make reality more interesting than its dramatizations, that would sharpen the mind for tasks beyond its own boundaries—you hear nothing at all.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66666"/>
        <w:sz w:val="20"/>
        <w:szCs w:val="20"/>
      </w:rPr>
      <w:t xml:space="preserve">Zhi Systems — The Grammar of Nothing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2026-02-18T23:26:25.667Z</dcterms:created>
  <dcterms:modified xsi:type="dcterms:W3CDTF">2026-02-18T23:26:25.668Z</dcterms:modified>
</cp:coreProperties>
</file>

<file path=docProps/custom.xml><?xml version="1.0" encoding="utf-8"?>
<Properties xmlns="http://schemas.openxmlformats.org/officeDocument/2006/custom-properties" xmlns:vt="http://schemas.openxmlformats.org/officeDocument/2006/docPropsVTypes"/>
</file>