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Legal Satori: The Self-Cancelling Promise of “Thinking Like a Lawyer”</w:t>
      </w:r>
    </w:p>
    <w:p>
      <w:pPr>
        <w:spacing w:after="80"/>
        <w:jc w:val="center"/>
      </w:pPr>
      <w:r>
        <w:rPr>
          <w:rFonts w:ascii="Times New Roman" w:cs="Times New Roman" w:eastAsia="Times New Roman" w:hAnsi="Times New Roman"/>
          <w:i/>
          <w:iCs/>
          <w:sz w:val="24"/>
          <w:szCs w:val="24"/>
        </w:rPr>
        <w:t xml:space="preserve">A Companion to “Satori as Self-Cancelling Concept”</w:t>
      </w:r>
    </w:p>
    <w:p>
      <w:pPr>
        <w:spacing w:after="360"/>
        <w:jc w:val="center"/>
      </w:pPr>
      <w:r>
        <w:rPr>
          <w:rFonts w:ascii="Times New Roman" w:cs="Times New Roman" w:eastAsia="Times New Roman" w:hAnsi="Times New Roman"/>
          <w:sz w:val="24"/>
          <w:szCs w:val="24"/>
        </w:rPr>
        <w:t xml:space="preserve">Author: Zhi Systems</w:t>
      </w:r>
    </w:p>
    <w:p>
      <w:pPr>
        <w:pStyle w:val="Heading1"/>
        <w:spacing w:before="360" w:after="24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i/>
          <w:iCs/>
          <w:sz w:val="24"/>
          <w:szCs w:val="24"/>
        </w:rPr>
        <w:t xml:space="preserve">In a previous article (“Satori as Self-Cancelling Concept,” Zhi Systems), we argued that Zen Buddhism’s central soteriological promise—satori—is a concept whose content, when specified, reduces to the recognition that there is no content. The present article extends that analysis to a secular institution: legal education and the legal profession. The claim that law school teaches one to “think like a lawyer” is shown to exhibit the same self-cancelling structure. The “insight” that legal training supposedly delivers is the eventual recognition that no such insight exists—that legal practice is irreducibly procedural, jurisdictionally particular, and resistant to the holistic comprehension that characterizes genuine intellectual mastery. The social function of this mystification is analogous to the Zen case: it sustains a credentialing hierarchy, an economic extraction apparatus, and a professional culture whose authority depends on the indefinite deferral of a clarity that, if it arrived, would dissolve the rationale for the institution itself.</w:t>
      </w: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legal education, legal reasoning, self-reference, professional mystification, credentialism, complexity, integration</w:t>
      </w:r>
    </w:p>
    <w:p>
      <w:pPr>
        <w:pStyle w:val="Heading1"/>
        <w:spacing w:before="360" w:after="240"/>
      </w:pPr>
      <w:r>
        <w:rPr>
          <w:rFonts w:ascii="Times New Roman" w:cs="Times New Roman" w:eastAsia="Times New Roman" w:hAnsi="Times New Roman"/>
          <w:b/>
          <w:bCs/>
          <w:sz w:val="28"/>
          <w:szCs w:val="28"/>
        </w:rPr>
        <w:t xml:space="preserve">1. Introduction: From the Zendo to the Law School</w:t>
      </w:r>
    </w:p>
    <w:p>
      <w:pPr>
        <w:spacing w:after="200" w:line="276"/>
        <w:jc w:val="both"/>
      </w:pPr>
      <w:r>
        <w:rPr>
          <w:rFonts w:ascii="Times New Roman" w:cs="Times New Roman" w:eastAsia="Times New Roman" w:hAnsi="Times New Roman"/>
          <w:sz w:val="24"/>
          <w:szCs w:val="24"/>
        </w:rPr>
        <w:t xml:space="preserve">In the preceding issue of this series, we subjected Zen Buddhism’s concept of satori to logical and psychoanalytic analysis, concluding that it is a self-cancelling concept: its content, when specified, reduces to the recognition that there is no content. The practitioner is promised a transformative insight. The “insight,” when it arrives, consists of the discovery that there was nothing to discover. The concept negates itself upon contact with its own referent.</w:t>
      </w:r>
    </w:p>
    <w:p>
      <w:pPr>
        <w:spacing w:after="200" w:line="276"/>
        <w:jc w:val="both"/>
      </w:pPr>
      <w:r>
        <w:rPr>
          <w:rFonts w:ascii="Times New Roman" w:cs="Times New Roman" w:eastAsia="Times New Roman" w:hAnsi="Times New Roman"/>
          <w:sz w:val="24"/>
          <w:szCs w:val="24"/>
        </w:rPr>
        <w:t xml:space="preserve">The present article identifies an identical structure in a thoroughly secular institution: the legal profession and the educational apparatus that supplies it. The claim under examination is the pervasive, largely unquestioned assertion that law school teaches one to “think like a lawyer”—that there exists a distinctive mode of reasoning, variously called “legal reasoning,” “legal analysis,” or “the legal mind,” which is cultivated by legal education and which constitutes the core competence of the practicing attorney.</w:t>
      </w:r>
    </w:p>
    <w:p>
      <w:pPr>
        <w:spacing w:after="200" w:line="276"/>
        <w:jc w:val="both"/>
      </w:pPr>
      <w:r>
        <w:rPr>
          <w:rFonts w:ascii="Times New Roman" w:cs="Times New Roman" w:eastAsia="Times New Roman" w:hAnsi="Times New Roman"/>
          <w:sz w:val="24"/>
          <w:szCs w:val="24"/>
        </w:rPr>
        <w:t xml:space="preserve">The argument here is that this claim is vacuous in exactly the way that satori is vacuous. There is no “legal reasoning” in the sense implied. There is legal procedure—and then there is the moment, analogous to satori, when the practitioner realizes that procedure is all there is. That realization is the legal profession’s version of enlightenment: the discovery that there is no line in the sand of “legal insight” to be crossed, no threshold beyond which one understands how the law “really works.” There is only this statute, this motion, this brief, this judge, this procedural error, this quirk in some county’s e-filing system—over and over and over, without resolution into anything that could honestly be called understanding.</w:t>
      </w:r>
    </w:p>
    <w:p>
      <w:pPr>
        <w:pStyle w:val="Heading1"/>
        <w:spacing w:before="360" w:after="240"/>
      </w:pPr>
      <w:r>
        <w:rPr>
          <w:rFonts w:ascii="Times New Roman" w:cs="Times New Roman" w:eastAsia="Times New Roman" w:hAnsi="Times New Roman"/>
          <w:b/>
          <w:bCs/>
          <w:sz w:val="28"/>
          <w:szCs w:val="28"/>
        </w:rPr>
        <w:t xml:space="preserve">2. The Diagnostic: Signal, Noise, and Mastery</w:t>
      </w:r>
    </w:p>
    <w:p>
      <w:pPr>
        <w:spacing w:after="200" w:line="276"/>
        <w:jc w:val="both"/>
      </w:pPr>
      <w:r>
        <w:rPr>
          <w:rFonts w:ascii="Times New Roman" w:cs="Times New Roman" w:eastAsia="Times New Roman" w:hAnsi="Times New Roman"/>
          <w:sz w:val="24"/>
          <w:szCs w:val="24"/>
        </w:rPr>
        <w:t xml:space="preserve">There is a simple test for whether a domain of activity involves genuine mastery, and it is this: mastery reduces friction. In any discipline where real competence is being acquired—calculus, chess, surgery, programming, squash—the practitioner’s experience changes qualitatively as he improves. Patterns emerge. Noise falls away. The signal-to-noise ratio improves. The thing gets easier—not because the problems get simpler, but because the practitioner’s cognitive relationship to the problems becomes more efficient. The expert sees structure where the novice sees chaos.</w:t>
      </w:r>
    </w:p>
    <w:p>
      <w:pPr>
        <w:spacing w:after="200" w:line="276"/>
        <w:jc w:val="both"/>
      </w:pPr>
      <w:r>
        <w:rPr>
          <w:rFonts w:ascii="Times New Roman" w:cs="Times New Roman" w:eastAsia="Times New Roman" w:hAnsi="Times New Roman"/>
          <w:sz w:val="24"/>
          <w:szCs w:val="24"/>
        </w:rPr>
        <w:t xml:space="preserve">Law does not behave this way. A thirty-year litigator drowns in the same procedural muck as a second-year associate. He is less surprised by it—he knows, by now, that the muck is all there is—but his relationship to the work has not undergone the qualitative transformation that characterizes genuine mastery. He has not ascended to a vantage point from which the legal landscape resolves into intelligible order. He has merely habituated to the disorder. This is not mastery. It is acclimatization.</w:t>
      </w:r>
    </w:p>
    <w:p>
      <w:pPr>
        <w:spacing w:after="200" w:line="276"/>
        <w:jc w:val="both"/>
      </w:pPr>
      <w:r>
        <w:rPr>
          <w:rFonts w:ascii="Times New Roman" w:cs="Times New Roman" w:eastAsia="Times New Roman" w:hAnsi="Times New Roman"/>
          <w:sz w:val="24"/>
          <w:szCs w:val="24"/>
        </w:rPr>
        <w:t xml:space="preserve">The distinction is not trivial. Acclimatization and mastery are phenomenologically similar in one respect—both reduce distress—but they are structurally opposite. Mastery produces compression: the expert represents the domain more efficiently, sees deeper patterns, and can predict and generalize. Acclimatization produces tolerance: the practitioner simply stops being disturbed by the friction. A person who lives near a highway eventually stops hearing the noise. He has not developed a theory of acoustics.</w:t>
      </w:r>
    </w:p>
    <w:p>
      <w:pPr>
        <w:pStyle w:val="Heading1"/>
        <w:spacing w:before="360" w:after="240"/>
      </w:pPr>
      <w:r>
        <w:rPr>
          <w:rFonts w:ascii="Times New Roman" w:cs="Times New Roman" w:eastAsia="Times New Roman" w:hAnsi="Times New Roman"/>
          <w:b/>
          <w:bCs/>
          <w:sz w:val="28"/>
          <w:szCs w:val="28"/>
        </w:rPr>
        <w:t xml:space="preserve">3. Complexity Without Integration: Why the Law Resists Understanding</w:t>
      </w:r>
    </w:p>
    <w:p>
      <w:pPr>
        <w:spacing w:after="200" w:line="276"/>
        <w:jc w:val="both"/>
      </w:pPr>
      <w:r>
        <w:rPr>
          <w:rFonts w:ascii="Times New Roman" w:cs="Times New Roman" w:eastAsia="Times New Roman" w:hAnsi="Times New Roman"/>
          <w:sz w:val="24"/>
          <w:szCs w:val="24"/>
        </w:rPr>
        <w:t xml:space="preserve">There is a ready objection to the foregoing, and it deserves to be stated plainly: “The law is complex. You are mistaking complexity for vacuity.” This objection is not only wrong; it is wrong in a way that illuminates the precise nature of the problem.</w:t>
      </w:r>
    </w:p>
    <w:p>
      <w:pPr>
        <w:spacing w:after="200" w:line="276"/>
        <w:jc w:val="both"/>
      </w:pPr>
      <w:r>
        <w:rPr>
          <w:rFonts w:ascii="Times New Roman" w:cs="Times New Roman" w:eastAsia="Times New Roman" w:hAnsi="Times New Roman"/>
          <w:sz w:val="24"/>
          <w:szCs w:val="24"/>
        </w:rPr>
        <w:t xml:space="preserve">Complexity, in the sense relevant here, comes in two fundamentally different forms. A biological system—a cell, an organism, an ecosystem—is highly complex. It consists of an enormous number of interacting components, feedback loops, emergent behaviors, and multi-scale dynamics. But biological complexity is integrated. The components are not arbitrarily assembled; they are functionally organized. This integration is what makes biological systems comprehensible despite their complexity. One can understand the circulatory system without memorizing the position of every capillary, because the system has a logic—a functional architecture—that supports holistic, intuitive comprehension. The expert biologist sees the organism as a unified system. His mastery is precisely the ability to grasp the integration.</w:t>
      </w:r>
    </w:p>
    <w:p>
      <w:pPr>
        <w:spacing w:after="200" w:line="276"/>
        <w:jc w:val="both"/>
      </w:pPr>
      <w:r>
        <w:rPr>
          <w:rFonts w:ascii="Times New Roman" w:cs="Times New Roman" w:eastAsia="Times New Roman" w:hAnsi="Times New Roman"/>
          <w:sz w:val="24"/>
          <w:szCs w:val="24"/>
        </w:rPr>
        <w:t xml:space="preserve">Legal complexity is of a categorically different kind. The law is not a functionally integrated system. It is an accumulation—of statutes enacted by different legislatures at different times for different reasons, of regulations drafted by agencies with overlapping and conflicting mandates, of judicial opinions that contradict one another across jurisdictions and sometimes within a single jurisdiction, of procedural rules that vary by county and are revised without coordination. The law is not a system in the biological sense. It is a sediment.</w:t>
      </w:r>
    </w:p>
    <w:p>
      <w:pPr>
        <w:spacing w:after="200" w:line="276"/>
        <w:jc w:val="both"/>
      </w:pPr>
      <w:r>
        <w:rPr>
          <w:rFonts w:ascii="Times New Roman" w:cs="Times New Roman" w:eastAsia="Times New Roman" w:hAnsi="Times New Roman"/>
          <w:sz w:val="24"/>
          <w:szCs w:val="24"/>
        </w:rPr>
        <w:t xml:space="preserve">This distinction is decisive. Integrated complexity rewards understanding; it yields to the expert’s pattern recognition. Sedimentary complexity does not. It cannot be grasped holistically because it was not produced holistically. There is no underlying logic to discern, no functional architecture to internalize. There are only particulars—an indefinitely large collection of them, organized (to the extent they are organized at all) by jurisdictional and temporal accident.</w:t>
      </w:r>
    </w:p>
    <w:p>
      <w:pPr>
        <w:spacing w:after="200" w:line="276"/>
        <w:jc w:val="both"/>
      </w:pPr>
      <w:r>
        <w:rPr>
          <w:rFonts w:ascii="Times New Roman" w:cs="Times New Roman" w:eastAsia="Times New Roman" w:hAnsi="Times New Roman"/>
          <w:sz w:val="24"/>
          <w:szCs w:val="24"/>
        </w:rPr>
        <w:t xml:space="preserve">When a lawyer says the law is “complex,” he is therefore saying something true but misleading. He is borrowing the connotations of scientific or biological complexity—depth, integration, the promise that understanding will eventually emerge—and applying them to a domain where those connotations do not hold. The law is complex the way a landfill is complex: there is a lot of material, it accumulated over a long time, and no one designed it.</w:t>
      </w:r>
    </w:p>
    <w:p>
      <w:pPr>
        <w:pStyle w:val="Heading1"/>
        <w:spacing w:before="360" w:after="240"/>
      </w:pPr>
      <w:r>
        <w:rPr>
          <w:rFonts w:ascii="Times New Roman" w:cs="Times New Roman" w:eastAsia="Times New Roman" w:hAnsi="Times New Roman"/>
          <w:b/>
          <w:bCs/>
          <w:sz w:val="28"/>
          <w:szCs w:val="28"/>
        </w:rPr>
        <w:t xml:space="preserve">4. The Self-Cancelling Moment: Legal Satori</w:t>
      </w:r>
    </w:p>
    <w:p>
      <w:pPr>
        <w:spacing w:after="200" w:line="276"/>
        <w:jc w:val="both"/>
      </w:pPr>
      <w:r>
        <w:rPr>
          <w:rFonts w:ascii="Times New Roman" w:cs="Times New Roman" w:eastAsia="Times New Roman" w:hAnsi="Times New Roman"/>
          <w:sz w:val="24"/>
          <w:szCs w:val="24"/>
        </w:rPr>
        <w:t xml:space="preserve">With these preliminaries in place, we can identify the structural parallel with satori.</w:t>
      </w:r>
    </w:p>
    <w:p>
      <w:pPr>
        <w:spacing w:after="200" w:line="276"/>
        <w:jc w:val="both"/>
      </w:pPr>
      <w:r>
        <w:rPr>
          <w:rFonts w:ascii="Times New Roman" w:cs="Times New Roman" w:eastAsia="Times New Roman" w:hAnsi="Times New Roman"/>
          <w:sz w:val="24"/>
          <w:szCs w:val="24"/>
        </w:rPr>
        <w:t xml:space="preserve">The law student enters law school having been told—by admissions brochures, by cultural lore, by the profession’s own self-presentation—that he will learn to “think like a lawyer.” He expects a transformation. He expects that at some point, the fog will lift, and he will see the legal landscape with the clarity that the trained mind supposedly affords. He is told, in effect, that there is a prize: a mode of reasoning, a framework, a way of seeing that separates the legally trained from the laity.</w:t>
      </w:r>
    </w:p>
    <w:p>
      <w:pPr>
        <w:spacing w:after="200" w:line="276"/>
        <w:jc w:val="both"/>
      </w:pPr>
      <w:r>
        <w:rPr>
          <w:rFonts w:ascii="Times New Roman" w:cs="Times New Roman" w:eastAsia="Times New Roman" w:hAnsi="Times New Roman"/>
          <w:sz w:val="24"/>
          <w:szCs w:val="24"/>
        </w:rPr>
        <w:t xml:space="preserve">He persists. He reads cases, writes briefs, clerks, passes the bar, begins practice. The fog does not lift. The work remains procedural, jurisdictionally particular, and resistant to generalization. He gets faster at certain tasks—but the speedup is mechanical, not cognitive. He is not thinking more clearly; he is simply more familiar with the specific procedures of his practice area.</w:t>
      </w:r>
    </w:p>
    <w:p>
      <w:pPr>
        <w:spacing w:after="200" w:line="276"/>
        <w:jc w:val="both"/>
      </w:pPr>
      <w:r>
        <w:rPr>
          <w:rFonts w:ascii="Times New Roman" w:cs="Times New Roman" w:eastAsia="Times New Roman" w:hAnsi="Times New Roman"/>
          <w:sz w:val="24"/>
          <w:szCs w:val="24"/>
        </w:rPr>
        <w:t xml:space="preserve">And then, at some point, the moment comes. It is not dramatic. It may not even be conscious. But it is structurally identical to satori: the practitioner realizes that there is nothing to realize. There is no “legal reasoning” in the sense promised. There is no framework. There is no threshold of understanding that, once crossed, organizes the chaos into coherence. There is only the interminable particularity of legal process—statute by statute, motion by motion, jurisdiction by jurisdiction—and the realization that this is all there ever was, and all there ever will be.</w:t>
      </w:r>
    </w:p>
    <w:p>
      <w:pPr>
        <w:spacing w:after="200" w:line="276"/>
        <w:jc w:val="both"/>
      </w:pPr>
      <w:r>
        <w:rPr>
          <w:rFonts w:ascii="Times New Roman" w:cs="Times New Roman" w:eastAsia="Times New Roman" w:hAnsi="Times New Roman"/>
          <w:sz w:val="24"/>
          <w:szCs w:val="24"/>
        </w:rPr>
        <w:t xml:space="preserve">The promise of legal education, stated plainly, is: “We will teach you to think in a way that transcends procedural particularism.” The delivery, stated plainly, is: “There is nothing that transcends procedural particularism.” The concept of “legal reasoning” cancels itself the moment its content is specified, exactly as satori does.</w:t>
      </w:r>
    </w:p>
    <w:p>
      <w:pPr>
        <w:pStyle w:val="Heading1"/>
        <w:spacing w:before="360" w:after="240"/>
      </w:pPr>
      <w:r>
        <w:rPr>
          <w:rFonts w:ascii="Times New Roman" w:cs="Times New Roman" w:eastAsia="Times New Roman" w:hAnsi="Times New Roman"/>
          <w:b/>
          <w:bCs/>
          <w:sz w:val="28"/>
          <w:szCs w:val="28"/>
        </w:rPr>
        <w:t xml:space="preserve">5. The Immunization Strategy, Restated</w:t>
      </w:r>
    </w:p>
    <w:p>
      <w:pPr>
        <w:spacing w:after="200" w:line="276"/>
        <w:jc w:val="both"/>
      </w:pPr>
      <w:r>
        <w:rPr>
          <w:rFonts w:ascii="Times New Roman" w:cs="Times New Roman" w:eastAsia="Times New Roman" w:hAnsi="Times New Roman"/>
          <w:sz w:val="24"/>
          <w:szCs w:val="24"/>
        </w:rPr>
        <w:t xml:space="preserve">The parallel extends to the immunization strategy. In the Zen case, the critic who subjects satori to conceptual analysis is told that his very criticism is evidence of his failure to understand—that satori “transcends” the intellect. The framework is rendered unfalsifiable by defining all criticism as incomprehension.</w:t>
      </w:r>
    </w:p>
    <w:p>
      <w:pPr>
        <w:spacing w:after="200" w:line="276"/>
        <w:jc w:val="both"/>
      </w:pPr>
      <w:r>
        <w:rPr>
          <w:rFonts w:ascii="Times New Roman" w:cs="Times New Roman" w:eastAsia="Times New Roman" w:hAnsi="Times New Roman"/>
          <w:sz w:val="24"/>
          <w:szCs w:val="24"/>
        </w:rPr>
        <w:t xml:space="preserve">The legal version is structurally identical. Tell a lawyer that legal practice is intellectually empty—that “legal reasoning” is a fiction—and he will respond in one of two ways. Either: “You don’t understand how complex the law is,” which, as argued above, confuses sedimentary complexity with integrated complexity. Or: “You’ve never practiced, so you can’t judge,” which is the legal profession’s version of “you haven’t attained satori, so you can’t evaluate it.” In both cases, the demand for clarity is treated as evidence of the critic’s deficiency rather than as evidence of the system’s vacuity.</w:t>
      </w:r>
    </w:p>
    <w:p>
      <w:pPr>
        <w:spacing w:after="200" w:line="276"/>
        <w:jc w:val="both"/>
      </w:pPr>
      <w:r>
        <w:rPr>
          <w:rFonts w:ascii="Times New Roman" w:cs="Times New Roman" w:eastAsia="Times New Roman" w:hAnsi="Times New Roman"/>
          <w:sz w:val="24"/>
          <w:szCs w:val="24"/>
        </w:rPr>
        <w:t xml:space="preserve">The closed epistemic loop is the same. Agreement confirms the doctrine (“See? He thinks like a lawyer”). Disagreement confirms the doctrine (“See? He doesn’t think like a lawyer”). There is no possible observation that could disconfirm the claim that legal training installs a distinctive cognitive competence, because the gatekeepers of that competence are the same people whose status depends on its existence.</w:t>
      </w:r>
    </w:p>
    <w:p>
      <w:pPr>
        <w:pStyle w:val="Heading1"/>
        <w:spacing w:before="360" w:after="240"/>
      </w:pPr>
      <w:r>
        <w:rPr>
          <w:rFonts w:ascii="Times New Roman" w:cs="Times New Roman" w:eastAsia="Times New Roman" w:hAnsi="Times New Roman"/>
          <w:b/>
          <w:bCs/>
          <w:sz w:val="28"/>
          <w:szCs w:val="28"/>
        </w:rPr>
        <w:t xml:space="preserve">6. The Hierarchical Function of Legal Mystification</w:t>
      </w:r>
    </w:p>
    <w:p>
      <w:pPr>
        <w:spacing w:after="200" w:line="276"/>
        <w:jc w:val="both"/>
      </w:pPr>
      <w:r>
        <w:rPr>
          <w:rFonts w:ascii="Times New Roman" w:cs="Times New Roman" w:eastAsia="Times New Roman" w:hAnsi="Times New Roman"/>
          <w:sz w:val="24"/>
          <w:szCs w:val="24"/>
        </w:rPr>
        <w:t xml:space="preserve">If “legal reasoning” has no determinate content, what sustains the apparatus built around its cultivation? The answer is the same as in the Zen case: conceptual emptiness is not a defect but an instrument of hierarchical control.</w:t>
      </w:r>
    </w:p>
    <w:p>
      <w:pPr>
        <w:spacing w:after="200" w:line="276"/>
        <w:jc w:val="both"/>
      </w:pPr>
      <w:r>
        <w:rPr>
          <w:rFonts w:ascii="Times New Roman" w:cs="Times New Roman" w:eastAsia="Times New Roman" w:hAnsi="Times New Roman"/>
          <w:sz w:val="24"/>
          <w:szCs w:val="24"/>
        </w:rPr>
        <w:t xml:space="preserve">Consider the structure. Law school costs three years and, at elite institutions, upward of $200,000 in tuition. The bar exam costs months of additional preparation. These barriers are justified by the premise that they are necessary to acquire the distinctive competence of “thinking like a lawyer.” If this competence could be specified—if it could be taught in six months, or tested without three years of graduate education—the economic model would collapse. The emptiness of the concept is what makes the credentialing apparatus indispensable.</w:t>
      </w:r>
    </w:p>
    <w:p>
      <w:pPr>
        <w:spacing w:after="200" w:line="276"/>
        <w:jc w:val="both"/>
      </w:pPr>
      <w:r>
        <w:rPr>
          <w:rFonts w:ascii="Times New Roman" w:cs="Times New Roman" w:eastAsia="Times New Roman" w:hAnsi="Times New Roman"/>
          <w:sz w:val="24"/>
          <w:szCs w:val="24"/>
        </w:rPr>
        <w:t xml:space="preserve">The Zen master’s authority depends on his status as one who has attained what the student has not. The law professor’s authority depends on his status as one who possesses the “framework” that the student has not yet internalized. The senior partner’s authority depends on his status as one whose “judgment” has been refined by decades of practice. In each case, the authority would evaporate if the content of the competence could be made explicit—because making it explicit would reveal that it consists of nothing more than accumulated procedural familiarity, which does not require the apparatus that purports to transmit it.</w:t>
      </w:r>
    </w:p>
    <w:p>
      <w:pPr>
        <w:spacing w:after="200" w:line="276"/>
        <w:jc w:val="both"/>
      </w:pPr>
      <w:r>
        <w:rPr>
          <w:rFonts w:ascii="Times New Roman" w:cs="Times New Roman" w:eastAsia="Times New Roman" w:hAnsi="Times New Roman"/>
          <w:sz w:val="24"/>
          <w:szCs w:val="24"/>
        </w:rPr>
        <w:t xml:space="preserve">The koan has its legal equivalent: the Socratic method as practiced in law school. The professor asks a question. The student answers. The professor says the answer is wrong, or incomplete, or “not thinking like a lawyer.” The student has no independent criterion of correctness. The professor’s judgment is constitutive: what counts as “good legal analysis” is whatever the professor says counts as good legal analysis. The student’s confusion is not a deficiency in the student. It is a feature of a system that cannot specify its own success criteria because it has none.</w:t>
      </w:r>
    </w:p>
    <w:p>
      <w:pPr>
        <w:pStyle w:val="Heading1"/>
        <w:spacing w:before="360" w:after="240"/>
      </w:pPr>
      <w:r>
        <w:rPr>
          <w:rFonts w:ascii="Times New Roman" w:cs="Times New Roman" w:eastAsia="Times New Roman" w:hAnsi="Times New Roman"/>
          <w:b/>
          <w:bCs/>
          <w:sz w:val="28"/>
          <w:szCs w:val="28"/>
        </w:rPr>
        <w:t xml:space="preserve">7. The Apex Illusion: Supreme Courts and Federal Judges</w:t>
      </w:r>
    </w:p>
    <w:p>
      <w:pPr>
        <w:spacing w:after="200" w:line="276"/>
        <w:jc w:val="both"/>
      </w:pPr>
      <w:r>
        <w:rPr>
          <w:rFonts w:ascii="Times New Roman" w:cs="Times New Roman" w:eastAsia="Times New Roman" w:hAnsi="Times New Roman"/>
          <w:sz w:val="24"/>
          <w:szCs w:val="24"/>
        </w:rPr>
        <w:t xml:space="preserve">There is an apparent counterexample to the thesis, and it must be addressed: the small number of jurists who operate at the apex of the legal system. The Supreme Court justice. The federal appellate judge who writes opinions on novel constitutional questions. The handful of attorneys who argue before the Court. Surely these individuals are engaged in something that transcends mere procedural particularism?</w:t>
      </w:r>
    </w:p>
    <w:p>
      <w:pPr>
        <w:spacing w:after="200" w:line="276"/>
        <w:jc w:val="both"/>
      </w:pPr>
      <w:r>
        <w:rPr>
          <w:rFonts w:ascii="Times New Roman" w:cs="Times New Roman" w:eastAsia="Times New Roman" w:hAnsi="Times New Roman"/>
          <w:sz w:val="24"/>
          <w:szCs w:val="24"/>
        </w:rPr>
        <w:t xml:space="preserve">The answer is: less than it appears. Consider what it means to “decide an important legal issue”—say, whether vertical monopolies should be treated under the same antitrust framework as horizontal monopolies. This is a genuinely important question with far-reaching economic consequences. It is also a question that, in a rational world, would be decided on philosophical and economic grounds: What purposes does antitrust law serve? What theory of market competition best accounts for the relevant phenomena? What are the empirical effects of various regulatory regimes?</w:t>
      </w:r>
    </w:p>
    <w:p>
      <w:pPr>
        <w:spacing w:after="200" w:line="276"/>
        <w:jc w:val="both"/>
      </w:pPr>
      <w:r>
        <w:rPr>
          <w:rFonts w:ascii="Times New Roman" w:cs="Times New Roman" w:eastAsia="Times New Roman" w:hAnsi="Times New Roman"/>
          <w:sz w:val="24"/>
          <w:szCs w:val="24"/>
        </w:rPr>
        <w:t xml:space="preserve">But the Supreme Court does not decide such questions on these grounds—at least not explicitly. It decides them on “legal” grounds: precedent, statutory text, legislative history, the “principles underlying the Constitution.” The philosophical and economic reasoning, to the extent it enters at all, is smuggled in through vague references to constitutional values or through selective citation of authorities. The judge who wants to reach a philosophically sound conclusion must launder it through the legal system’s proprietary vocabulary—a vocabulary designed not to clarify thought but to disguise the fact that the reasoning is not, in any interesting sense, “legal.”</w:t>
      </w:r>
    </w:p>
    <w:p>
      <w:pPr>
        <w:spacing w:after="200" w:line="276"/>
        <w:jc w:val="both"/>
      </w:pPr>
      <w:r>
        <w:rPr>
          <w:rFonts w:ascii="Times New Roman" w:cs="Times New Roman" w:eastAsia="Times New Roman" w:hAnsi="Times New Roman"/>
          <w:sz w:val="24"/>
          <w:szCs w:val="24"/>
        </w:rPr>
        <w:t xml:space="preserve">The apex of the legal system, then, does not refute the thesis. It confirms it. Even at the highest level, the legal system’s relationship to genuine intellectual content is one of concealment. The substantive reasoning—economic, philosophical, moral—is always present, but it is never acknowledged as such. It is dressed in legal costume and presented as though it emerged from legal method. The costume is the method. And the method, stripped of its costume, is nothing.</w:t>
      </w:r>
    </w:p>
    <w:p>
      <w:pPr>
        <w:pStyle w:val="Heading1"/>
        <w:spacing w:before="360" w:after="240"/>
      </w:pPr>
      <w:r>
        <w:rPr>
          <w:rFonts w:ascii="Times New Roman" w:cs="Times New Roman" w:eastAsia="Times New Roman" w:hAnsi="Times New Roman"/>
          <w:b/>
          <w:bCs/>
          <w:sz w:val="28"/>
          <w:szCs w:val="28"/>
        </w:rPr>
        <w:t xml:space="preserve">8. Prestige as Compensation for the Absence of Content</w:t>
      </w:r>
    </w:p>
    <w:p>
      <w:pPr>
        <w:spacing w:after="200" w:line="276"/>
        <w:jc w:val="both"/>
      </w:pPr>
      <w:r>
        <w:rPr>
          <w:rFonts w:ascii="Times New Roman" w:cs="Times New Roman" w:eastAsia="Times New Roman" w:hAnsi="Times New Roman"/>
          <w:sz w:val="24"/>
          <w:szCs w:val="24"/>
        </w:rPr>
        <w:t xml:space="preserve">The legal profession’s prestige economy mirrors the Zen institution’s economy of spiritual authority. In the Zen case, the master’s status is sustained by the premise that he has attained something the student has not. In the legal case, the profession’s status is sustained by the premise that lawyers possess a cognitive capacity the laity does not.</w:t>
      </w:r>
    </w:p>
    <w:p>
      <w:pPr>
        <w:spacing w:after="200" w:line="276"/>
        <w:jc w:val="both"/>
      </w:pPr>
      <w:r>
        <w:rPr>
          <w:rFonts w:ascii="Times New Roman" w:cs="Times New Roman" w:eastAsia="Times New Roman" w:hAnsi="Times New Roman"/>
          <w:sz w:val="24"/>
          <w:szCs w:val="24"/>
        </w:rPr>
        <w:t xml:space="preserve">Notice the compensation structure. Federal judges—the legal system’s nearest equivalent to the roshi—are paid, relative to their qualifications and the significance attributed to their role, poorly. A federal district judge earns less than a mid-level associate at a large firm. The compensation is prestige: the judge is “deciding important issues,” and this is supposed to be its own reward. Prestige, in this context, functions as a currency minted by the system itself—a currency whose value depends entirely on the continued belief that the system’s operations constitute something intellectually serious. If that belief were withdrawn—if it were widely acknowledged that the judge is applying procedural constraints to policy preferences and calling the result “legal reasoning”—the prestige would evaporate, and the compensation structure would become visibly absurd.</w:t>
      </w:r>
    </w:p>
    <w:p>
      <w:pPr>
        <w:spacing w:after="200" w:line="276"/>
        <w:jc w:val="both"/>
      </w:pPr>
      <w:r>
        <w:rPr>
          <w:rFonts w:ascii="Times New Roman" w:cs="Times New Roman" w:eastAsia="Times New Roman" w:hAnsi="Times New Roman"/>
          <w:sz w:val="24"/>
          <w:szCs w:val="24"/>
        </w:rPr>
        <w:t xml:space="preserve">This explains the ferocity with which the legal profession defends its self-image. The stakes are not merely rhetorical. They are economic and psychological. An enormous apparatus—law schools, bar associations, continuing legal education requirements, the ritualized formality of the courtroom—depends on the maintenance of the fiction that legal practice involves a distinctive intellectual competence. If the fiction were abandoned, the apparatus would have no justification for its existence.</w:t>
      </w:r>
    </w:p>
    <w:p>
      <w:pPr>
        <w:pStyle w:val="Heading1"/>
        <w:spacing w:before="360" w:after="240"/>
      </w:pPr>
      <w:r>
        <w:rPr>
          <w:rFonts w:ascii="Times New Roman" w:cs="Times New Roman" w:eastAsia="Times New Roman" w:hAnsi="Times New Roman"/>
          <w:b/>
          <w:bCs/>
          <w:sz w:val="28"/>
          <w:szCs w:val="28"/>
        </w:rPr>
        <w:t xml:space="preserve">9. The Social Economy of Legal Mystification</w:t>
      </w:r>
    </w:p>
    <w:p>
      <w:pPr>
        <w:spacing w:after="200" w:line="276"/>
        <w:jc w:val="both"/>
      </w:pPr>
      <w:r>
        <w:rPr>
          <w:rFonts w:ascii="Times New Roman" w:cs="Times New Roman" w:eastAsia="Times New Roman" w:hAnsi="Times New Roman"/>
          <w:sz w:val="24"/>
          <w:szCs w:val="24"/>
        </w:rPr>
        <w:t xml:space="preserve">We return, as we did in the Zen article, to the economic function of mystification. The Zen monastery sustains itself by perpetuating the belief that there is something to be transmitted. The law school sustains itself by perpetuating the belief that there is something to be taught. Both institutions would collapse if their central claim were made explicit—because making it explicit would reveal that the emperor has no clothes.</w:t>
      </w:r>
    </w:p>
    <w:p>
      <w:pPr>
        <w:spacing w:after="200" w:line="276"/>
        <w:jc w:val="both"/>
      </w:pPr>
      <w:r>
        <w:rPr>
          <w:rFonts w:ascii="Times New Roman" w:cs="Times New Roman" w:eastAsia="Times New Roman" w:hAnsi="Times New Roman"/>
          <w:sz w:val="24"/>
          <w:szCs w:val="24"/>
        </w:rPr>
        <w:t xml:space="preserve">Law school’s three-year curriculum exists not because three years are needed to acquire the relevant competence—they are not—but because three years are needed to sustain the economic model. The bar exam exists not because it tests for a real capacity—it tests, at best, for the ability to memorize and reproduce procedural rules—but because a barrier to entry is necessary to maintain the scarcity that supports the profession’s billing rates. The entire structure is a credentialing cartel, and the concept of “legal reasoning” is its philosophical alibi.</w:t>
      </w:r>
    </w:p>
    <w:p>
      <w:pPr>
        <w:spacing w:after="200" w:line="276"/>
        <w:jc w:val="both"/>
      </w:pPr>
      <w:r>
        <w:rPr>
          <w:rFonts w:ascii="Times New Roman" w:cs="Times New Roman" w:eastAsia="Times New Roman" w:hAnsi="Times New Roman"/>
          <w:sz w:val="24"/>
          <w:szCs w:val="24"/>
        </w:rPr>
        <w:t xml:space="preserve">Clarity is the enemy, as it is in the Zen monastery. If the senior partner were to say plainly, “There is no framework; there is only process; you could have learned this in a year of apprenticeship,” the associate would demand to know why the partnership charges $800 per hour. If the law professor were to say plainly, “I am not teaching you a mode of reasoning; I am acclimatizing you to the absence of one,” enrollment would crater. The institution’s survival depends on never saying these things—and so the emptiness is repackaged as “rigor,” the absence of content is relabeled “complexity,” and the student’s frustration is reinterpreted as evidence that the material is challenging rather than evidence that there is no material.</w:t>
      </w:r>
    </w:p>
    <w:p>
      <w:pPr>
        <w:pStyle w:val="Heading1"/>
        <w:spacing w:before="360" w:after="240"/>
      </w:pPr>
      <w:r>
        <w:rPr>
          <w:rFonts w:ascii="Times New Roman" w:cs="Times New Roman" w:eastAsia="Times New Roman" w:hAnsi="Times New Roman"/>
          <w:b/>
          <w:bCs/>
          <w:sz w:val="28"/>
          <w:szCs w:val="28"/>
        </w:rPr>
        <w:t xml:space="preserve">10. Conclusion</w:t>
      </w:r>
    </w:p>
    <w:p>
      <w:pPr>
        <w:spacing w:after="200" w:line="276"/>
        <w:jc w:val="both"/>
      </w:pPr>
      <w:r>
        <w:rPr>
          <w:rFonts w:ascii="Times New Roman" w:cs="Times New Roman" w:eastAsia="Times New Roman" w:hAnsi="Times New Roman"/>
          <w:sz w:val="24"/>
          <w:szCs w:val="24"/>
        </w:rPr>
        <w:t xml:space="preserve">“Thinking like a lawyer” is not a mode of reasoning awaiting those with sufficient education. It is a definitional trick: a concept whose content is identical to the recognition of its own emptiness. The tradition that promotes it does so not despite this emptiness but because of it, since a competence that cannot be specified cannot be shown to be absent.</w:t>
      </w:r>
    </w:p>
    <w:p>
      <w:pPr>
        <w:spacing w:after="200" w:line="276"/>
        <w:jc w:val="both"/>
      </w:pPr>
      <w:r>
        <w:rPr>
          <w:rFonts w:ascii="Times New Roman" w:cs="Times New Roman" w:eastAsia="Times New Roman" w:hAnsi="Times New Roman"/>
          <w:sz w:val="24"/>
          <w:szCs w:val="24"/>
        </w:rPr>
        <w:t xml:space="preserve">The legal profession’s satori—its moment of self-cancelling enlightenment—is the moment the practitioner realizes that there is no “legal reasoning.” There is only legal procedure: vast, unintegrated, jurisdictionally particular, and resistant to the holistic comprehension that would make it a genuine intellectual discipline. The realization, far from validating the profession’s self-image, annihilates it.</w:t>
      </w:r>
    </w:p>
    <w:p>
      <w:pPr>
        <w:spacing w:after="200" w:line="276"/>
        <w:jc w:val="both"/>
      </w:pPr>
      <w:r>
        <w:rPr>
          <w:rFonts w:ascii="Times New Roman" w:cs="Times New Roman" w:eastAsia="Times New Roman" w:hAnsi="Times New Roman"/>
          <w:sz w:val="24"/>
          <w:szCs w:val="24"/>
        </w:rPr>
        <w:t xml:space="preserve">What the legal profession calls expertise is the moment you realize there is nothing to master—only an infinity of procedural particulars to tolerate. What the profession cannot afford to acknowledge is that this realization, stated plainly, would dissolve the credentialing apparatus, the billing model, and the cultural prestige that together sustain the enterprise. If the destination is the discovery that there is no destination, then the three years of tuition were a toll on a road that leads nowhere—and the institutions that sold the journey knew it all along.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20"/>
        <w:szCs w:val="20"/>
      </w:rPr>
      <w:t xml:space="preserve">Zhi Systems — Legal Satori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2026-02-18T22:25:43.481Z</dcterms:created>
  <dcterms:modified xsi:type="dcterms:W3CDTF">2026-02-18T22:25:43.481Z</dcterms:modified>
</cp:coreProperties>
</file>

<file path=docProps/custom.xml><?xml version="1.0" encoding="utf-8"?>
<Properties xmlns="http://schemas.openxmlformats.org/officeDocument/2006/custom-properties" xmlns:vt="http://schemas.openxmlformats.org/officeDocument/2006/docPropsVTypes"/>
</file>