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160" w:before="0"/>
      </w:pPr>
      <w:r>
        <w:t xml:space="preserve"/>
      </w:r>
    </w:p>
    <w:p>
      <w:pPr>
        <w:spacing w:after="200" w:before="480"/>
        <w:jc w:val="center"/>
      </w:pPr>
      <w:r>
        <w:rPr>
          <w:rFonts w:ascii="Times New Roman" w:cs="Times New Roman" w:eastAsia="Times New Roman" w:hAnsi="Times New Roman"/>
          <w:b/>
          <w:bCs/>
          <w:sz w:val="28"/>
          <w:szCs w:val="28"/>
        </w:rPr>
        <w:t xml:space="preserve">SHORT SELLING, INFORMATION ASYMMETRY, AND THE MYTHOLOGY OF PRICE DISCOVERY</w:t>
      </w:r>
    </w:p>
    <w:p>
      <w:pPr>
        <w:spacing w:after="160" w:before="0"/>
      </w:pPr>
      <w:r>
        <w:t xml:space="preserve"/>
      </w:r>
    </w:p>
    <w:p>
      <w:pPr>
        <w:spacing w:after="200" w:before="0"/>
        <w:jc w:val="center"/>
      </w:pPr>
      <w:r>
        <w:rPr>
          <w:rFonts w:ascii="Times New Roman" w:cs="Times New Roman" w:eastAsia="Times New Roman" w:hAnsi="Times New Roman"/>
          <w:i/>
          <w:iCs/>
          <w:sz w:val="24"/>
          <w:szCs w:val="24"/>
        </w:rPr>
        <w:t xml:space="preserve">A Critical Analysis of the Theoretical Foundations and Operational Reality</w:t>
      </w:r>
    </w:p>
    <w:p>
      <w:pPr>
        <w:spacing w:after="160" w:before="0"/>
      </w:pPr>
      <w:r>
        <w:t xml:space="preserve"/>
      </w:r>
    </w:p>
    <w:p>
      <w:pPr>
        <w:spacing w:after="160" w:before="0"/>
      </w:pPr>
      <w:r>
        <w:t xml:space="preserve"/>
      </w:r>
    </w:p>
    <w:p>
      <w:pPr>
        <w:spacing w:after="120" w:before="240"/>
        <w:jc w:val="center"/>
      </w:pPr>
      <w:r>
        <w:rPr>
          <w:rFonts w:ascii="Times New Roman" w:cs="Times New Roman" w:eastAsia="Times New Roman" w:hAnsi="Times New Roman"/>
          <w:b/>
          <w:bCs/>
          <w:sz w:val="24"/>
          <w:szCs w:val="24"/>
        </w:rPr>
        <w:t xml:space="preserve">Abstract</w:t>
      </w:r>
    </w:p>
    <w:p>
      <w:pPr>
        <w:spacing w:after="200" w:before="0" w:line="360" w:lineRule="auto"/>
        <w:ind w:left="720" w:right="720"/>
        <w:jc w:val="both"/>
      </w:pPr>
      <w:r>
        <w:rPr>
          <w:rFonts w:ascii="Times New Roman" w:cs="Times New Roman" w:eastAsia="Times New Roman" w:hAnsi="Times New Roman"/>
          <w:sz w:val="22"/>
          <w:szCs w:val="22"/>
        </w:rPr>
        <w:t xml:space="preserve">The standard defense of short selling in financial economics rests on two pillars: the price discovery thesis, which holds that short sellers correct overvaluation by introducing negative information into prices, and the anti-bubble thesis, which holds that short selling constrains speculative excess by providing a mechanism for pessimistic views to be expressed in market prices. This article argues that both pillars are theoretically defective and empirically unsupported as general claims. The price discovery thesis rests on a disanalogy between commodity markets — where J.S. Mill's original stabilization argument was developed — and equity markets, where prices are endogenous to trading activity rather than anchored to exogenous fundamentals. The anti-bubble thesis fails because the same mechanism that supposedly corrects overvaluation can manufacture the price collapse it purports to diagnose. Most critically, the article argues that the apparent prescience of short sellers in cases of genuine corporate fraud is most parsimoniously explained not by superior forensic analysis of public information, but by systematic access to material non-public information — a phenomenon the regulatory framework effectively licenses under the rhetorical cover of market efficiency. The Enron case, routinely cited as validation of the price discovery thesis, is reexamined as an instance of information asymmetry masquerading as analytical acuity.</w:t>
      </w:r>
    </w:p>
    <w:p>
      <w:pPr>
        <w:spacing w:after="160" w:before="0"/>
      </w:pPr>
      <w:r>
        <w:t xml:space="preserve"/>
      </w:r>
    </w:p>
    <w:p>
      <w:pPr>
        <w:spacing w:after="200" w:before="0" w:line="360" w:lineRule="auto"/>
        <w:ind w:left="720" w:right="720"/>
        <w:jc w:val="both"/>
      </w:pPr>
      <w:r>
        <w:rPr>
          <w:rFonts w:ascii="Times New Roman" w:cs="Times New Roman" w:eastAsia="Times New Roman" w:hAnsi="Times New Roman"/>
          <w:i/>
          <w:iCs/>
          <w:sz w:val="22"/>
          <w:szCs w:val="22"/>
        </w:rPr>
        <w:t xml:space="preserve">Keywords: short selling, price discovery, market efficiency, insider information, financial regulation, speculative markets, J.S. Mill, epistemology of finance.</w:t>
      </w:r>
    </w:p>
    <w:p>
      <w:pPr>
        <w:pBdr>
          <w:bottom w:val="single" w:color="888888" w:sz="4" w:space="1"/>
        </w:pBdr>
        <w:spacing w:after="320" w:before="320"/>
      </w:pPr>
      <w:r>
        <w:t xml:space="preserve"/>
      </w:r>
    </w:p>
    <w:p>
      <w:pPr>
        <w:pStyle w:val="Heading1"/>
        <w:spacing w:after="240" w:before="480"/>
      </w:pPr>
      <w:r>
        <w:rPr>
          <w:rFonts w:ascii="Times New Roman" w:cs="Times New Roman" w:eastAsia="Times New Roman" w:hAnsi="Times New Roman"/>
          <w:b/>
          <w:bCs/>
          <w:caps/>
          <w:sz w:val="28"/>
          <w:szCs w:val="28"/>
        </w:rPr>
        <w:t xml:space="preserve">I. Introduction: The Standard Defense and Its Discontents</w:t>
      </w:r>
    </w:p>
    <w:p>
      <w:pPr>
        <w:spacing w:after="200" w:before="0" w:line="360" w:lineRule="auto"/>
        <w:ind w:firstLine="720"/>
        <w:jc w:val="both"/>
      </w:pPr>
      <w:r>
        <w:rPr>
          <w:rFonts w:ascii="Times New Roman" w:cs="Times New Roman" w:eastAsia="Times New Roman" w:hAnsi="Times New Roman"/>
          <w:sz w:val="24"/>
          <w:szCs w:val="24"/>
        </w:rPr>
        <w:t xml:space="preserve">Among the more durable propositions in financial economics is the claim that short selling performs an indispensable function in well-ordered capital markets. The argument is sufficiently established that it appears not merely in academic journals but in the testimony of financial industry representatives before legislative bodies, in amicus briefs opposing regulatory restrictions, and in the introductory chapters of market microstructure textbooks. It runs, in its canonical form, roughly as follows: capital markets are efficient only if prices are permitted to move in both directions in response to information; long buyers push prices upward when they possess positive information about an asset's value; short sellers, by contrast, push prices downward when they possess negative information; in the absence of short selling, negative information is systematically suppressed from prices, which become one-sided signals biased toward overvaluation; short selling therefore corrects this bias, prevents the formation of asset price bubbles, and disciplines corporate management by subjecting companies to the scrutiny of investors with a direct financial interest in exposing weakness.</w:t>
      </w:r>
    </w:p>
    <w:p>
      <w:pPr>
        <w:spacing w:after="200" w:before="0" w:line="360" w:lineRule="auto"/>
        <w:ind w:firstLine="720"/>
        <w:jc w:val="both"/>
      </w:pPr>
      <w:r>
        <w:rPr>
          <w:rFonts w:ascii="Times New Roman" w:cs="Times New Roman" w:eastAsia="Times New Roman" w:hAnsi="Times New Roman"/>
          <w:sz w:val="24"/>
          <w:szCs w:val="24"/>
        </w:rPr>
        <w:t xml:space="preserve">This article contends that the standard defense, while superficially coherent, collapses under examination along three distinct axes. First, the theoretical foundations of the price discovery thesis are borrowed, without adequate justification, from an argument developed in the context of commodity markets, where it has genuine force, and transplanted into equity markets, where its central assumptions fail. Second, the empirical showpiece of the defense — the identification of corporate fraud by short sellers in cases such as Enron and Wirecard — is more plausibly explained by access to material non-public information than by the analytical superiority that the defense attributes to short sellers. Third, the regulatory asymmetry between insider trading on the long side and informationally-grounded short selling is not an oversight but a structural feature of a regulatory architecture that protects particular interests while deploying the language of market efficiency to do so.</w:t>
      </w:r>
    </w:p>
    <w:p>
      <w:pPr>
        <w:spacing w:after="200" w:before="0" w:line="360" w:lineRule="auto"/>
        <w:ind w:firstLine="720"/>
        <w:jc w:val="both"/>
      </w:pPr>
      <w:r>
        <w:rPr>
          <w:rFonts w:ascii="Times New Roman" w:cs="Times New Roman" w:eastAsia="Times New Roman" w:hAnsi="Times New Roman"/>
          <w:sz w:val="24"/>
          <w:szCs w:val="24"/>
        </w:rPr>
        <w:t xml:space="preserve">The argument proceeds as follows. Section II reconstructs the theoretical genealogy of the price discovery thesis, tracing it to J.S. Mill's argument about the stabilizing function of speculation in commodity markets and examining why the analogy to equity markets is defective. Section III examines the anti-bubble thesis and the feedback mechanisms that cause short selling to generate rather than merely identify price instability. Section IV turns to the inside information hypothesis and examines the Enron case in its light. Section V addresses the regulatory architecture and the asymmetry between long-side and short-side information trading. Section VI concludes.</w:t>
      </w:r>
    </w:p>
    <w:p>
      <w:pPr>
        <w:pBdr>
          <w:bottom w:val="single" w:color="888888" w:sz="4" w:space="1"/>
        </w:pBdr>
        <w:spacing w:after="320" w:before="320"/>
      </w:pPr>
      <w:r>
        <w:t xml:space="preserve"/>
      </w:r>
    </w:p>
    <w:p>
      <w:pPr>
        <w:pStyle w:val="Heading1"/>
        <w:spacing w:after="240" w:before="480"/>
      </w:pPr>
      <w:r>
        <w:rPr>
          <w:rFonts w:ascii="Times New Roman" w:cs="Times New Roman" w:eastAsia="Times New Roman" w:hAnsi="Times New Roman"/>
          <w:b/>
          <w:bCs/>
          <w:caps/>
          <w:sz w:val="28"/>
          <w:szCs w:val="28"/>
        </w:rPr>
        <w:t xml:space="preserve">II. The Theoretical Genealogy: Mill, Commodity Markets, and the Limits of Analogy</w:t>
      </w:r>
    </w:p>
    <w:p>
      <w:pPr>
        <w:pStyle w:val="Heading2"/>
        <w:spacing w:after="160" w:before="360"/>
      </w:pPr>
      <w:r>
        <w:rPr>
          <w:rFonts w:ascii="Times New Roman" w:cs="Times New Roman" w:eastAsia="Times New Roman" w:hAnsi="Times New Roman"/>
          <w:b/>
          <w:bCs/>
          <w:i/>
          <w:iCs/>
          <w:sz w:val="26"/>
          <w:szCs w:val="26"/>
        </w:rPr>
        <w:t xml:space="preserve">A. Mill's Original Argument</w:t>
      </w:r>
    </w:p>
    <w:p>
      <w:pPr>
        <w:spacing w:after="200" w:before="0" w:line="360" w:lineRule="auto"/>
        <w:ind w:firstLine="720"/>
        <w:jc w:val="both"/>
      </w:pPr>
      <w:r>
        <w:rPr>
          <w:rFonts w:ascii="Times New Roman" w:cs="Times New Roman" w:eastAsia="Times New Roman" w:hAnsi="Times New Roman"/>
          <w:sz w:val="24"/>
          <w:szCs w:val="24"/>
        </w:rPr>
        <w:t xml:space="preserve">The intellectual origins of the price discovery thesis lie in J.S. Mill's analysis of speculation in the Principles of Political Economy, first published in 1848. Mill's argument concerned physical commodities — paradigmatically, agricultural goods subject to seasonal supply variation. His claim was that speculators, by purchasing commodities when they are plentiful and cheap and selling them when they are scarce and expensive, perform a socially beneficial function of temporal arbitrage: they redistribute supply across time in a manner that smooths price volatility. In the absence of speculators, prices would exhibit sharp troughs in periods of abundance and sharp peaks in periods of scarcity; the speculator, by buying in the trough and selling in the peak, both raises the trough price and lowers the peak price, producing a more stable time-series of prices that more accurately reflects underlying supply and demand conditions.</w:t>
      </w:r>
    </w:p>
    <w:p>
      <w:pPr>
        <w:spacing w:after="200" w:before="0" w:line="360" w:lineRule="auto"/>
        <w:ind w:firstLine="720"/>
        <w:jc w:val="both"/>
      </w:pPr>
      <w:r>
        <w:rPr>
          <w:rFonts w:ascii="Times New Roman" w:cs="Times New Roman" w:eastAsia="Times New Roman" w:hAnsi="Times New Roman"/>
          <w:sz w:val="24"/>
          <w:szCs w:val="24"/>
        </w:rPr>
        <w:t xml:space="preserve">The argument has genuine force in its original domain. A wheat harvest is an exogenous event: the size of the crop is determined by weather, soil conditions, and agricultural practice, and is not materially affected by whether speculators are active in the wheat market. The price volatility that Mill's speculator moderates is driven by real-world supply fluctuations that exist independently of the trading activity that responds to them. The speculator is, in this model, a price-responsive actor whose behavior is disciplined by the physical realities of commodity supply: he cannot profitably push prices below the level warranted by actual abundance, nor above the level warranted by actual scarcity, without being corrected by the market. His information advantage consists in knowing more accurately than other market participants how supply conditions will evolve over time.</w:t>
      </w:r>
    </w:p>
    <w:p>
      <w:pPr>
        <w:spacing w:after="200" w:before="0" w:line="360" w:lineRule="auto"/>
        <w:ind w:firstLine="720"/>
        <w:jc w:val="both"/>
      </w:pPr>
      <w:r>
        <w:rPr>
          <w:rFonts w:ascii="Times New Roman" w:cs="Times New Roman" w:eastAsia="Times New Roman" w:hAnsi="Times New Roman"/>
          <w:sz w:val="24"/>
          <w:szCs w:val="24"/>
        </w:rPr>
        <w:t xml:space="preserve">This argument was subsequently generalized, by Mill's successors and by later financial economists, from commodity markets to financial markets. The generalization runs: just as speculators in commodity markets profit by identifying mispricing between current prices and fundamental values, short sellers in equity markets profit by identifying mispricing between current stock prices and the fundamental value of the underlying business. Short selling is, on this view, simply intertemporal commodity speculation translated into the equity domain: the short seller identifies overvaluation, bets against it, and in doing so drives the price toward its fundamental value. The social benefit is identical in both cases — more accurate prices, less volatility, better allocation of capital.</w:t>
      </w:r>
    </w:p>
    <w:p>
      <w:pPr>
        <w:pStyle w:val="Heading2"/>
        <w:spacing w:after="160" w:before="360"/>
      </w:pPr>
      <w:r>
        <w:rPr>
          <w:rFonts w:ascii="Times New Roman" w:cs="Times New Roman" w:eastAsia="Times New Roman" w:hAnsi="Times New Roman"/>
          <w:b/>
          <w:bCs/>
          <w:i/>
          <w:iCs/>
          <w:sz w:val="26"/>
          <w:szCs w:val="26"/>
        </w:rPr>
        <w:t xml:space="preserve">B. The Disanalogy: Endogeneity and the Absence of Exogenous Anchors</w:t>
      </w:r>
    </w:p>
    <w:p>
      <w:pPr>
        <w:spacing w:after="200" w:before="0" w:line="360" w:lineRule="auto"/>
        <w:ind w:firstLine="720"/>
        <w:jc w:val="both"/>
      </w:pPr>
      <w:r>
        <w:rPr>
          <w:rFonts w:ascii="Times New Roman" w:cs="Times New Roman" w:eastAsia="Times New Roman" w:hAnsi="Times New Roman"/>
          <w:sz w:val="24"/>
          <w:szCs w:val="24"/>
        </w:rPr>
        <w:t xml:space="preserve">The generalization from commodity to equity markets fails because it ignores a structural difference between the two cases that is not incidental but constitutive. In the commodity case, the fundamental value to which speculation is supposed to drive prices is exogenously determined: it is fixed by the physical facts of supply and demand, which exist independently of market activity. The speculator's activity is corrective because there is an independent standard — actual scarcity or abundance — against which the accuracy of prices can be measured and to which prices tend to revert.</w:t>
      </w:r>
    </w:p>
    <w:p>
      <w:pPr>
        <w:spacing w:after="200" w:before="0" w:line="360" w:lineRule="auto"/>
        <w:ind w:firstLine="720"/>
        <w:jc w:val="both"/>
      </w:pPr>
      <w:r>
        <w:rPr>
          <w:rFonts w:ascii="Times New Roman" w:cs="Times New Roman" w:eastAsia="Times New Roman" w:hAnsi="Times New Roman"/>
          <w:sz w:val="24"/>
          <w:szCs w:val="24"/>
        </w:rPr>
        <w:t xml:space="preserve">In the equity case, this exogenous anchor is largely absent. The value of a share of stock is a claim on uncertain future earnings, discounted at an uncertain rate. Neither the earnings nor the discount rate is a physical fact that exists independently of the beliefs, expectations, and actions of market participants. Stock prices are, to a significant degree, endogenous to the trading process itself: they are constituted partly by what participants believe other participants believe about future earnings, which is itself partly constituted by current prices. This is the point of Keynes's famous beauty contest analogy — the task of the stock market investor is not to identify the most beautiful face, but to identify which face other investors will believe other investors will find most beautiful.</w:t>
      </w:r>
    </w:p>
    <w:p>
      <w:pPr>
        <w:spacing w:after="200" w:before="0" w:line="360" w:lineRule="auto"/>
        <w:ind w:firstLine="720"/>
        <w:jc w:val="both"/>
      </w:pPr>
      <w:r>
        <w:rPr>
          <w:rFonts w:ascii="Times New Roman" w:cs="Times New Roman" w:eastAsia="Times New Roman" w:hAnsi="Times New Roman"/>
          <w:sz w:val="24"/>
          <w:szCs w:val="24"/>
        </w:rPr>
        <w:t xml:space="preserve">The consequence of this endogeneity is that the stabilizing mechanism Mill identified in commodity markets does not operate cleanly in equity markets. When a short seller takes a large position against a stock, the position itself becomes </w:t>
      </w:r>
      <w:r>
        <w:rPr>
          <w:rFonts w:ascii="Times New Roman" w:cs="Times New Roman" w:eastAsia="Times New Roman" w:hAnsi="Times New Roman"/>
          <w:i/>
          <w:iCs/>
          <w:sz w:val="24"/>
          <w:szCs w:val="24"/>
        </w:rPr>
        <w:t xml:space="preserve">information</w:t>
      </w:r>
      <w:r>
        <w:rPr>
          <w:rFonts w:ascii="Times New Roman" w:cs="Times New Roman" w:eastAsia="Times New Roman" w:hAnsi="Times New Roman"/>
          <w:sz w:val="24"/>
          <w:szCs w:val="24"/>
        </w:rPr>
        <w:t xml:space="preserve"> — it signals to other market participants that a sophisticated investor believes the stock is overvalued, which can trigger a cascade of selling that drives the price down not because the fundamental value of the business has declined, but because the short position has altered the beliefs and expectations of other investors. The short seller, in other words, can manufacture the very outcome his position is supposed merely to </w:t>
      </w:r>
      <w:r>
        <w:rPr>
          <w:rFonts w:ascii="Times New Roman" w:cs="Times New Roman" w:eastAsia="Times New Roman" w:hAnsi="Times New Roman"/>
          <w:i/>
          <w:iCs/>
          <w:sz w:val="24"/>
          <w:szCs w:val="24"/>
        </w:rPr>
        <w:t xml:space="preserve">predict.</w:t>
      </w:r>
    </w:p>
    <w:p>
      <w:pPr>
        <w:spacing w:after="200" w:before="0" w:line="360" w:lineRule="auto"/>
        <w:ind w:firstLine="720"/>
        <w:jc w:val="both"/>
      </w:pPr>
      <w:r>
        <w:rPr>
          <w:rFonts w:ascii="Times New Roman" w:cs="Times New Roman" w:eastAsia="Times New Roman" w:hAnsi="Times New Roman"/>
          <w:sz w:val="24"/>
          <w:szCs w:val="24"/>
        </w:rPr>
        <w:t xml:space="preserve">This is not a marginal or theoretical possibility. It is the normal operating mechanism of large-scale short campaigns. When a major short seller publishes a report asserting that a company is fraudulent or overvalued, the report does not merely convey information — it is a market intervention designed to move prices in a predetermined direction. The short seller has already built his position before publishing; the publication is the trigger. The distinction between identifying mispricing and engineering mispricing collapses entirely.</w:t>
      </w:r>
    </w:p>
    <w:p>
      <w:pPr>
        <w:spacing w:after="200" w:before="0" w:line="360" w:lineRule="auto"/>
        <w:ind w:firstLine="720"/>
        <w:jc w:val="both"/>
      </w:pPr>
      <w:r>
        <w:rPr>
          <w:rFonts w:ascii="Times New Roman" w:cs="Times New Roman" w:eastAsia="Times New Roman" w:hAnsi="Times New Roman"/>
          <w:sz w:val="24"/>
          <w:szCs w:val="24"/>
        </w:rPr>
        <w:t xml:space="preserve">There is a further disanalogy worth noting. Mill's commodity speculator faces a natural time constraint imposed by physical reality: perishable goods must eventually be sold, and the speculator cannot indefinitely defer his corrective action. Equity short sellers face a different temporal structure. The cost of maintaining a short position is the borrowing fee paid to the securities lender. For heavily shorted stocks, this fee can become very large. This creates a powerful incentive not merely to be right about overvaluation but to be right on a specific timeline — which requires either knowing when the corrective event will occur or having the means to precipitate it. Neither condition is consistent with the price discovery narrative, which pictures the short seller as a passive analyst waiting for the market to recognize what he has identified.</w:t>
      </w:r>
    </w:p>
    <w:p>
      <w:pPr>
        <w:pBdr>
          <w:bottom w:val="single" w:color="888888" w:sz="4" w:space="1"/>
        </w:pBdr>
        <w:spacing w:after="320" w:before="320"/>
      </w:pPr>
      <w:r>
        <w:t xml:space="preserve"/>
      </w:r>
    </w:p>
    <w:p>
      <w:pPr>
        <w:pStyle w:val="Heading1"/>
        <w:spacing w:after="240" w:before="480"/>
      </w:pPr>
      <w:r>
        <w:rPr>
          <w:rFonts w:ascii="Times New Roman" w:cs="Times New Roman" w:eastAsia="Times New Roman" w:hAnsi="Times New Roman"/>
          <w:b/>
          <w:bCs/>
          <w:caps/>
          <w:sz w:val="28"/>
          <w:szCs w:val="28"/>
        </w:rPr>
        <w:t xml:space="preserve">III. The Anti-Bubble Thesis and Its Self-Undermining Dynamics</w:t>
      </w:r>
    </w:p>
    <w:p>
      <w:pPr>
        <w:pStyle w:val="Heading2"/>
        <w:spacing w:after="160" w:before="360"/>
      </w:pPr>
      <w:r>
        <w:rPr>
          <w:rFonts w:ascii="Times New Roman" w:cs="Times New Roman" w:eastAsia="Times New Roman" w:hAnsi="Times New Roman"/>
          <w:b/>
          <w:bCs/>
          <w:i/>
          <w:iCs/>
          <w:sz w:val="26"/>
          <w:szCs w:val="26"/>
        </w:rPr>
        <w:t xml:space="preserve">A. The Theoretical Claim</w:t>
      </w:r>
    </w:p>
    <w:p>
      <w:pPr>
        <w:spacing w:after="200" w:before="0" w:line="360" w:lineRule="auto"/>
        <w:ind w:firstLine="720"/>
        <w:jc w:val="both"/>
      </w:pPr>
      <w:r>
        <w:rPr>
          <w:rFonts w:ascii="Times New Roman" w:cs="Times New Roman" w:eastAsia="Times New Roman" w:hAnsi="Times New Roman"/>
          <w:sz w:val="24"/>
          <w:szCs w:val="24"/>
        </w:rPr>
        <w:t xml:space="preserve">The anti-bubble thesis is a specific application of the price discovery argument. It holds that in the absence of short selling, asset prices become irrationally elevated because the mechanism by which pessimistic assessments of value would otherwise be expressed — selling — is limited to investors who own the asset. Optimistic investors buy; pessimistic investors who do not own the asset simply stay out. The result is that prices are set by the most optimistic investors, and the distribution of opinion in the market is not reflected in prices. Short selling corrects this bias by allowing pessimists to express their views through active selling rather than mere abstention. The result, in theory, is that prices more accurately reflect the full distribution of investor opinion, which reduces the probability of bubble formation.</w:t>
      </w:r>
    </w:p>
    <w:p>
      <w:pPr>
        <w:spacing w:after="200" w:before="0" w:line="360" w:lineRule="auto"/>
        <w:ind w:firstLine="720"/>
        <w:jc w:val="both"/>
      </w:pPr>
      <w:r>
        <w:rPr>
          <w:rFonts w:ascii="Times New Roman" w:cs="Times New Roman" w:eastAsia="Times New Roman" w:hAnsi="Times New Roman"/>
          <w:sz w:val="24"/>
          <w:szCs w:val="24"/>
        </w:rPr>
        <w:t xml:space="preserve">This argument was formalized in Miller's influential 1977 paper and has since been cited extensively in the academic literature on short-sale constraints and overpricing. Empirical studies purport to find that stocks with high short-sale constraints — proxied by low availability of shares to borrow — tend to be overpriced relative to their fundamentals and to exhibit lower subsequent returns, which is taken as confirming the anti-bubble thesis.</w:t>
      </w:r>
    </w:p>
    <w:p>
      <w:pPr>
        <w:pStyle w:val="Heading2"/>
        <w:spacing w:after="160" w:before="360"/>
      </w:pPr>
      <w:r>
        <w:rPr>
          <w:rFonts w:ascii="Times New Roman" w:cs="Times New Roman" w:eastAsia="Times New Roman" w:hAnsi="Times New Roman"/>
          <w:b/>
          <w:bCs/>
          <w:i/>
          <w:iCs/>
          <w:sz w:val="26"/>
          <w:szCs w:val="26"/>
        </w:rPr>
        <w:t xml:space="preserve">B. The Self-Undermining Dynamics</w:t>
      </w:r>
    </w:p>
    <w:p>
      <w:pPr>
        <w:spacing w:after="200" w:before="0" w:line="360" w:lineRule="auto"/>
        <w:ind w:firstLine="720"/>
        <w:jc w:val="both"/>
      </w:pPr>
      <w:r>
        <w:rPr>
          <w:rFonts w:ascii="Times New Roman" w:cs="Times New Roman" w:eastAsia="Times New Roman" w:hAnsi="Times New Roman"/>
          <w:sz w:val="24"/>
          <w:szCs w:val="24"/>
        </w:rPr>
        <w:t xml:space="preserve">The anti-bubble thesis suffers from a fundamental problem that its proponents consistently underweight: the mechanism that is supposed to prevent bubbles by correcting overvaluation is structurally identical to the mechanism that engineers artificial price collapses in fundamentally sound companies. There is no endogenous feature of short selling that distinguishes these two applications. Whether a large coordinated short position corrects genuine overvaluation or manufactures artificial undervaluation depends entirely on whether the underlying company is actually overvalued — which is precisely what is in dispute and what short sellers have a financial interest in asserting.</w:t>
      </w:r>
    </w:p>
    <w:p>
      <w:pPr>
        <w:spacing w:after="200" w:before="0" w:line="360" w:lineRule="auto"/>
        <w:ind w:firstLine="720"/>
        <w:jc w:val="both"/>
      </w:pPr>
      <w:r>
        <w:rPr>
          <w:rFonts w:ascii="Times New Roman" w:cs="Times New Roman" w:eastAsia="Times New Roman" w:hAnsi="Times New Roman"/>
          <w:sz w:val="24"/>
          <w:szCs w:val="24"/>
        </w:rPr>
        <w:t xml:space="preserve">The historical record on this point is sobering. The dot-com bubble of the late 1990s developed and expanded in the presence of active short selling; short sellers who correctly identified the overvaluation were famously squeezed and forced to cover their positions at losses before the bubble eventually collapsed. The U.S. housing bubble of the mid-2000s, which culminated in the financial crisis of 2008, developed in the presence of active short selling in the underlying mortgage-backed securities market. In both cases, short sellers did not prevent the bubble; they identified its existence while being overwhelmed by the momentum of continued price appreciation. The bubble ended when it ended, for reasons largely unrelated to the constraining effect of short selling.</w:t>
      </w:r>
    </w:p>
    <w:p>
      <w:pPr>
        <w:spacing w:after="200" w:before="0" w:line="360" w:lineRule="auto"/>
        <w:ind w:firstLine="720"/>
        <w:jc w:val="both"/>
      </w:pPr>
      <w:r>
        <w:rPr>
          <w:rFonts w:ascii="Times New Roman" w:cs="Times New Roman" w:eastAsia="Times New Roman" w:hAnsi="Times New Roman"/>
          <w:sz w:val="24"/>
          <w:szCs w:val="24"/>
        </w:rPr>
        <w:t xml:space="preserve">More troubling, there is substantial evidence that coordinated short selling accelerated the collapse of institutions that were under stress during the 2008 financial crisis — not by correctly identifying fundamental insolvency, but by manufacturing the panic that made insolvency self-fulfilling. A financial institution that is solvent but illiquid is vulnerable to a run; a concentrated short position in its stock, combined with aggressive public commentary about its condition, can trigger the run that it predicts. The SEC's emergency restrictions on short selling of financial stocks in September 2008 were precisely a recognition that the anti-bubble mechanism had become a destabilization weapon.</w:t>
      </w:r>
    </w:p>
    <w:p>
      <w:pPr>
        <w:spacing w:after="200" w:before="0" w:line="360" w:lineRule="auto"/>
        <w:ind w:firstLine="720"/>
        <w:jc w:val="both"/>
      </w:pPr>
      <w:r>
        <w:rPr>
          <w:rFonts w:ascii="Times New Roman" w:cs="Times New Roman" w:eastAsia="Times New Roman" w:hAnsi="Times New Roman"/>
          <w:sz w:val="24"/>
          <w:szCs w:val="24"/>
        </w:rPr>
        <w:t xml:space="preserve">The theoretical point here is closely related to the endogeneity argument made in Section II. If stock prices influence real economic outcomes — as they do, through effects on funding costs, collateral values, and management incentives — then a large short position that drives down a stock price is not merely predicting a deterioration in the company's condition; it may be causing one. This feedback loop entirely dissolves the distinction between price discovery and price manipulation that the standard defense requires.</w:t>
      </w:r>
    </w:p>
    <w:p>
      <w:pPr>
        <w:pBdr>
          <w:bottom w:val="single" w:color="888888" w:sz="4" w:space="1"/>
        </w:pBdr>
        <w:spacing w:after="320" w:before="320"/>
      </w:pPr>
      <w:r>
        <w:t xml:space="preserve"/>
      </w:r>
    </w:p>
    <w:p>
      <w:pPr>
        <w:pStyle w:val="Heading1"/>
        <w:spacing w:after="240" w:before="480"/>
      </w:pPr>
      <w:r>
        <w:rPr>
          <w:rFonts w:ascii="Times New Roman" w:cs="Times New Roman" w:eastAsia="Times New Roman" w:hAnsi="Times New Roman"/>
          <w:b/>
          <w:bCs/>
          <w:caps/>
          <w:sz w:val="28"/>
          <w:szCs w:val="28"/>
        </w:rPr>
        <w:t xml:space="preserve">IV. The Inside Information Hypothesis: Reconsidering the Enron Case</w:t>
      </w:r>
    </w:p>
    <w:p>
      <w:pPr>
        <w:pStyle w:val="Heading2"/>
        <w:spacing w:after="160" w:before="360"/>
      </w:pPr>
      <w:r>
        <w:rPr>
          <w:rFonts w:ascii="Times New Roman" w:cs="Times New Roman" w:eastAsia="Times New Roman" w:hAnsi="Times New Roman"/>
          <w:b/>
          <w:bCs/>
          <w:i/>
          <w:iCs/>
          <w:sz w:val="26"/>
          <w:szCs w:val="26"/>
        </w:rPr>
        <w:t xml:space="preserve">A. The Prescience Narrative and Its Implausibility</w:t>
      </w:r>
    </w:p>
    <w:p>
      <w:pPr>
        <w:spacing w:after="200" w:before="0" w:line="360" w:lineRule="auto"/>
        <w:ind w:firstLine="720"/>
        <w:jc w:val="both"/>
      </w:pPr>
      <w:r>
        <w:rPr>
          <w:rFonts w:ascii="Times New Roman" w:cs="Times New Roman" w:eastAsia="Times New Roman" w:hAnsi="Times New Roman"/>
          <w:sz w:val="24"/>
          <w:szCs w:val="24"/>
        </w:rPr>
        <w:t xml:space="preserve">The most powerful rhetorical support for the price discovery thesis is the apparent prescience of short sellers in cases of genuine corporate fraud. The Enron case is the canonical instance. James Chanos of Kynikos Associates began building a short position in Enron in late 2000, well before the company's collapse in late 2001, and has been credited with identifying the fraud through careful analysis of Enron's public financial disclosures. This narrative has been repeated extensively in the academic and popular literature on short selling, and it functions as the primary empirical validation of the claim that short sellers perform a socially valuable function of fraud detection.</w:t>
      </w:r>
    </w:p>
    <w:p>
      <w:pPr>
        <w:spacing w:after="200" w:before="0" w:line="360" w:lineRule="auto"/>
        <w:ind w:firstLine="720"/>
        <w:jc w:val="both"/>
      </w:pPr>
      <w:r>
        <w:rPr>
          <w:rFonts w:ascii="Times New Roman" w:cs="Times New Roman" w:eastAsia="Times New Roman" w:hAnsi="Times New Roman"/>
          <w:sz w:val="24"/>
          <w:szCs w:val="24"/>
        </w:rPr>
        <w:t xml:space="preserve">The prescience narrative requires the following to be true: that Chanos and other short sellers, working from the same public information available to Enron's long-side investors, analysts, auditors, and regulators, were able to identify the fraud when all of these other sophisticated parties failed to do so. This is not impossible, but it strains credulity as a general account of short seller performance. The SEC, with its access to non-public information and its investigative powers, did not identify the Enron fraud before its collapse. Arthur Andersen, with direct access to the company's books, certified its financial statements. Institutional investors with substantial research resources continued to hold and buy Enron stock through most of 2001.</w:t>
      </w:r>
    </w:p>
    <w:p>
      <w:pPr>
        <w:spacing w:after="200" w:before="0" w:line="360" w:lineRule="auto"/>
        <w:ind w:firstLine="720"/>
        <w:jc w:val="both"/>
      </w:pPr>
      <w:r>
        <w:rPr>
          <w:rFonts w:ascii="Times New Roman" w:cs="Times New Roman" w:eastAsia="Times New Roman" w:hAnsi="Times New Roman"/>
          <w:sz w:val="24"/>
          <w:szCs w:val="24"/>
        </w:rPr>
        <w:t xml:space="preserve">The more parsimonious explanation — the one that requires fewer auxiliary assumptions about the extraordinary analytical capabilities of particular short sellers — is that short sellers who correctly identified the Enron fraud did so because they had access to material non-public information, obtained through one or more of the channels that are structurally available to large, well-connected hedge funds: disgruntled insiders, investment bankers with knowledge of deal structure, lawyers and accountants on the periphery of transactions, and the informal information networks that connect sophisticated financial actors in ways that are difficult to document and nearly impossible to prosecute.</w:t>
      </w:r>
    </w:p>
    <w:p>
      <w:pPr>
        <w:pStyle w:val="Heading2"/>
        <w:spacing w:after="160" w:before="360"/>
      </w:pPr>
      <w:r>
        <w:rPr>
          <w:rFonts w:ascii="Times New Roman" w:cs="Times New Roman" w:eastAsia="Times New Roman" w:hAnsi="Times New Roman"/>
          <w:b/>
          <w:bCs/>
          <w:i/>
          <w:iCs/>
          <w:sz w:val="26"/>
          <w:szCs w:val="26"/>
        </w:rPr>
        <w:t xml:space="preserve">B. The Structural Availability of Inside Information to Short Sellers</w:t>
      </w:r>
    </w:p>
    <w:p>
      <w:pPr>
        <w:spacing w:after="200" w:before="0" w:line="360" w:lineRule="auto"/>
        <w:ind w:firstLine="720"/>
        <w:jc w:val="both"/>
      </w:pPr>
      <w:r>
        <w:rPr>
          <w:rFonts w:ascii="Times New Roman" w:cs="Times New Roman" w:eastAsia="Times New Roman" w:hAnsi="Times New Roman"/>
          <w:sz w:val="24"/>
          <w:szCs w:val="24"/>
        </w:rPr>
        <w:t xml:space="preserve">The inside information hypothesis is not merely speculative. It follows from structural features of the short selling enterprise that are rarely examined directly in the academic literature. Consider the economics of a large short position. A short seller who takes a significant position against a stock must eventually trigger a price decline to realize his profit. He cannot wait indefinitely, both because borrowing costs accumulate and because his position is vulnerable to a short squeeze if the stock continues to rise. He therefore needs to know not merely that a negative event will eventually occur, but when it will occur — with sufficient precision to time his position and his public disclosure accordingly.</w:t>
      </w:r>
    </w:p>
    <w:p>
      <w:pPr>
        <w:spacing w:after="200" w:before="0" w:line="360" w:lineRule="auto"/>
        <w:ind w:firstLine="720"/>
        <w:jc w:val="both"/>
      </w:pPr>
      <w:r>
        <w:rPr>
          <w:rFonts w:ascii="Times New Roman" w:cs="Times New Roman" w:eastAsia="Times New Roman" w:hAnsi="Times New Roman"/>
          <w:sz w:val="24"/>
          <w:szCs w:val="24"/>
        </w:rPr>
        <w:t xml:space="preserve">This timing knowledge is nearly impossible to obtain from public information alone. Public financial disclosures are lagged, audited on an annual basis, and subject to the accounting choices of management. A short seller who relies solely on public information is in the position of betting that a specific negative event — a earnings restatement, a regulatory action, a covenant breach, a ratings downgrade — will occur within a financing window that may be measured in months. The probability of being right on both dimensions simultaneously, using only public information, is not high enough to generate the consistent returns that the most prominent short sellers have historically achieved.</w:t>
      </w:r>
    </w:p>
    <w:p>
      <w:pPr>
        <w:spacing w:after="200" w:before="0" w:line="360" w:lineRule="auto"/>
        <w:ind w:firstLine="720"/>
        <w:jc w:val="both"/>
      </w:pPr>
      <w:r>
        <w:rPr>
          <w:rFonts w:ascii="Times New Roman" w:cs="Times New Roman" w:eastAsia="Times New Roman" w:hAnsi="Times New Roman"/>
          <w:sz w:val="24"/>
          <w:szCs w:val="24"/>
        </w:rPr>
        <w:t xml:space="preserve">The timing knowledge that short sellers require is, however, readily available through informal networks of the kind described above. An insider who knows that an earnings restatement is being prepared, or that a regulatory investigation has commenced, can transmit that information to a connected short seller without creating a paper trail that would support prosecution. A lawyer who has been retained in connection with a transaction that will materially affect a company's prospects may convey the general nature of the situation in terms sufficiently vague to resist characterization as a tip but sufficiently specific to be actionable. An investment banker who has been declined as an underwriter, and who has consequently been given access to the company's private financials, occupies an ambiguous position with respect to his obligations under insider trading law.</w:t>
      </w:r>
    </w:p>
    <w:p>
      <w:pPr>
        <w:spacing w:after="200" w:before="0" w:line="360" w:lineRule="auto"/>
        <w:ind w:firstLine="720"/>
        <w:jc w:val="both"/>
      </w:pPr>
      <w:r>
        <w:rPr>
          <w:rFonts w:ascii="Times New Roman" w:cs="Times New Roman" w:eastAsia="Times New Roman" w:hAnsi="Times New Roman"/>
          <w:sz w:val="24"/>
          <w:szCs w:val="24"/>
        </w:rPr>
        <w:t xml:space="preserve">None of this is novel to practitioners. What is striking is the extent to which the academic literature on short selling has been constructed in a manner that renders the inside information channel invisible. The standard empirical methodology in this literature takes short interest data — the aggregate quantity of shares sold short — as a signal of informed investor opinion, and documents that high short interest predicts subsequent negative returns. This documentation is then interpreted as evidence of superior analytical ability. But it is equally consistent with superior information access. The methodological tools used in this literature cannot distinguish between these two explanations, and the practitioners who design and execute short campaigns have obvious reasons to prefer the analytical ability narrative.</w:t>
      </w:r>
    </w:p>
    <w:p>
      <w:pPr>
        <w:pStyle w:val="Heading2"/>
        <w:spacing w:after="160" w:before="360"/>
      </w:pPr>
      <w:r>
        <w:rPr>
          <w:rFonts w:ascii="Times New Roman" w:cs="Times New Roman" w:eastAsia="Times New Roman" w:hAnsi="Times New Roman"/>
          <w:b/>
          <w:bCs/>
          <w:i/>
          <w:iCs/>
          <w:sz w:val="26"/>
          <w:szCs w:val="26"/>
        </w:rPr>
        <w:t xml:space="preserve">C. The Display-Case Function of High-Profile Short Campaigns</w:t>
      </w:r>
    </w:p>
    <w:p>
      <w:pPr>
        <w:spacing w:after="200" w:before="0" w:line="360" w:lineRule="auto"/>
        <w:ind w:firstLine="720"/>
        <w:jc w:val="both"/>
      </w:pPr>
      <w:r>
        <w:rPr>
          <w:rFonts w:ascii="Times New Roman" w:cs="Times New Roman" w:eastAsia="Times New Roman" w:hAnsi="Times New Roman"/>
          <w:sz w:val="24"/>
          <w:szCs w:val="24"/>
        </w:rPr>
        <w:t xml:space="preserve">The Enron case, and cases like it, serve a specific rhetorical function in the defense of short selling that deserves explicit identification. They function as what might be called display cases — instances of short selling against genuinely fraudulent or fundamentally defective companies that are repeatedly cited as proof of the price discovery thesis. The implied argument is inductive: short sellers correctly identified Enron; therefore, short selling generally corrects mispricing; therefore, restrictions on short selling would harm market efficiency.</w:t>
      </w:r>
    </w:p>
    <w:p>
      <w:pPr>
        <w:spacing w:after="200" w:before="0" w:line="360" w:lineRule="auto"/>
        <w:ind w:firstLine="720"/>
        <w:jc w:val="both"/>
      </w:pPr>
      <w:r>
        <w:rPr>
          <w:rFonts w:ascii="Times New Roman" w:cs="Times New Roman" w:eastAsia="Times New Roman" w:hAnsi="Times New Roman"/>
          <w:sz w:val="24"/>
          <w:szCs w:val="24"/>
        </w:rPr>
        <w:t xml:space="preserve">This inference is invalid for reasons that are transparent once stated. The fact that short sellers occasionally target genuinely fraudulent companies does not establish that this is their general practice, any more than the fact that a prosecutor occasionally convicts a guilty defendant establishes that the prosecutor's other convictions are correct. The display case selection bias is substantial: cases where short sellers correctly identified fraud receive extensive publicity and become canonical examples; cases where short sellers targeted sound companies and damaged them through coordinated pressure receive less systematic documentation and do not enter the canonical literature in the same way.</w:t>
      </w:r>
    </w:p>
    <w:p>
      <w:pPr>
        <w:spacing w:after="200" w:before="0" w:line="360" w:lineRule="auto"/>
        <w:ind w:firstLine="720"/>
        <w:jc w:val="both"/>
      </w:pPr>
      <w:r>
        <w:rPr>
          <w:rFonts w:ascii="Times New Roman" w:cs="Times New Roman" w:eastAsia="Times New Roman" w:hAnsi="Times New Roman"/>
          <w:sz w:val="24"/>
          <w:szCs w:val="24"/>
        </w:rPr>
        <w:t xml:space="preserve">There is a further point. Even in the display case examples, the causal story is more complicated than the prescience narrative suggests. The exposure of Enron's fraud was accomplished primarily through investigative journalism — specifically, the reporting of Bethany McLean and her colleagues at Fortune — and through the eventual unraveling of the company's financial structure under market pressure. The short sellers who were correct about Enron were correct in the sense of having the right directional bet; the mechanism by which the fraud was actually exposed to the public was not the short position itself but the investigative and accounting processes that occurred largely independently of it.</w:t>
      </w:r>
    </w:p>
    <w:p>
      <w:pPr>
        <w:pBdr>
          <w:bottom w:val="single" w:color="888888" w:sz="4" w:space="1"/>
        </w:pBdr>
        <w:spacing w:after="320" w:before="320"/>
      </w:pPr>
      <w:r>
        <w:t xml:space="preserve"/>
      </w:r>
    </w:p>
    <w:p>
      <w:pPr>
        <w:pStyle w:val="Heading1"/>
        <w:spacing w:after="240" w:before="480"/>
      </w:pPr>
      <w:r>
        <w:rPr>
          <w:rFonts w:ascii="Times New Roman" w:cs="Times New Roman" w:eastAsia="Times New Roman" w:hAnsi="Times New Roman"/>
          <w:b/>
          <w:bCs/>
          <w:caps/>
          <w:sz w:val="28"/>
          <w:szCs w:val="28"/>
        </w:rPr>
        <w:t xml:space="preserve">V. The Regulatory Architecture and Its Asymmetries</w:t>
      </w:r>
    </w:p>
    <w:p>
      <w:pPr>
        <w:pStyle w:val="Heading2"/>
        <w:spacing w:after="160" w:before="360"/>
      </w:pPr>
      <w:r>
        <w:rPr>
          <w:rFonts w:ascii="Times New Roman" w:cs="Times New Roman" w:eastAsia="Times New Roman" w:hAnsi="Times New Roman"/>
          <w:b/>
          <w:bCs/>
          <w:i/>
          <w:iCs/>
          <w:sz w:val="26"/>
          <w:szCs w:val="26"/>
        </w:rPr>
        <w:t xml:space="preserve">A. The Formal Prohibition and Its Practical Limitations</w:t>
      </w:r>
    </w:p>
    <w:p>
      <w:pPr>
        <w:spacing w:after="200" w:before="0" w:line="360" w:lineRule="auto"/>
        <w:ind w:firstLine="720"/>
        <w:jc w:val="both"/>
      </w:pPr>
      <w:r>
        <w:rPr>
          <w:rFonts w:ascii="Times New Roman" w:cs="Times New Roman" w:eastAsia="Times New Roman" w:hAnsi="Times New Roman"/>
          <w:sz w:val="24"/>
          <w:szCs w:val="24"/>
        </w:rPr>
        <w:t xml:space="preserve">The formal legal framework governing insider trading in the United States prohibits trading on the basis of material non-public information obtained in breach of a fiduciary duty. This prohibition applies, in principle, symmetrically to long and short positions: it is as illegal to short a stock on the basis of a tip about an impending earnings restatement as it is to buy a stock on the basis of a tip about an impending acquisition. The formal symmetry is clear.</w:t>
      </w:r>
    </w:p>
    <w:p>
      <w:pPr>
        <w:spacing w:after="200" w:before="0" w:line="360" w:lineRule="auto"/>
        <w:ind w:firstLine="720"/>
        <w:jc w:val="both"/>
      </w:pPr>
      <w:r>
        <w:rPr>
          <w:rFonts w:ascii="Times New Roman" w:cs="Times New Roman" w:eastAsia="Times New Roman" w:hAnsi="Times New Roman"/>
          <w:sz w:val="24"/>
          <w:szCs w:val="24"/>
        </w:rPr>
        <w:t xml:space="preserve">The practical enforcement of this symmetry is, however, substantially less clear. The prosecution of insider trading on the long side — purchasing ahead of positive announcements — is structurally easier than the prosecution of informationally-grounded short selling for several reasons. Positive announcements are discrete events with clear temporal signatures: the announcement occurs on a specific date, the purchases can be traced to a window immediately prior to that date, and the tipper can be identified through standard investigative techniques. The social harm is also readily narrated: a specific person obtained an unfair advantage over other investors in a specific transaction.</w:t>
      </w:r>
    </w:p>
    <w:p>
      <w:pPr>
        <w:spacing w:after="200" w:before="0" w:line="360" w:lineRule="auto"/>
        <w:ind w:firstLine="720"/>
        <w:jc w:val="both"/>
      </w:pPr>
      <w:r>
        <w:rPr>
          <w:rFonts w:ascii="Times New Roman" w:cs="Times New Roman" w:eastAsia="Times New Roman" w:hAnsi="Times New Roman"/>
          <w:sz w:val="24"/>
          <w:szCs w:val="24"/>
        </w:rPr>
        <w:t xml:space="preserve">The information that supports profitable short selling is characteristically more diffuse in its temporal structure and more difficult to attribute to a specific source. The deterioration of a company's fundamental condition is typically a process rather than an event; the information that a short seller acts on may consist of multiple fragments obtained from multiple sources over an extended period, none of which individually constitutes a material non-public tip but which collectively provide the timing precision required for a profitable short. This diffuse structure is much harder to prosecute under the current legal framework, which requires identification of a specific tipper, a specific tip, and a specific breach of fiduciary duty.</w:t>
      </w:r>
    </w:p>
    <w:p>
      <w:pPr>
        <w:pStyle w:val="Heading2"/>
        <w:spacing w:after="160" w:before="360"/>
      </w:pPr>
      <w:r>
        <w:rPr>
          <w:rFonts w:ascii="Times New Roman" w:cs="Times New Roman" w:eastAsia="Times New Roman" w:hAnsi="Times New Roman"/>
          <w:b/>
          <w:bCs/>
          <w:i/>
          <w:iCs/>
          <w:sz w:val="26"/>
          <w:szCs w:val="26"/>
        </w:rPr>
        <w:t xml:space="preserve">B. Naked Short Selling and the Limits of Enforcement</w:t>
      </w:r>
    </w:p>
    <w:p>
      <w:pPr>
        <w:spacing w:after="200" w:before="0" w:line="360" w:lineRule="auto"/>
        <w:ind w:firstLine="720"/>
        <w:jc w:val="both"/>
      </w:pPr>
      <w:r>
        <w:rPr>
          <w:rFonts w:ascii="Times New Roman" w:cs="Times New Roman" w:eastAsia="Times New Roman" w:hAnsi="Times New Roman"/>
          <w:sz w:val="24"/>
          <w:szCs w:val="24"/>
        </w:rPr>
        <w:t xml:space="preserve">The regulatory asymmetry is compounded by the problem of naked short selling — the practice of selling shares short without first borrowing them, in violation of Regulation SHO's locate requirement. Naked short selling allows a short seller to create synthetic selling pressure that is not constrained by the actual supply of shares available to borrow. In principle, naked short selling creates a failure to deliver that must be remedied within a specified settlement period; in practice, persistent failures to deliver in particular securities have been documented at levels that strongly suggest systematic circumvention of the locate requirement.</w:t>
      </w:r>
    </w:p>
    <w:p>
      <w:pPr>
        <w:spacing w:after="200" w:before="0" w:line="360" w:lineRule="auto"/>
        <w:ind w:firstLine="720"/>
        <w:jc w:val="both"/>
      </w:pPr>
      <w:r>
        <w:rPr>
          <w:rFonts w:ascii="Times New Roman" w:cs="Times New Roman" w:eastAsia="Times New Roman" w:hAnsi="Times New Roman"/>
          <w:sz w:val="24"/>
          <w:szCs w:val="24"/>
        </w:rPr>
        <w:t xml:space="preserve">The enforcement of the prohibition on naked short selling has been, by any objective assessment, inadequate. Failures to deliver in individual securities have in some cases persisted for extended periods without generating enforcement action. The threshold at which a security is placed on the Regulation SHO threshold list — indicating persistent settlement failures — is set at a level that permits significant volumes of naked short selling without triggering regulatory response. The penalties for violations, when enforcement does occur, are typically civil rather than criminal and are rarely sufficient to constitute a meaningful deterrent for a well-capitalized hedge fund.</w:t>
      </w:r>
    </w:p>
    <w:p>
      <w:pPr>
        <w:spacing w:after="200" w:before="0" w:line="360" w:lineRule="auto"/>
        <w:ind w:firstLine="720"/>
        <w:jc w:val="both"/>
      </w:pPr>
      <w:r>
        <w:rPr>
          <w:rFonts w:ascii="Times New Roman" w:cs="Times New Roman" w:eastAsia="Times New Roman" w:hAnsi="Times New Roman"/>
          <w:sz w:val="24"/>
          <w:szCs w:val="24"/>
        </w:rPr>
        <w:t xml:space="preserve">The consequence of inadequate naked short selling enforcement is that the theoretical constraint on short selling — that it is bounded by the actual supply of shares to borrow — does not operate reliably in practice. A sufficiently well-capitalized actor can create synthetic downward price pressure that is not anchored in any way to his actual informational assessment of the company's value. This is the mechanism that the price discovery thesis implicitly denies, and it is precisely the mechanism that has been alleged, with varying degrees of documentation, in cases involving companies that were damaged by coordinated short campaigns.</w:t>
      </w:r>
    </w:p>
    <w:p>
      <w:pPr>
        <w:pStyle w:val="Heading2"/>
        <w:spacing w:after="160" w:before="360"/>
      </w:pPr>
      <w:r>
        <w:rPr>
          <w:rFonts w:ascii="Times New Roman" w:cs="Times New Roman" w:eastAsia="Times New Roman" w:hAnsi="Times New Roman"/>
          <w:b/>
          <w:bCs/>
          <w:i/>
          <w:iCs/>
          <w:sz w:val="26"/>
          <w:szCs w:val="26"/>
        </w:rPr>
        <w:t xml:space="preserve">C. The Language of Efficiency as Regulatory Cover</w:t>
      </w:r>
    </w:p>
    <w:p>
      <w:pPr>
        <w:spacing w:after="200" w:before="0" w:line="360" w:lineRule="auto"/>
        <w:ind w:firstLine="720"/>
        <w:jc w:val="both"/>
      </w:pPr>
      <w:r>
        <w:rPr>
          <w:rFonts w:ascii="Times New Roman" w:cs="Times New Roman" w:eastAsia="Times New Roman" w:hAnsi="Times New Roman"/>
          <w:sz w:val="24"/>
          <w:szCs w:val="24"/>
        </w:rPr>
        <w:t xml:space="preserve">The academic literature on short selling has performed a specific ideological function in the regulatory debate that deserves acknowledgment. By framing the defense of short selling in the language of market efficiency and price discovery — concepts with substantial theoretical prestige and genuine applicability in appropriate domains — the literature has provided intellectual cover for a set of practices whose actual operation frequently diverges from the idealized model that the theoretical framework describes.</w:t>
      </w:r>
    </w:p>
    <w:p>
      <w:pPr>
        <w:spacing w:after="200" w:before="0" w:line="360" w:lineRule="auto"/>
        <w:ind w:firstLine="720"/>
        <w:jc w:val="both"/>
      </w:pPr>
      <w:r>
        <w:rPr>
          <w:rFonts w:ascii="Times New Roman" w:cs="Times New Roman" w:eastAsia="Times New Roman" w:hAnsi="Times New Roman"/>
          <w:sz w:val="24"/>
          <w:szCs w:val="24"/>
        </w:rPr>
        <w:t xml:space="preserve">This is not merely an academic observation. The market efficiency framework has been deployed in congressional testimony, in regulatory comment letters, and in court briefs to resist restrictions on short selling on grounds that such restrictions would harm price discovery and market liquidity. The deployment of this framework is effective in part because the alternative hypothesis — that institutional short selling frequently operates through information asymmetries and coordinated market pressure rather than through the analytical correction of mispricing — is difficult to establish through the methodologies that financial economists use to conduct empirical research. The inside information channel is, by its nature, not documented in ways that are accessible to standard financial econometric analysis.</w:t>
      </w:r>
    </w:p>
    <w:p>
      <w:pPr>
        <w:spacing w:after="200" w:before="0" w:line="360" w:lineRule="auto"/>
        <w:ind w:firstLine="720"/>
        <w:jc w:val="both"/>
      </w:pPr>
      <w:r>
        <w:rPr>
          <w:rFonts w:ascii="Times New Roman" w:cs="Times New Roman" w:eastAsia="Times New Roman" w:hAnsi="Times New Roman"/>
          <w:sz w:val="24"/>
          <w:szCs w:val="24"/>
        </w:rPr>
        <w:t xml:space="preserve">The result is an equilibrium in which the practices of institutional short sellers are insulated from regulatory scrutiny by a theoretical framework that describes a very different set of practices, and in which the occasional display-case success — the correctly identified fraud, the justified short campaign against a genuinely defective company — is used to validate the entire enterprise. The intellectual architecture is elegant and self-reinforcing; it is also, this article has argued, substantially disconnected from the empirical reality of how large-scale short selling actually operates.</w:t>
      </w:r>
    </w:p>
    <w:p>
      <w:pPr>
        <w:pBdr>
          <w:bottom w:val="single" w:color="888888" w:sz="4" w:space="1"/>
        </w:pBdr>
        <w:spacing w:after="320" w:before="320"/>
      </w:pPr>
      <w:r>
        <w:t xml:space="preserve"/>
      </w:r>
    </w:p>
    <w:p>
      <w:pPr>
        <w:pStyle w:val="Heading1"/>
        <w:spacing w:after="240" w:before="480"/>
      </w:pPr>
      <w:r>
        <w:rPr>
          <w:rFonts w:ascii="Times New Roman" w:cs="Times New Roman" w:eastAsia="Times New Roman" w:hAnsi="Times New Roman"/>
          <w:b/>
          <w:bCs/>
          <w:caps/>
          <w:sz w:val="28"/>
          <w:szCs w:val="28"/>
        </w:rPr>
        <w:t xml:space="preserve">VI. Conclusion</w:t>
      </w:r>
    </w:p>
    <w:p>
      <w:pPr>
        <w:spacing w:after="200" w:before="0" w:line="360" w:lineRule="auto"/>
        <w:ind w:firstLine="720"/>
        <w:jc w:val="both"/>
      </w:pPr>
      <w:r>
        <w:rPr>
          <w:rFonts w:ascii="Times New Roman" w:cs="Times New Roman" w:eastAsia="Times New Roman" w:hAnsi="Times New Roman"/>
          <w:sz w:val="24"/>
          <w:szCs w:val="24"/>
        </w:rPr>
        <w:t xml:space="preserve">The standard defense of short selling as a mechanism of price discovery and bubble prevention rests on a theoretical foundation borrowed from commodity markets, where it has genuine force, and applied to equity markets, where its central assumptions — exogenous price anchors, passive price-correcting behavior, absence of feedback from trading activity to fundamental value — are not satisfied. The anti-bubble thesis fails because the mechanism that supposedly constrains speculative excess is structurally identical to the mechanism that engineers artificial price collapses in sound companies, and there is no endogenous feature of short selling that distinguishes these two applications.</w:t>
      </w:r>
    </w:p>
    <w:p>
      <w:pPr>
        <w:spacing w:after="200" w:before="0" w:line="360" w:lineRule="auto"/>
        <w:ind w:firstLine="720"/>
        <w:jc w:val="both"/>
      </w:pPr>
      <w:r>
        <w:rPr>
          <w:rFonts w:ascii="Times New Roman" w:cs="Times New Roman" w:eastAsia="Times New Roman" w:hAnsi="Times New Roman"/>
          <w:sz w:val="24"/>
          <w:szCs w:val="24"/>
        </w:rPr>
        <w:t xml:space="preserve">The empirical showpiece of the defense — the apparent prescience of short sellers in cases of genuine corporate fraud — is more plausibly explained by systematic access to material non-public information than by analytical superiority. The structural economics of large short positions require timing knowledge that is nearly impossible to obtain from public information alone, and the informal information networks that connect sophisticated financial actors provide precisely the kind of diffuse, source-ambiguous information that supports profitable short selling while evading the reach of insider trading law as it is currently enforced.</w:t>
      </w:r>
    </w:p>
    <w:p>
      <w:pPr>
        <w:spacing w:after="200" w:before="0" w:line="360" w:lineRule="auto"/>
        <w:ind w:firstLine="720"/>
        <w:jc w:val="both"/>
      </w:pPr>
      <w:r>
        <w:rPr>
          <w:rFonts w:ascii="Times New Roman" w:cs="Times New Roman" w:eastAsia="Times New Roman" w:hAnsi="Times New Roman"/>
          <w:sz w:val="24"/>
          <w:szCs w:val="24"/>
        </w:rPr>
        <w:t xml:space="preserve">The regulatory asymmetry between long-side and short-side information trading is not an oversight but a structural feature of an enforcement architecture that is more readily applied to discrete positive information events than to the diffuse, process-oriented information that characteristically supports short campaigns. Naked short selling enforcement has been inadequate to prevent the synthetic creation of selling pressure that is not anchored in genuine informational assessments of value. And the language of market efficiency has been deployed to provide intellectual cover for practices that frequently diverge from the idealized model that the theoretical framework describes.</w:t>
      </w:r>
    </w:p>
    <w:p>
      <w:pPr>
        <w:spacing w:after="200" w:before="0" w:line="360" w:lineRule="auto"/>
        <w:ind w:firstLine="720"/>
        <w:jc w:val="both"/>
      </w:pPr>
      <w:r>
        <w:rPr>
          <w:rFonts w:ascii="Times New Roman" w:cs="Times New Roman" w:eastAsia="Times New Roman" w:hAnsi="Times New Roman"/>
          <w:sz w:val="24"/>
          <w:szCs w:val="24"/>
        </w:rPr>
        <w:t xml:space="preserve">None of this entails that short selling, as a practice, should be abolished. There are genuine cases in which short selling corrects overvaluation, and the complete elimination of short selling would introduce its own distortions. What this analysis does entail is that the standard defense of short selling as it is actually practiced by large institutional actors is substantially mythological — a set of theoretical claims about an idealized practice that is systematically insulated, by the design of the regulatory framework and the structure of the academic literature, from critical examination of its actual operation. The mythology serves particular interests. Identifying it as mythology is a precondition for a more honest regulatory conversation.</w:t>
      </w:r>
    </w:p>
    <w:p>
      <w:pPr>
        <w:pBdr>
          <w:bottom w:val="single" w:color="888888" w:sz="4" w:space="1"/>
        </w:pBdr>
        <w:spacing w:after="320" w:before="320"/>
      </w:pPr>
      <w:r>
        <w:t xml:space="preserve"/>
      </w:r>
    </w:p>
    <w:p>
      <w:pPr>
        <w:pStyle w:val="Heading1"/>
        <w:spacing w:after="240" w:before="480"/>
      </w:pPr>
      <w:r>
        <w:rPr>
          <w:rFonts w:ascii="Times New Roman" w:cs="Times New Roman" w:eastAsia="Times New Roman" w:hAnsi="Times New Roman"/>
          <w:b/>
          <w:bCs/>
          <w:caps/>
          <w:sz w:val="28"/>
          <w:szCs w:val="28"/>
        </w:rPr>
        <w:t xml:space="preserve">References</w:t>
      </w:r>
    </w:p>
    <w:p>
      <w:pPr>
        <w:spacing w:after="200" w:before="0" w:line="360" w:lineRule="auto"/>
        <w:ind/>
        <w:jc w:val="both"/>
      </w:pPr>
      <w:r>
        <w:rPr>
          <w:rFonts w:ascii="Times New Roman" w:cs="Times New Roman" w:eastAsia="Times New Roman" w:hAnsi="Times New Roman"/>
          <w:sz w:val="24"/>
          <w:szCs w:val="24"/>
        </w:rPr>
        <w:t xml:space="preserve">Beber, A., &amp; Pagano, M. (2013). Short-selling bans around the world: Evidence from the 2007–09 crisis. Journal of Finance, 68(1), 343–381.</w:t>
      </w:r>
    </w:p>
    <w:p>
      <w:pPr>
        <w:spacing w:after="200" w:before="0" w:line="360" w:lineRule="auto"/>
        <w:ind/>
        <w:jc w:val="both"/>
      </w:pPr>
      <w:r>
        <w:rPr>
          <w:rFonts w:ascii="Times New Roman" w:cs="Times New Roman" w:eastAsia="Times New Roman" w:hAnsi="Times New Roman"/>
          <w:sz w:val="24"/>
          <w:szCs w:val="24"/>
        </w:rPr>
        <w:t xml:space="preserve">Boehmer, E., Jones, C. M., &amp; Zhang, X. (2008). Which shorts are informed? Journal of Finance, 63(2), 491–527.</w:t>
      </w:r>
    </w:p>
    <w:p>
      <w:pPr>
        <w:spacing w:after="200" w:before="0" w:line="360" w:lineRule="auto"/>
        <w:ind/>
        <w:jc w:val="both"/>
      </w:pPr>
      <w:r>
        <w:rPr>
          <w:rFonts w:ascii="Times New Roman" w:cs="Times New Roman" w:eastAsia="Times New Roman" w:hAnsi="Times New Roman"/>
          <w:sz w:val="24"/>
          <w:szCs w:val="24"/>
        </w:rPr>
        <w:t xml:space="preserve">Brunnermeier, M. K., &amp; Pedersen, L. H. (2005). Predatory trading. Journal of Finance, 60(4), 1825–1863.</w:t>
      </w:r>
    </w:p>
    <w:p>
      <w:pPr>
        <w:spacing w:after="200" w:before="0" w:line="360" w:lineRule="auto"/>
        <w:ind/>
        <w:jc w:val="both"/>
      </w:pPr>
      <w:r>
        <w:rPr>
          <w:rFonts w:ascii="Times New Roman" w:cs="Times New Roman" w:eastAsia="Times New Roman" w:hAnsi="Times New Roman"/>
          <w:sz w:val="24"/>
          <w:szCs w:val="24"/>
        </w:rPr>
        <w:t xml:space="preserve">Chanos, J. (2003). Prepared testimony before the U.S. Senate Committee on Banking, Housing, and Urban Affairs. 108th Congress.</w:t>
      </w:r>
    </w:p>
    <w:p>
      <w:pPr>
        <w:spacing w:after="200" w:before="0" w:line="360" w:lineRule="auto"/>
        <w:ind/>
        <w:jc w:val="both"/>
      </w:pPr>
      <w:r>
        <w:rPr>
          <w:rFonts w:ascii="Times New Roman" w:cs="Times New Roman" w:eastAsia="Times New Roman" w:hAnsi="Times New Roman"/>
          <w:sz w:val="24"/>
          <w:szCs w:val="24"/>
        </w:rPr>
        <w:t xml:space="preserve">Diamond, D. W., &amp; Verrecchia, R. E. (1987). Constraints on short-selling and asset price adjustment to private information. Journal of Financial Economics, 18(2), 277–311.</w:t>
      </w:r>
    </w:p>
    <w:p>
      <w:pPr>
        <w:spacing w:after="200" w:before="0" w:line="360" w:lineRule="auto"/>
        <w:ind/>
        <w:jc w:val="both"/>
      </w:pPr>
      <w:r>
        <w:rPr>
          <w:rFonts w:ascii="Times New Roman" w:cs="Times New Roman" w:eastAsia="Times New Roman" w:hAnsi="Times New Roman"/>
          <w:sz w:val="24"/>
          <w:szCs w:val="24"/>
        </w:rPr>
        <w:t xml:space="preserve">Einhorn, D. (2008). Fooling some of the people all of the time: A long short story. Wiley.</w:t>
      </w:r>
    </w:p>
    <w:p>
      <w:pPr>
        <w:spacing w:after="200" w:before="0" w:line="360" w:lineRule="auto"/>
        <w:ind/>
        <w:jc w:val="both"/>
      </w:pPr>
      <w:r>
        <w:rPr>
          <w:rFonts w:ascii="Times New Roman" w:cs="Times New Roman" w:eastAsia="Times New Roman" w:hAnsi="Times New Roman"/>
          <w:sz w:val="24"/>
          <w:szCs w:val="24"/>
        </w:rPr>
        <w:t xml:space="preserve">Hong, H., &amp; Stein, J. C. (2003). Differences of opinion, short-sales constraints, and market crashes. Review of Financial Studies, 16(2), 487–525.</w:t>
      </w:r>
    </w:p>
    <w:p>
      <w:pPr>
        <w:spacing w:after="200" w:before="0" w:line="360" w:lineRule="auto"/>
        <w:ind/>
        <w:jc w:val="both"/>
      </w:pPr>
      <w:r>
        <w:rPr>
          <w:rFonts w:ascii="Times New Roman" w:cs="Times New Roman" w:eastAsia="Times New Roman" w:hAnsi="Times New Roman"/>
          <w:sz w:val="24"/>
          <w:szCs w:val="24"/>
        </w:rPr>
        <w:t xml:space="preserve">Keynes, J. M. (1936). The general theory of employment, interest and money. Macmillan.</w:t>
      </w:r>
    </w:p>
    <w:p>
      <w:pPr>
        <w:spacing w:after="200" w:before="0" w:line="360" w:lineRule="auto"/>
        <w:ind/>
        <w:jc w:val="both"/>
      </w:pPr>
      <w:r>
        <w:rPr>
          <w:rFonts w:ascii="Times New Roman" w:cs="Times New Roman" w:eastAsia="Times New Roman" w:hAnsi="Times New Roman"/>
          <w:sz w:val="24"/>
          <w:szCs w:val="24"/>
        </w:rPr>
        <w:t xml:space="preserve">McLean, B., &amp; Elkind, P. (2003). The smartest guys in the room: The amazing rise and scandalous fall of Enron. Portfolio.</w:t>
      </w:r>
    </w:p>
    <w:p>
      <w:pPr>
        <w:spacing w:after="200" w:before="0" w:line="360" w:lineRule="auto"/>
        <w:ind/>
        <w:jc w:val="both"/>
      </w:pPr>
      <w:r>
        <w:rPr>
          <w:rFonts w:ascii="Times New Roman" w:cs="Times New Roman" w:eastAsia="Times New Roman" w:hAnsi="Times New Roman"/>
          <w:sz w:val="24"/>
          <w:szCs w:val="24"/>
        </w:rPr>
        <w:t xml:space="preserve">Mill, J. S. (1848/1909). Principles of political economy with some of their applications to social philosophy (7th ed.). Longmans, Green.</w:t>
      </w:r>
    </w:p>
    <w:p>
      <w:pPr>
        <w:spacing w:after="200" w:before="0" w:line="360" w:lineRule="auto"/>
        <w:ind/>
        <w:jc w:val="both"/>
      </w:pPr>
      <w:r>
        <w:rPr>
          <w:rFonts w:ascii="Times New Roman" w:cs="Times New Roman" w:eastAsia="Times New Roman" w:hAnsi="Times New Roman"/>
          <w:sz w:val="24"/>
          <w:szCs w:val="24"/>
        </w:rPr>
        <w:t xml:space="preserve">Miller, E. M. (1977). Risk, uncertainty, and divergence of opinion. Journal of Finance, 32(4), 1151–1168.</w:t>
      </w:r>
    </w:p>
    <w:p>
      <w:pPr>
        <w:spacing w:after="200" w:before="0" w:line="360" w:lineRule="auto"/>
        <w:ind/>
        <w:jc w:val="both"/>
      </w:pPr>
      <w:r>
        <w:rPr>
          <w:rFonts w:ascii="Times New Roman" w:cs="Times New Roman" w:eastAsia="Times New Roman" w:hAnsi="Times New Roman"/>
          <w:sz w:val="24"/>
          <w:szCs w:val="24"/>
        </w:rPr>
        <w:t xml:space="preserve">Ofek, E., Richardson, M., &amp; Whitelaw, R. F. (2004). Limited arbitrage and short sales restrictions: Evidence from the options markets. Journal of Financial Economics, 74(2), 305–342.</w:t>
      </w:r>
    </w:p>
    <w:p>
      <w:pPr>
        <w:spacing w:after="200" w:before="0" w:line="360" w:lineRule="auto"/>
        <w:ind/>
        <w:jc w:val="both"/>
      </w:pPr>
      <w:r>
        <w:rPr>
          <w:rFonts w:ascii="Times New Roman" w:cs="Times New Roman" w:eastAsia="Times New Roman" w:hAnsi="Times New Roman"/>
          <w:sz w:val="24"/>
          <w:szCs w:val="24"/>
        </w:rPr>
        <w:t xml:space="preserve">Saffi, P. A. C., &amp; Sigurdsson, K. (2011). Price efficiency and short selling. Review of Financial Studies, 24(3), 821–852.</w:t>
      </w:r>
    </w:p>
    <w:p>
      <w:pPr>
        <w:spacing w:after="200" w:before="0" w:line="360" w:lineRule="auto"/>
        <w:ind/>
        <w:jc w:val="both"/>
      </w:pPr>
      <w:r>
        <w:rPr>
          <w:rFonts w:ascii="Times New Roman" w:cs="Times New Roman" w:eastAsia="Times New Roman" w:hAnsi="Times New Roman"/>
          <w:sz w:val="24"/>
          <w:szCs w:val="24"/>
        </w:rPr>
        <w:t xml:space="preserve">Securities and Exchange Commission. (2008). Emergency order pursuant to Section 12(k)(2) of the Securities Exchange Act of 1934 taking temporary action to respond to market developments. Release No. 34-58592.</w:t>
      </w:r>
    </w:p>
    <w:p>
      <w:pPr>
        <w:spacing w:after="200" w:before="0" w:line="360" w:lineRule="auto"/>
        <w:ind/>
        <w:jc w:val="both"/>
      </w:pPr>
      <w:r>
        <w:rPr>
          <w:rFonts w:ascii="Times New Roman" w:cs="Times New Roman" w:eastAsia="Times New Roman" w:hAnsi="Times New Roman"/>
          <w:sz w:val="24"/>
          <w:szCs w:val="24"/>
        </w:rPr>
        <w:t xml:space="preserve">Shiller, R. J. (2000). Irrational exuberance. Princeton University Press.</w:t>
      </w:r>
    </w:p>
    <w:p>
      <w:pPr>
        <w:spacing w:after="200" w:before="0" w:line="360" w:lineRule="auto"/>
        <w:ind/>
        <w:jc w:val="both"/>
      </w:pPr>
      <w:r>
        <w:rPr>
          <w:rFonts w:ascii="Times New Roman" w:cs="Times New Roman" w:eastAsia="Times New Roman" w:hAnsi="Times New Roman"/>
          <w:sz w:val="24"/>
          <w:szCs w:val="24"/>
        </w:rPr>
        <w:t xml:space="preserve">Stiglitz, J. E. (2010). Freefall: America, free markets, and the sinking of the world economy. Norton.</w:t>
      </w:r>
    </w:p>
    <w:p>
      <w:pPr>
        <w:spacing w:after="160" w:before="0"/>
      </w:pPr>
      <w:r>
        <w:t xml:space="preserve"/>
      </w:r>
    </w:p>
    <w:p>
      <w:pPr>
        <w:spacing w:after="160" w:before="0"/>
      </w:pPr>
      <w:r>
        <w:t xml:space="preserve"/>
      </w:r>
    </w:p>
    <w:p>
      <w:pPr>
        <w:pBdr>
          <w:bottom w:val="single" w:color="888888" w:sz="4" w:space="1"/>
        </w:pBdr>
        <w:spacing w:after="320" w:before="320"/>
      </w:pPr>
      <w:r>
        <w:t xml:space="preserve"/>
      </w:r>
    </w:p>
    <w:p>
      <w:pPr>
        <w:spacing w:after="240" w:before="240"/>
        <w:jc w:val="center"/>
      </w:pPr>
      <w:r>
        <w:rPr>
          <w:rFonts w:ascii="Times New Roman" w:cs="Times New Roman" w:eastAsia="Times New Roman" w:hAnsi="Times New Roman"/>
          <w:i/>
          <w:iCs/>
          <w:sz w:val="22"/>
          <w:szCs w:val="22"/>
        </w:rPr>
        <w:t xml:space="preserve">— End of Article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2026-03-25T02:05:11.379Z</dcterms:created>
  <dcterms:modified xsi:type="dcterms:W3CDTF">2026-03-25T02:05:11.380Z</dcterms:modified>
</cp:coreProperties>
</file>

<file path=docProps/custom.xml><?xml version="1.0" encoding="utf-8"?>
<Properties xmlns="http://schemas.openxmlformats.org/officeDocument/2006/custom-properties" xmlns:vt="http://schemas.openxmlformats.org/officeDocument/2006/docPropsVTypes"/>
</file>