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Georgia" w:cs="Georgia" w:eastAsia="Georgia" w:hAnsi="Georgia"/>
          <w:b/>
          <w:bCs/>
          <w:sz w:val="36"/>
          <w:szCs w:val="36"/>
        </w:rPr>
        <w:t xml:space="preserve">Suicide by Cop: An Incoherent Diagnostic Category</w:t>
      </w:r>
    </w:p>
    <w:p>
      <w:pPr>
        <w:spacing w:after="480" w:before="120"/>
        <w:jc w:val="center"/>
      </w:pPr>
      <w:r>
        <w:rPr>
          <w:rFonts w:ascii="Georgia" w:cs="Georgia" w:eastAsia="Georgia" w:hAnsi="Georgia"/>
          <w:i/>
          <w:iCs/>
          <w:sz w:val="24"/>
          <w:szCs w:val="24"/>
        </w:rPr>
        <w:t xml:space="preserve">John-Michael Kuczynski, Ph.D.</w:t>
      </w:r>
    </w:p>
    <w:p>
      <w:pPr>
        <w:pStyle w:val="Heading2"/>
      </w:pPr>
      <w:r>
        <w:rPr>
          <w:rFonts w:ascii="Georgia" w:cs="Georgia" w:eastAsia="Georgia" w:hAnsi="Georgia"/>
          <w:b/>
          <w:bCs/>
          <w:sz w:val="28"/>
          <w:szCs w:val="28"/>
        </w:rPr>
        <w:t xml:space="preserve">I. The Standard Account</w:t>
      </w:r>
    </w:p>
    <w:p>
      <w:pPr>
        <w:spacing w:after="240" w:before="0"/>
      </w:pPr>
      <w:r>
        <w:rPr>
          <w:rFonts w:ascii="Georgia" w:cs="Georgia" w:eastAsia="Georgia" w:hAnsi="Georgia"/>
          <w:sz w:val="24"/>
          <w:szCs w:val="24"/>
        </w:rPr>
        <w:t xml:space="preserve">The term "suicide by cop" refers to incidents in which a person allegedly engineers his own death at the hands of law enforcement — typically by committing a violent act, brandishing a weapon, or otherwise provoking officers into using lethal force. The standard account treats such incidents as a recognizable subtype of suicide: the individual, unable or unwilling to kill himself directly, conscripts the state into doing it for him. On this account, the homicide is the method; the death is the goal.</w:t>
      </w:r>
    </w:p>
    <w:p>
      <w:pPr>
        <w:spacing w:after="240" w:before="0"/>
      </w:pPr>
      <w:r>
        <w:rPr>
          <w:rFonts w:ascii="Georgia" w:cs="Georgia" w:eastAsia="Georgia" w:hAnsi="Georgia"/>
          <w:sz w:val="24"/>
          <w:szCs w:val="24"/>
        </w:rPr>
        <w:t xml:space="preserve">This framing has achieved considerable institutional acceptance. It appears in emergency medicine literature, forensic psychiatry, FBI training materials, and law enforcement policy documents. Hutson et al. (1998), in a widely cited study based on Los Angeles County Sheriff's Department data, concluded that suicide by cop "is an actual form of suicide" accounting for roughly eleven percent of officer-involved shootings. The category has its own clinical literature, its own training protocols, and — in England — its own legal standing as a coroner's cause of death.</w:t>
      </w:r>
    </w:p>
    <w:p>
      <w:pPr>
        <w:spacing w:after="240" w:before="0"/>
      </w:pPr>
      <w:r>
        <w:rPr>
          <w:rFonts w:ascii="Georgia" w:cs="Georgia" w:eastAsia="Georgia" w:hAnsi="Georgia"/>
          <w:sz w:val="24"/>
          <w:szCs w:val="24"/>
        </w:rPr>
        <w:t xml:space="preserve">The present paper argues that the category is, in a significant range of cases, psychologically incoherent — and that its application to individuals who have committed serious acts of violence against others rests on a fundamental confusion about the structure of motivation and the psychodynamics of self-destruction.</w:t>
      </w:r>
    </w:p>
    <w:p>
      <w:pPr>
        <w:pStyle w:val="Heading2"/>
      </w:pPr>
      <w:r>
        <w:rPr>
          <w:rFonts w:ascii="Georgia" w:cs="Georgia" w:eastAsia="Georgia" w:hAnsi="Georgia"/>
          <w:b/>
          <w:bCs/>
          <w:sz w:val="28"/>
          <w:szCs w:val="28"/>
        </w:rPr>
        <w:t xml:space="preserve">II. What Genuine Suicide Requires</w:t>
      </w:r>
    </w:p>
    <w:p>
      <w:pPr>
        <w:spacing w:after="240" w:before="0"/>
      </w:pPr>
      <w:r>
        <w:rPr>
          <w:rFonts w:ascii="Georgia" w:cs="Georgia" w:eastAsia="Georgia" w:hAnsi="Georgia"/>
          <w:sz w:val="24"/>
          <w:szCs w:val="24"/>
        </w:rPr>
        <w:t xml:space="preserve">To understand why the category breaks down in violent cases, it is necessary to be clear about what genuine suicidal motivation requires at the level of psychic structure. Suicide — real suicide, not mere recklessness or fatalistic indifference to death — is a self-punitive act. It is the turning of aggression inward. Freud identified this mechanism in Mourning and Melancholia (1917): the ego, having internalized a lost or hated object, directs against itself the hostility originally directed outward. The result is a self-destructive impulse that is not merely passive but actively self-attacking.</w:t>
      </w:r>
    </w:p>
    <w:p>
      <w:pPr>
        <w:spacing w:after="240" w:before="0"/>
      </w:pPr>
      <w:r>
        <w:rPr>
          <w:rFonts w:ascii="Georgia" w:cs="Georgia" w:eastAsia="Georgia" w:hAnsi="Georgia"/>
          <w:sz w:val="24"/>
          <w:szCs w:val="24"/>
        </w:rPr>
        <w:t xml:space="preserve">This means that genuine suicidal motivation presupposes a sufficiently developed superego — an internalized critical agency capable of condemning the self, generating guilt, and mobilizing the death drive against the ego rather than outward. The suicidal person is, at minimum, someone who has enough psychic infrastructure to turn against himself. He is crushed by something internal. That crushing is the mechanism.</w:t>
      </w:r>
    </w:p>
    <w:p>
      <w:pPr>
        <w:spacing w:after="240" w:before="0"/>
      </w:pPr>
      <w:r>
        <w:rPr>
          <w:rFonts w:ascii="Georgia" w:cs="Georgia" w:eastAsia="Georgia" w:hAnsi="Georgia"/>
          <w:sz w:val="24"/>
          <w:szCs w:val="24"/>
        </w:rPr>
        <w:t xml:space="preserve">This is not an optional feature of suicide. It is constitutive of it. A person who simply does not care whether he lives or dies — who is indifferent to his own fate — is not suicidal in any clinically meaningful sense. And a person whose psychological profile is dominated by outward aggression, grandiosity, and the externalization of blame is, by that very profile, someone in whom the inward-turning mechanism is either undeveloped or suppressed.</w:t>
      </w:r>
    </w:p>
    <w:p>
      <w:pPr>
        <w:pStyle w:val="Heading2"/>
      </w:pPr>
      <w:r>
        <w:rPr>
          <w:rFonts w:ascii="Georgia" w:cs="Georgia" w:eastAsia="Georgia" w:hAnsi="Georgia"/>
          <w:b/>
          <w:bCs/>
          <w:sz w:val="28"/>
          <w:szCs w:val="28"/>
        </w:rPr>
        <w:t xml:space="preserve">III. The Behavioral Profile of Mass Violence</w:t>
      </w:r>
    </w:p>
    <w:p>
      <w:pPr>
        <w:spacing w:after="240" w:before="0"/>
      </w:pPr>
      <w:r>
        <w:rPr>
          <w:rFonts w:ascii="Georgia" w:cs="Georgia" w:eastAsia="Georgia" w:hAnsi="Georgia"/>
          <w:sz w:val="24"/>
          <w:szCs w:val="24"/>
        </w:rPr>
        <w:t xml:space="preserve">Consider the cases most commonly cited as paradigm instances of suicide by cop. Willie Godbolt (Mississippi, 2017) murdered eight people — seven family members and a police officer — before telling a journalist: "Suicide by cop was my intention." Anton Lundin Pettersson (Trollhättan, 2015) stabbed four people at a school, killing two, after writing to an online friend: "I hope those fucking cops aim straight, because I really don't want to survive my rampage." Matthew Hoffman (San Francisco, 2015), who had a prior history of predatory violence including kidnapping, staged a standoff at a police station parking lot.</w:t>
      </w:r>
    </w:p>
    <w:p>
      <w:pPr>
        <w:spacing w:after="240" w:before="0"/>
      </w:pPr>
      <w:r>
        <w:rPr>
          <w:rFonts w:ascii="Georgia" w:cs="Georgia" w:eastAsia="Georgia" w:hAnsi="Georgia"/>
          <w:sz w:val="24"/>
          <w:szCs w:val="24"/>
        </w:rPr>
        <w:t xml:space="preserve">What is the psychological profile common to these cases? It is not the profile of a guilt-ridden, superego-dominated individual who has turned his aggression inward. It is the profile of someone who has acted with massive outward aggression — who has killed, maimed, terrorized, and destroyed — and who has done so with enough deliberation and sustained intent to plan, execute, and in some cases narrate the act. These are not passive, self-hating individuals. They are active, outward-directed, and in several cases predatory.</w:t>
      </w:r>
    </w:p>
    <w:p>
      <w:pPr>
        <w:spacing w:after="240" w:before="0"/>
      </w:pPr>
      <w:r>
        <w:rPr>
          <w:rFonts w:ascii="Georgia" w:cs="Georgia" w:eastAsia="Georgia" w:hAnsi="Georgia"/>
          <w:sz w:val="24"/>
          <w:szCs w:val="24"/>
        </w:rPr>
        <w:t xml:space="preserve">The behavioral profile that produces a mass killing — grandiosity, the externalizing of blame, the dehumanization of victims, sustained aggression directed outward — is precisely the profile that is incompatible with the inward-turning mechanism that genuine suicide requires. You cannot be both. The very same psychic organization that enables a person to mow down eight people is the organization that forecloses the guilt-driven self-destruction that constitutes real suicidal motivation.</w:t>
      </w:r>
    </w:p>
    <w:p>
      <w:pPr>
        <w:pStyle w:val="Heading2"/>
      </w:pPr>
      <w:r>
        <w:rPr>
          <w:rFonts w:ascii="Georgia" w:cs="Georgia" w:eastAsia="Georgia" w:hAnsi="Georgia"/>
          <w:b/>
          <w:bCs/>
          <w:sz w:val="28"/>
          <w:szCs w:val="28"/>
        </w:rPr>
        <w:t xml:space="preserve">IV. Foreseen vs. Intended: A Distinction the Category Ignores</w:t>
      </w:r>
    </w:p>
    <w:p>
      <w:pPr>
        <w:spacing w:after="240" w:before="0"/>
      </w:pPr>
      <w:r>
        <w:rPr>
          <w:rFonts w:ascii="Georgia" w:cs="Georgia" w:eastAsia="Georgia" w:hAnsi="Georgia"/>
          <w:sz w:val="24"/>
          <w:szCs w:val="24"/>
        </w:rPr>
        <w:t xml:space="preserve">There is a further confusion embedded in the standard account — one that is conceptual rather than psychological. The category of suicide by cop systematically conflates what is foreseen with what is intended. These are not the same thing, and treating them as equivalent produces a category error serious enough to invalidate the classification in most violent cases.</w:t>
      </w:r>
    </w:p>
    <w:p>
      <w:pPr>
        <w:spacing w:after="240" w:before="0"/>
      </w:pPr>
      <w:r>
        <w:rPr>
          <w:rFonts w:ascii="Georgia" w:cs="Georgia" w:eastAsia="Georgia" w:hAnsi="Georgia"/>
          <w:sz w:val="24"/>
          <w:szCs w:val="24"/>
        </w:rPr>
        <w:t xml:space="preserve">When a man murders his family and then shoots at responding officers, it is entirely plausible — indeed, likely — that he knows he will be killed. The presence of armed law enforcement, combined with his own behavior, makes this outcome highly predictable. But predicting an outcome and intending it are motivationally distinct in every serious philosophical and clinical account of action. A surgeon who amputates a gangrenous limb foresees that the patient will experience pain; she does not intend the pain. A soldier who holds a position foresees that he may die; he does not necessarily intend his death.</w:t>
      </w:r>
    </w:p>
    <w:p>
      <w:pPr>
        <w:spacing w:after="240" w:before="0"/>
      </w:pPr>
      <w:r>
        <w:rPr>
          <w:rFonts w:ascii="Georgia" w:cs="Georgia" w:eastAsia="Georgia" w:hAnsi="Georgia"/>
          <w:sz w:val="24"/>
          <w:szCs w:val="24"/>
        </w:rPr>
        <w:t xml:space="preserve">The standard account of suicide by cop collapses this distinction. Because the perpetrator could be said to have foreseen his death — and in some cases to have made statements consistent with indifference to it — his death is reclassified as his goal, and the murders or acts of violence that preceded it are reclassified as merely instrumental: the mechanism for summoning lethal force. This inversion is not supported by the motivational evidence. It is a retrospective reframing that privileges one piece of the behavioral record (statements about death) over the overwhelming weight of the rest (the sustained, deliberate violence directed at others).</w:t>
      </w:r>
    </w:p>
    <w:p>
      <w:pPr>
        <w:pStyle w:val="Heading2"/>
      </w:pPr>
      <w:r>
        <w:rPr>
          <w:rFonts w:ascii="Georgia" w:cs="Georgia" w:eastAsia="Georgia" w:hAnsi="Georgia"/>
          <w:b/>
          <w:bCs/>
          <w:sz w:val="28"/>
          <w:szCs w:val="28"/>
        </w:rPr>
        <w:t xml:space="preserve">V. The Self-Refuting Character of the Category</w:t>
      </w:r>
    </w:p>
    <w:p>
      <w:pPr>
        <w:spacing w:after="240" w:before="0"/>
      </w:pPr>
      <w:r>
        <w:rPr>
          <w:rFonts w:ascii="Georgia" w:cs="Georgia" w:eastAsia="Georgia" w:hAnsi="Georgia"/>
          <w:sz w:val="24"/>
          <w:szCs w:val="24"/>
        </w:rPr>
        <w:t xml:space="preserve">There is something additionally self-refuting about applying the suicide-by-cop label to individuals who have shown, through their actions, a complete absence of compunction. A person who murders eight people without apparent hesitation, who kills a police officer in the course of a domestic rampage, who narrates his own actions with something approaching satisfaction — this is not a person who is wracked by guilt. And it is wracking guilt, or something functionally equivalent to it, that drives the inward-turning aggression of genuine suicide.</w:t>
      </w:r>
    </w:p>
    <w:p>
      <w:pPr>
        <w:spacing w:after="240" w:before="0"/>
      </w:pPr>
      <w:r>
        <w:rPr>
          <w:rFonts w:ascii="Georgia" w:cs="Georgia" w:eastAsia="Georgia" w:hAnsi="Georgia"/>
          <w:sz w:val="24"/>
          <w:szCs w:val="24"/>
        </w:rPr>
        <w:t xml:space="preserve">The self-refutation is this: the very behaviors that are used to classify an incident as suicide by cop — the willingness to kill, the apparent indifference to consequences, the frontal assault on armed officers — are the behaviors that demonstrate the absence of the psychic structure required for genuine suicidal motivation. The classification destroys its own evidential basis. The more convincingly a perpetrator acts like someone who is not suicidal, the more confidently he is classified as suicidal.</w:t>
      </w:r>
    </w:p>
    <w:p>
      <w:pPr>
        <w:spacing w:after="240" w:before="0"/>
      </w:pPr>
      <w:r>
        <w:rPr>
          <w:rFonts w:ascii="Georgia" w:cs="Georgia" w:eastAsia="Georgia" w:hAnsi="Georgia"/>
          <w:sz w:val="24"/>
          <w:szCs w:val="24"/>
        </w:rPr>
        <w:t xml:space="preserve">This is not a minor technical problem. It is a sign that the category is doing something other than clinical description. In many cases, it appears to function as a post-hoc explanatory device — a way of imposing interpretive closure on incidents that are otherwise disturbing in their opacity. It also, not incidentally, has the effect of shifting the moral and legal framing: a perpetrator who "wanted to die" is a different kind of agent than one who simply wanted to kill and knew the consequences.</w:t>
      </w:r>
    </w:p>
    <w:p>
      <w:pPr>
        <w:pStyle w:val="Heading2"/>
      </w:pPr>
      <w:r>
        <w:rPr>
          <w:rFonts w:ascii="Georgia" w:cs="Georgia" w:eastAsia="Georgia" w:hAnsi="Georgia"/>
          <w:b/>
          <w:bCs/>
          <w:sz w:val="28"/>
          <w:szCs w:val="28"/>
        </w:rPr>
        <w:t xml:space="preserve">VI. Where the Category Does Apply</w:t>
      </w:r>
    </w:p>
    <w:p>
      <w:pPr>
        <w:spacing w:after="240" w:before="0"/>
      </w:pPr>
      <w:r>
        <w:rPr>
          <w:rFonts w:ascii="Georgia" w:cs="Georgia" w:eastAsia="Georgia" w:hAnsi="Georgia"/>
          <w:sz w:val="24"/>
          <w:szCs w:val="24"/>
        </w:rPr>
        <w:t xml:space="preserve">None of this is to say that suicide by cop never occurs. There are cases in which the category appears to be genuinely applicable — cases in which the individual has not committed violence against others, has left explicit documentation of suicidal intent, and has engineered a confrontation with police as the terminal act of a recognizable suicide process. Matthew Hoffman's case, stripped of his prior predatory history, has some of the formal features: the deliberate staging of a confrontation, the message to officers absolving them of wrongdoing, the explicit framing of the act as self-destruction motivated by cowardice.</w:t>
      </w:r>
    </w:p>
    <w:p>
      <w:pPr>
        <w:spacing w:after="240" w:before="0"/>
      </w:pPr>
      <w:r>
        <w:rPr>
          <w:rFonts w:ascii="Georgia" w:cs="Georgia" w:eastAsia="Georgia" w:hAnsi="Georgia"/>
          <w:sz w:val="24"/>
          <w:szCs w:val="24"/>
        </w:rPr>
        <w:t xml:space="preserve">But even here, the category requires careful application. The presence of suicidal statements is not sufficient. What is required is evidence of the underlying psychic structure: genuine inward-turning aggression, a functioning self-condemning superego, a motivational architecture in which death is the goal rather than a foreseen consequence of something else entirely. These are demanding evidential requirements, and they are rarely met in cases involving serious violence against others.</w:t>
      </w:r>
    </w:p>
    <w:p>
      <w:pPr>
        <w:spacing w:after="240" w:before="0"/>
      </w:pPr>
      <w:r>
        <w:rPr>
          <w:rFonts w:ascii="Georgia" w:cs="Georgia" w:eastAsia="Georgia" w:hAnsi="Georgia"/>
          <w:sz w:val="24"/>
          <w:szCs w:val="24"/>
        </w:rPr>
        <w:t xml:space="preserve">The cases that most cleanly satisfy the requirements are those in which there is no prior violent act at all — in which the individual simply presents himself to armed officers in a manner calculated to produce lethal force, with documented prior suicidal ideation and no independent destructive agenda. These cases exist. They are real. But they are a small and psychologically distinct subset of what the literature currently classifies under the suicide-by-cop label.</w:t>
      </w:r>
    </w:p>
    <w:p>
      <w:pPr>
        <w:pStyle w:val="Heading2"/>
      </w:pPr>
      <w:r>
        <w:rPr>
          <w:rFonts w:ascii="Georgia" w:cs="Georgia" w:eastAsia="Georgia" w:hAnsi="Georgia"/>
          <w:b/>
          <w:bCs/>
          <w:sz w:val="28"/>
          <w:szCs w:val="28"/>
        </w:rPr>
        <w:t xml:space="preserve">VII. Conclusion</w:t>
      </w:r>
    </w:p>
    <w:p>
      <w:pPr>
        <w:spacing w:after="240" w:before="0"/>
      </w:pPr>
      <w:r>
        <w:rPr>
          <w:rFonts w:ascii="Georgia" w:cs="Georgia" w:eastAsia="Georgia" w:hAnsi="Georgia"/>
          <w:sz w:val="24"/>
          <w:szCs w:val="24"/>
        </w:rPr>
        <w:t xml:space="preserve">The category of suicide by cop is not uniformly incoherent. But it is incoherent as applied to the cases in which it is most prominently invoked — cases involving perpetrators of mass or domestic violence who are killed by responding officers. In these cases, the category rests on a confusion between foreseen and intended outcomes, ignores the incompatibility between outward-directed aggression and genuine suicidal motivation, and applies a self-refuting evidential standard in which the absence of guilt-driven behavior is treated as evidence of guilt-driven motivation.</w:t>
      </w:r>
    </w:p>
    <w:p>
      <w:pPr>
        <w:spacing w:after="240" w:before="0"/>
      </w:pPr>
      <w:r>
        <w:rPr>
          <w:rFonts w:ascii="Georgia" w:cs="Georgia" w:eastAsia="Georgia" w:hAnsi="Georgia"/>
          <w:sz w:val="24"/>
          <w:szCs w:val="24"/>
        </w:rPr>
        <w:t xml:space="preserve">A psychodynamically serious account of these incidents would begin from a different premise: that the individual did what he did because he wanted to do it, that the presence of armed law enforcement was a known and accepted consequence rather than the operative goal, and that the death instinct — to the extent it was operative at all — found expression in the outward destruction itself, as Freud's account of the Todestrieb would predict. The cops were not the instrument of suicide. They were the cleanup crew.</w:t>
      </w:r>
    </w:p>
    <w:p>
      <w:pPr>
        <w:spacing w:after="240" w:before="0"/>
      </w:pPr>
      <w:r>
        <w:rPr>
          <w:rFonts w:ascii="Georgia" w:cs="Georgia" w:eastAsia="Georgia" w:hAnsi="Georgia"/>
          <w:sz w:val="24"/>
          <w:szCs w:val="24"/>
        </w:rPr>
        <w:t xml:space="preserve">Diagnostic categories are not merely descriptive. They shape how we assign responsibility, interpret motivation, and respond institutionally to violent acts. A category that systematically misclassifies predatory violence as self-destruction does damage — to our understanding of perpetrators, to our obligations to victims, and to the integrity of the clinical and forensic frameworks we rely on to make sense of both.</w:t>
      </w:r>
    </w:p>
    <w:p>
      <w:pPr>
        <w:spacing w:after="480" w:before="480"/>
        <w:jc w:val="center"/>
      </w:pPr>
      <w:r>
        <w:rPr>
          <w:rFonts w:ascii="Georgia" w:cs="Georgia" w:eastAsia="Georgia" w:hAnsi="Georgia"/>
          <w:sz w:val="24"/>
          <w:szCs w:val="24"/>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000000"/>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2026-03-31T19:31:19.928Z</dcterms:created>
  <dcterms:modified xsi:type="dcterms:W3CDTF">2026-03-31T19:31:19.928Z</dcterms:modified>
</cp:coreProperties>
</file>

<file path=docProps/custom.xml><?xml version="1.0" encoding="utf-8"?>
<Properties xmlns="http://schemas.openxmlformats.org/officeDocument/2006/custom-properties" xmlns:vt="http://schemas.openxmlformats.org/officeDocument/2006/docPropsVTypes"/>
</file>