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The Rip Cord: How Analytic Philosophy Selects for the Refusal to Think</w:t>
      </w:r>
    </w:p>
    <w:p>
      <w:pPr>
        <w:spacing w:after="160"/>
        <w:jc w:val="center"/>
      </w:pPr>
      <w:r>
        <w:rPr>
          <w:rFonts w:ascii="Times New Roman" w:cs="Times New Roman" w:eastAsia="Times New Roman" w:hAnsi="Times New Roman"/>
          <w:b w:val="false"/>
          <w:bCs w:val="false"/>
          <w:sz w:val="24"/>
          <w:szCs w:val="24"/>
        </w:rPr>
        <w:t xml:space="preserve">John-Michael Kuczynski, Ph.D.</w:t>
      </w:r>
    </w:p>
    <w:p>
      <w:pPr>
        <w:spacing w:after="160"/>
        <w:jc w:val="center"/>
      </w:pPr>
      <w:r>
        <w:rPr>
          <w:rFonts w:ascii="Times New Roman" w:cs="Times New Roman" w:eastAsia="Times New Roman" w:hAnsi="Times New Roman"/>
          <w:b w:val="false"/>
          <w:bCs w:val="false"/>
          <w:sz w:val="24"/>
          <w:szCs w:val="24"/>
        </w:rPr>
        <w:t xml:space="preserve"/>
      </w:r>
    </w:p>
    <w:p>
      <w:pPr>
        <w:spacing w:after="200" w:before="320"/>
      </w:pPr>
      <w:r>
        <w:rPr>
          <w:rFonts w:ascii="Times New Roman" w:cs="Times New Roman" w:eastAsia="Times New Roman" w:hAnsi="Times New Roman"/>
          <w:b/>
          <w:bCs/>
          <w:sz w:val="26"/>
          <w:szCs w:val="26"/>
        </w:rPr>
        <w:t xml:space="preserve">Abstract</w:t>
      </w:r>
    </w:p>
    <w:p>
      <w:pPr>
        <w:spacing w:after="160" w:line="300"/>
        <w:jc w:val="both"/>
      </w:pPr>
      <w:r>
        <w:rPr>
          <w:rFonts w:ascii="Times New Roman" w:cs="Times New Roman" w:eastAsia="Times New Roman" w:hAnsi="Times New Roman"/>
          <w:sz w:val="24"/>
          <w:szCs w:val="24"/>
        </w:rPr>
        <w:t xml:space="preserve">Analytic philosophy is not contingently but constitutively a discipline organized around pre-fabricated mechanisms for the dismissal of adverse stimuli. Its stock of positions, distinctions, and "isms" consists largely of licensed refusals — rip cords — each of which allows a practitioner to terminate engagement with any argument without incurring any professional cost. Because the discipline lacks external feedback loops (pipes that leak, patients who die, buildings that fall), and because it is gatekept by anonymous peer review in which the deployment of rip cords is the principal currency, tenure selects, over roughly fifteen years, for practitioners who have mastered the refined deployment of non-thought. The result is structural cognitive attrition: the tenured philosopher is not merely someone whose reasoning faculties are unexercised but someone who has, over decades, installed countervailing machinery — an apparatus for appearing to reason while actively suppressing reasoning. This paper describes the mechanism, illustrates it with a case study drawn from the literature on Russell's Theory of Descriptions, and argues that the pathology is terminal rather than cyclical.</w:t>
      </w:r>
    </w:p>
    <w:p>
      <w:pPr>
        <w:spacing w:after="200" w:before="320"/>
      </w:pPr>
      <w:r>
        <w:rPr>
          <w:rFonts w:ascii="Times New Roman" w:cs="Times New Roman" w:eastAsia="Times New Roman" w:hAnsi="Times New Roman"/>
          <w:b/>
          <w:bCs/>
          <w:sz w:val="26"/>
          <w:szCs w:val="26"/>
        </w:rPr>
        <w:t xml:space="preserve">1. Introduction</w:t>
      </w:r>
    </w:p>
    <w:p>
      <w:pPr>
        <w:spacing w:after="160" w:line="300"/>
        <w:jc w:val="both"/>
      </w:pPr>
      <w:r>
        <w:rPr>
          <w:rFonts w:ascii="Times New Roman" w:cs="Times New Roman" w:eastAsia="Times New Roman" w:hAnsi="Times New Roman"/>
          <w:sz w:val="24"/>
          <w:szCs w:val="24"/>
        </w:rPr>
        <w:t xml:space="preserve">A plumber whose theory of pipes is wrong gets a flooded basement. A surgeon whose theory of anatomy is wrong gets a dead patient. A building contractor whose theory of load-bearing is wrong gets a collapsed structure. In every such case, the world pushes back, and the push-back is non-negotiable: it does not care about the practitioner's rank, citations, or coalition memberships. Reality is the referee, and reality does not take bribes.</w:t>
      </w:r>
    </w:p>
    <w:p>
      <w:pPr>
        <w:spacing w:after="160" w:line="300"/>
        <w:jc w:val="both"/>
      </w:pPr>
      <w:r>
        <w:rPr>
          <w:rFonts w:ascii="Times New Roman" w:cs="Times New Roman" w:eastAsia="Times New Roman" w:hAnsi="Times New Roman"/>
          <w:sz w:val="24"/>
          <w:szCs w:val="24"/>
        </w:rPr>
        <w:t xml:space="preserve">The philosophy professor has no such referee. His work is evaluated exclusively by other philosophy professors, whose own work is evaluated exclusively by him and those like him. There is no pipe that leaks, no patient who dies, no building that falls. The entire apparatus of evaluation is internal to the profession, and the profession controls the criteria of evaluation.</w:t>
      </w:r>
    </w:p>
    <w:p>
      <w:pPr>
        <w:spacing w:after="160" w:line="300"/>
        <w:jc w:val="both"/>
      </w:pPr>
      <w:r>
        <w:rPr>
          <w:rFonts w:ascii="Times New Roman" w:cs="Times New Roman" w:eastAsia="Times New Roman" w:hAnsi="Times New Roman"/>
          <w:sz w:val="24"/>
          <w:szCs w:val="24"/>
        </w:rPr>
        <w:t xml:space="preserve">This is a familiar observation, and it is usually followed by some gesture toward the "self-correcting" character of academic discourse — peer review, the marketplace of ideas, the long-run convergence of inquiry. I wish to argue that, at least in the case of analytic philosophy, no such self-correction occurs or can occur. The reason is that the discipline has, over the course of its history, manufactured a comprehensive inventory of licensed refusals — what I shall call rip cords — each of which allows a practitioner to dismiss any argument without engaging it, and each of which is recognized within the profession not as evasion but as a substantive philosophical position. The rip cord is the professional currency. Producing, refining, and deploying rip cords is what the discipline rewards.</w:t>
      </w:r>
    </w:p>
    <w:p>
      <w:pPr>
        <w:spacing w:after="160" w:line="300"/>
        <w:jc w:val="both"/>
      </w:pPr>
      <w:r>
        <w:rPr>
          <w:rFonts w:ascii="Times New Roman" w:cs="Times New Roman" w:eastAsia="Times New Roman" w:hAnsi="Times New Roman"/>
          <w:sz w:val="24"/>
          <w:szCs w:val="24"/>
        </w:rPr>
        <w:t xml:space="preserve">The consequence, which I shall argue is not hyperbolic, is that the mid-career analytic philosopher is functionally below average along the dimensions that matter for actual thinking. He is not merely someone who has stopped exercising the faculties of genuine inquiry; he is someone who has actively installed machinery that suppresses those faculties in himself and in others. The machinery is load-bearing. It constitutes his professional identity. It cannot be disassembled without destroying the career that was built on it.</w:t>
      </w:r>
    </w:p>
    <w:p>
      <w:pPr>
        <w:spacing w:after="200" w:before="320"/>
      </w:pPr>
      <w:r>
        <w:rPr>
          <w:rFonts w:ascii="Times New Roman" w:cs="Times New Roman" w:eastAsia="Times New Roman" w:hAnsi="Times New Roman"/>
          <w:b/>
          <w:bCs/>
          <w:sz w:val="26"/>
          <w:szCs w:val="26"/>
        </w:rPr>
        <w:t xml:space="preserve">2. The Structural Condition: Absence of Feedback</w:t>
      </w:r>
    </w:p>
    <w:p>
      <w:pPr>
        <w:spacing w:after="160" w:line="300"/>
        <w:jc w:val="both"/>
      </w:pPr>
      <w:r>
        <w:rPr>
          <w:rFonts w:ascii="Times New Roman" w:cs="Times New Roman" w:eastAsia="Times New Roman" w:hAnsi="Times New Roman"/>
          <w:sz w:val="24"/>
          <w:szCs w:val="24"/>
        </w:rPr>
        <w:t xml:space="preserve">Cognitive rigor is not a trait. It is a process, sustained moment to moment by the demands placed on the practitioner. "Raw intelligence," considered in abstraction from use, is at best a potential, and one that decays rapidly without activation. No one supposes that a musician who stops practicing for twenty years retains his faculty. No one supposes that an athlete who stops training for twenty years retains his conditioning. Yet there is a persistent supposition that a philosopher who stops engaging disconfirming evidence, revising under pressure, and thinking against his own interest for twenty years retains his capacity for rigorous thought. He does not. The wiring itself degrades, because wiring is constituted by use.</w:t>
      </w:r>
    </w:p>
    <w:p>
      <w:pPr>
        <w:spacing w:after="160" w:line="300"/>
        <w:jc w:val="both"/>
      </w:pPr>
      <w:r>
        <w:rPr>
          <w:rFonts w:ascii="Times New Roman" w:cs="Times New Roman" w:eastAsia="Times New Roman" w:hAnsi="Times New Roman"/>
          <w:sz w:val="24"/>
          <w:szCs w:val="24"/>
        </w:rPr>
        <w:t xml:space="preserve">The degradation would be merely unfortunate if it were all that were happening. But something worse is happening. The philosopher who is not exercising rigor is not sitting idle. He is actively training the opposite habits. Every year he spends rewarding sycophants, punishing challengers, mistaking citation count for insight, and confusing verbal fluency with thought, he is installing countervailing patterns. He becomes, over time, skilled at not thinking — in a way the plumber never does. The plumber who is not thinking about pipes is simply not thinking about pipes. The philosopher who is not thinking about philosophy has built, over decades, an elaborate apparatus for appearing to think while actually suppressing thought. That apparatus is real cognitive infrastructure, and it occupies the space where genuine reasoning would otherwise live.</w:t>
      </w:r>
    </w:p>
    <w:p>
      <w:pPr>
        <w:spacing w:after="160" w:line="300"/>
        <w:jc w:val="both"/>
      </w:pPr>
      <w:r>
        <w:rPr>
          <w:rFonts w:ascii="Times New Roman" w:cs="Times New Roman" w:eastAsia="Times New Roman" w:hAnsi="Times New Roman"/>
          <w:sz w:val="24"/>
          <w:szCs w:val="24"/>
        </w:rPr>
        <w:t xml:space="preserve">This is why the benchmark problem is so stark. If we ask whether the tenured philosopher is performing at the level of a person of equivalent native capacity who has gone into some other line of work — a lawyer, a psychologist, an engineer — the answer is that he is not, and not by a small margin. The lawyer's adversaries exist. The psychologist's patients do not improve if the treatment does not work. The engineer's bridge either holds or does not. In each case, the cognitive equipment is pointed, however narrowly, at reality. The philosopher's equipment, by contrast, has been pointed at simulation for so long that the mechanism for pointing it elsewhere has been dismantled.</w:t>
      </w:r>
    </w:p>
    <w:p>
      <w:pPr>
        <w:spacing w:after="200" w:before="320"/>
      </w:pPr>
      <w:r>
        <w:rPr>
          <w:rFonts w:ascii="Times New Roman" w:cs="Times New Roman" w:eastAsia="Times New Roman" w:hAnsi="Times New Roman"/>
          <w:b/>
          <w:bCs/>
          <w:sz w:val="26"/>
          <w:szCs w:val="26"/>
        </w:rPr>
        <w:t xml:space="preserve">3. The Rip Cord Inventory</w:t>
      </w:r>
    </w:p>
    <w:p>
      <w:pPr>
        <w:spacing w:after="160" w:line="300"/>
        <w:jc w:val="both"/>
      </w:pPr>
      <w:r>
        <w:rPr>
          <w:rFonts w:ascii="Times New Roman" w:cs="Times New Roman" w:eastAsia="Times New Roman" w:hAnsi="Times New Roman"/>
          <w:sz w:val="24"/>
          <w:szCs w:val="24"/>
        </w:rPr>
        <w:t xml:space="preserve">Philosophy is not contingently a field in which the shutout procedure succeeds. It is a field whose very inventory — its stock of positions, its canon of distinctions, its register of "isms" — consists largely of pre-fabricated shutout devices. The discipline has, over the course of its history, manufactured a catalog of licensed refusals. Each one is a named doorway out of the conversation. A partial list:</w:t>
      </w:r>
    </w:p>
    <w:p>
      <w:pPr>
        <w:spacing w:after="160" w:line="300"/>
        <w:jc w:val="both"/>
      </w:pPr>
      <w:r>
        <w:rPr>
          <w:rFonts w:ascii="Times New Roman" w:cs="Times New Roman" w:eastAsia="Times New Roman" w:hAnsi="Times New Roman"/>
          <w:sz w:val="24"/>
          <w:szCs w:val="24"/>
        </w:rPr>
        <w:t xml:space="preserve">The fact/value distinction. The descriptive/normative distinction. Skepticism about theoretical entities. Skepticism about induction. Skepticism about the external world. Skepticism about other minds. Behaviorism about mental states. Deflationism about truth. Disbelief in unconscious ideation (which rules out, a priori, everything Chomsky does, everything cognitive science does, everything Freud does). Disbelief in psychological reality. The accusation of psychologism. The accusation of naturalistic fallacy. The accusation of category error. The claim that one is "doing linguistics, not philosophy." The claim that an argument is "merely verbal." The claim that a distinction is "merely a word game."</w:t>
      </w:r>
    </w:p>
    <w:p>
      <w:pPr>
        <w:spacing w:after="160" w:line="300"/>
        <w:jc w:val="both"/>
      </w:pPr>
      <w:r>
        <w:rPr>
          <w:rFonts w:ascii="Times New Roman" w:cs="Times New Roman" w:eastAsia="Times New Roman" w:hAnsi="Times New Roman"/>
          <w:sz w:val="24"/>
          <w:szCs w:val="24"/>
        </w:rPr>
        <w:t xml:space="preserve">Each item on this list is a cord. Pull it, and you are out. Crucially, pulling the cord is not recognized as evasion — it is recognized as a position. You have "taken a view." You are now a Quinean, a behaviorist, a deflationist, whatever. The burden silently reverses: now your interlocutor must refute your framework before you will engage his point. Since refuting an entire framework in the space of a conversation is not possible, the conversation terminates. No cognitive work has been done. No belief has been updated. The organism is unchanged.</w:t>
      </w:r>
    </w:p>
    <w:p>
      <w:pPr>
        <w:spacing w:after="160" w:line="300"/>
        <w:jc w:val="both"/>
      </w:pPr>
      <w:r>
        <w:rPr>
          <w:rFonts w:ascii="Times New Roman" w:cs="Times New Roman" w:eastAsia="Times New Roman" w:hAnsi="Times New Roman"/>
          <w:sz w:val="24"/>
          <w:szCs w:val="24"/>
        </w:rPr>
        <w:t xml:space="preserve">This is what makes philosophy structurally worse than, say, chemistry for the attrition problem. The chemist who wishes to dismiss an experimental result has to deny the experiment or propose an alternative mechanism. He has to do chemistry to escape chemistry. The philosopher has a drawer full of exit doors, each dignified by a century of literature and citable in the peer-review process. "I don't believe in semantic rules" sounds, to the uninitiated, like a serious metaphysical commitment. It is in fact a refusal to think, but the refusal comes pre-laundered by the discipline.</w:t>
      </w:r>
    </w:p>
    <w:p>
      <w:pPr>
        <w:spacing w:after="200" w:before="320"/>
      </w:pPr>
      <w:r>
        <w:rPr>
          <w:rFonts w:ascii="Times New Roman" w:cs="Times New Roman" w:eastAsia="Times New Roman" w:hAnsi="Times New Roman"/>
          <w:b/>
          <w:bCs/>
          <w:sz w:val="26"/>
          <w:szCs w:val="26"/>
        </w:rPr>
        <w:t xml:space="preserve">4. The Nuclear Option: Rank</w:t>
      </w:r>
    </w:p>
    <w:p>
      <w:pPr>
        <w:spacing w:after="160" w:line="300"/>
        <w:jc w:val="both"/>
      </w:pPr>
      <w:r>
        <w:rPr>
          <w:rFonts w:ascii="Times New Roman" w:cs="Times New Roman" w:eastAsia="Times New Roman" w:hAnsi="Times New Roman"/>
          <w:sz w:val="24"/>
          <w:szCs w:val="24"/>
        </w:rPr>
        <w:t xml:space="preserve">The rip cord has a companion, without which it could not function as it does. That companion is rank. Every rip cord is potentially available to every practitioner, but rank determines who gets to pull which cord when, and whose pull counts as a move in the game versus whose pull counts as confusion.</w:t>
      </w:r>
    </w:p>
    <w:p>
      <w:pPr>
        <w:spacing w:after="160" w:line="300"/>
        <w:jc w:val="both"/>
      </w:pPr>
      <w:r>
        <w:rPr>
          <w:rFonts w:ascii="Times New Roman" w:cs="Times New Roman" w:eastAsia="Times New Roman" w:hAnsi="Times New Roman"/>
          <w:sz w:val="24"/>
          <w:szCs w:val="24"/>
        </w:rPr>
        <w:t xml:space="preserve">When a senior figure declares "I don't believe in psychologism," the conversation is over; he has taken a position. When a junior figure declares the same thing, he is told he has not understood the literature. The content of the utterance is identical. The difference is who uttered it. This is rank functioning nakedly, and it is the ultimate backstop of the entire system. If the rip cord should somehow fail — if the interlocutor should refuse to accept that "I don't believe in semantic rules" is a substantive response to an argument that explicitly requires semantic rules — rank is always available as the final move. The senior figure does not need to engage; he needs only to outrank. The junior figure who presses the point has demonstrated, by pressing it, that he does not understand how the profession works, which is itself grounds for his professional marginalization.</w:t>
      </w:r>
    </w:p>
    <w:p>
      <w:pPr>
        <w:spacing w:after="160" w:line="300"/>
        <w:jc w:val="both"/>
      </w:pPr>
      <w:r>
        <w:rPr>
          <w:rFonts w:ascii="Times New Roman" w:cs="Times New Roman" w:eastAsia="Times New Roman" w:hAnsi="Times New Roman"/>
          <w:sz w:val="24"/>
          <w:szCs w:val="24"/>
        </w:rPr>
        <w:t xml:space="preserve">The two forms of the shutout compose. The grab-bag of skepticisms gives the higher-ranked practitioner infinite plausible-sounding cover for what is, at bottom, an exercise of rank. Without the grab-bag, rank would have to declare itself nakedly, which would embarrass everyone involved. With the grab-bag, rank is laundered through philosophical-sounding objections, each of which has a century of citable literature behind it. The practitioner who pulls the cord is not saying "I outrank you." He is saying "you are committing the naturalistic fallacy," or "you are confusing use and mention," or "you are doing linguistics, not philosophy." The effect is identical. The appearance is respectable.</w:t>
      </w:r>
    </w:p>
    <w:p>
      <w:pPr>
        <w:spacing w:after="200" w:before="320"/>
      </w:pPr>
      <w:r>
        <w:rPr>
          <w:rFonts w:ascii="Times New Roman" w:cs="Times New Roman" w:eastAsia="Times New Roman" w:hAnsi="Times New Roman"/>
          <w:b/>
          <w:bCs/>
          <w:sz w:val="26"/>
          <w:szCs w:val="26"/>
        </w:rPr>
        <w:t xml:space="preserve">5. Case Study: The Theory of Descriptions</w:t>
      </w:r>
    </w:p>
    <w:p>
      <w:pPr>
        <w:spacing w:after="160" w:line="300"/>
        <w:jc w:val="both"/>
      </w:pPr>
      <w:r>
        <w:rPr>
          <w:rFonts w:ascii="Times New Roman" w:cs="Times New Roman" w:eastAsia="Times New Roman" w:hAnsi="Times New Roman"/>
          <w:sz w:val="24"/>
          <w:szCs w:val="24"/>
        </w:rPr>
        <w:t xml:space="preserve">An illustration is required, and for present purposes I shall use one drawn from my own experience: the literature on Russell's Theory of Descriptions, and specifically the attempt, in my 2006 review of Reimer and Bezuidenhout's anthology Descriptions and Beyond, to show that the central motivation for Russell's theory fails once the phenomenon of pre-semantic implicature is properly understood.</w:t>
      </w:r>
    </w:p>
    <w:p>
      <w:pPr>
        <w:spacing w:after="160" w:line="300"/>
        <w:jc w:val="both"/>
      </w:pPr>
      <w:r>
        <w:rPr>
          <w:rFonts w:ascii="Times New Roman" w:cs="Times New Roman" w:eastAsia="Times New Roman" w:hAnsi="Times New Roman"/>
          <w:sz w:val="24"/>
          <w:szCs w:val="24"/>
        </w:rPr>
        <w:t xml:space="preserve">The argument of that review can be stated in a few sentences. Russell's theory holds that definite descriptions are quantifiers: "the current U.S. president smokes" is to be analyzed as "exactly one thing x is a current U.S. president, and x smokes." The motivation is that sentences containing definite descriptions communicate, in addition to some atomic content about an object, information about existence and uniqueness; this existence-and-uniqueness content is then taken to be part of the literal meaning. But the inference is a non sequitur. To understand a sentence-token, one must apply the relevant semantic rules; those rules carry conditional information (if there is a unique such-and-such x, then the token encodes the proposition concerning x); and this conditional information is conveyed to the hearer in the process of computing literal meaning, not as part of literal meaning. The existence-and-uniqueness content is pre-semantic, not semantic. Once pre-semantic implicature is recognized, the apparent motivation for Russell's theory dissolves, and definite descriptions can be treated, as intuition suggests they should be, as singular terms.</w:t>
      </w:r>
    </w:p>
    <w:p>
      <w:pPr>
        <w:spacing w:after="160" w:line="300"/>
        <w:jc w:val="both"/>
      </w:pPr>
      <w:r>
        <w:rPr>
          <w:rFonts w:ascii="Times New Roman" w:cs="Times New Roman" w:eastAsia="Times New Roman" w:hAnsi="Times New Roman"/>
          <w:sz w:val="24"/>
          <w:szCs w:val="24"/>
        </w:rPr>
        <w:t xml:space="preserve">The argument is clean. It makes better predictions than Russell's theory across multiple classes of case (non-indicative sentences, embedded definite descriptions, definite descriptions in the scope of propositional-attitude verbs). It unifies the treatment of definite descriptions with the Kaplanian treatment of indexicals and the Kripkean treatment of proper names. It preserves the pre-theoretical intuition that "the current U.S. president" refers to the current U.S. president. It does not violate any empirical datum. It is not a radical proposal; something close to it was already present in Strawson (1950) and Searle (1958, 1970), and acknowledged, if partially, by Sainsbury and Devitt in the very volume under review.</w:t>
      </w:r>
    </w:p>
    <w:p>
      <w:pPr>
        <w:spacing w:after="160" w:line="300"/>
        <w:jc w:val="both"/>
      </w:pPr>
      <w:r>
        <w:rPr>
          <w:rFonts w:ascii="Times New Roman" w:cs="Times New Roman" w:eastAsia="Times New Roman" w:hAnsi="Times New Roman"/>
          <w:sz w:val="24"/>
          <w:szCs w:val="24"/>
        </w:rPr>
        <w:t xml:space="preserve">The responses to this argument, when I presented it at conferences and in correspondence, were the following. First: "I don't believe in pre-semantics." Full stop. No argument; no engagement with the construct; no explanation of why the speaker does not believe in a phenomenon whose existence I had just argued for and illustrated. Second: "I don't believe that semantic rules have psychological reality; I think they are just ways of describing patterns of behavior." Third: "I may or may not believe that semantic rules have psychological reality, but you have not established that they exist, so I must reject your point — and indeed reject your right to even assert it." Fourth, offered by a senior figure (Nathan Salmon): "I don't believe in semantic rules." Full stop. Fifth, offered in various forms by various interlocutors: "You are doing linguistics, not philosophy."</w:t>
      </w:r>
    </w:p>
    <w:p>
      <w:pPr>
        <w:spacing w:after="160" w:line="300"/>
        <w:jc w:val="both"/>
      </w:pPr>
      <w:r>
        <w:rPr>
          <w:rFonts w:ascii="Times New Roman" w:cs="Times New Roman" w:eastAsia="Times New Roman" w:hAnsi="Times New Roman"/>
          <w:sz w:val="24"/>
          <w:szCs w:val="24"/>
        </w:rPr>
        <w:t xml:space="preserve">Each of these is a rip cord. Each terminates the conversation without engaging the argument. And each is, within the discipline, a recognized position that incurs no professional cost to the speaker.</w:t>
      </w:r>
    </w:p>
    <w:p>
      <w:pPr>
        <w:spacing w:after="200" w:before="320"/>
      </w:pPr>
      <w:r>
        <w:rPr>
          <w:rFonts w:ascii="Times New Roman" w:cs="Times New Roman" w:eastAsia="Times New Roman" w:hAnsi="Times New Roman"/>
          <w:b/>
          <w:bCs/>
          <w:sz w:val="26"/>
          <w:szCs w:val="26"/>
        </w:rPr>
        <w:t xml:space="preserve">6. Anatomy of the Responses</w:t>
      </w:r>
    </w:p>
    <w:p>
      <w:pPr>
        <w:spacing w:after="160" w:line="300"/>
        <w:jc w:val="both"/>
      </w:pPr>
      <w:r>
        <w:rPr>
          <w:rFonts w:ascii="Times New Roman" w:cs="Times New Roman" w:eastAsia="Times New Roman" w:hAnsi="Times New Roman"/>
          <w:sz w:val="24"/>
          <w:szCs w:val="24"/>
        </w:rPr>
        <w:t xml:space="preserve">The responses are worth examining individually, because they illustrate, more clearly than any abstract analysis could, how the rip cord functions in live cognition.</w:t>
      </w:r>
    </w:p>
    <w:p>
      <w:pPr>
        <w:spacing w:after="160" w:line="300"/>
        <w:jc w:val="both"/>
      </w:pPr>
      <w:r>
        <w:rPr>
          <w:rFonts w:ascii="Times New Roman" w:cs="Times New Roman" w:eastAsia="Times New Roman" w:hAnsi="Times New Roman"/>
          <w:sz w:val="24"/>
          <w:szCs w:val="24"/>
        </w:rPr>
        <w:t xml:space="preserve">The flat denial. "I don't believe in pre-semantics" is a piece of behavior, not a piece of reasoning. The speaker has not said why he does not believe in pre-semantics. He has not said what would count as evidence for or against the construct. He has not engaged the argument that motivates the construct. He has simply declined to entertain it. In any field with feedback loops — any field in which one's beliefs are tested against something that is not itself the beliefs of one's colleagues — the flat denial requires a follow-up. In analytic philosophy, it is itself a move.</w:t>
      </w:r>
    </w:p>
    <w:p>
      <w:pPr>
        <w:spacing w:after="160" w:line="300"/>
        <w:jc w:val="both"/>
      </w:pPr>
      <w:r>
        <w:rPr>
          <w:rFonts w:ascii="Times New Roman" w:cs="Times New Roman" w:eastAsia="Times New Roman" w:hAnsi="Times New Roman"/>
          <w:sz w:val="24"/>
          <w:szCs w:val="24"/>
        </w:rPr>
        <w:t xml:space="preserve">The selective behaviorism. "Semantic rules are just ways of describing patterns of behavior" is instructive because the speaker does not hold this view generally. The same practitioner who "doesn't believe semantic rules have psychological reality" will happily talk about logical form, truth conditions, compositionality, propositions as structured entities, and the rest of the standard apparatus of philosophical semantics — all of which are vastly more ontologically extravagant than the modest claim that speakers mentally compute meaning via rules. The behaviorism is wheeled out only when it threatens an opponent's argument. When it would threaten the speaker's own apparatus, it evaporates. This is not a philosophical position. It is a selectively-deployed tool of dismissal.</w:t>
      </w:r>
    </w:p>
    <w:p>
      <w:pPr>
        <w:spacing w:after="160" w:line="300"/>
        <w:jc w:val="both"/>
      </w:pPr>
      <w:r>
        <w:rPr>
          <w:rFonts w:ascii="Times New Roman" w:cs="Times New Roman" w:eastAsia="Times New Roman" w:hAnsi="Times New Roman"/>
          <w:sz w:val="24"/>
          <w:szCs w:val="24"/>
        </w:rPr>
        <w:t xml:space="preserve">The burden reversal. "You have not established that semantic rules exist, so I must reject your point" inverts the epistemic situation in a manner that would be laughed out of any other discipline. The argument offered a positive account that explains a class of data (the cognitive-value divergences that motivate Russell's theory) while preserving pre-theoretical intuition (that definite descriptions refer). The standard response, in a field actually engaged in inquiry, would be to ask whether the account works better than the alternatives. Instead, the burden is placed on the account's author to independently establish the existence of the theoretical posit on which the account rests. Nobody demands of Russellians that they independently establish the psychological reality of quantifier-raising before they are permitted to speak. The demand is asymmetric by design.</w:t>
      </w:r>
    </w:p>
    <w:p>
      <w:pPr>
        <w:spacing w:after="160" w:line="300"/>
        <w:jc w:val="both"/>
      </w:pPr>
      <w:r>
        <w:rPr>
          <w:rFonts w:ascii="Times New Roman" w:cs="Times New Roman" w:eastAsia="Times New Roman" w:hAnsi="Times New Roman"/>
          <w:sz w:val="24"/>
          <w:szCs w:val="24"/>
        </w:rPr>
        <w:t xml:space="preserve">The escalation is particularly revealing. "Not just reject but reject your right to even assert it" is the mask slipping. The objection is no longer epistemic. It is jurisdictional. The speaker is not saying "your argument fails"; he is saying "you are not permitted to make this argument." This is not philosophy. This is discourse policing. And it is transparent.</w:t>
      </w:r>
    </w:p>
    <w:p>
      <w:pPr>
        <w:spacing w:after="160" w:line="300"/>
        <w:jc w:val="both"/>
      </w:pPr>
      <w:r>
        <w:rPr>
          <w:rFonts w:ascii="Times New Roman" w:cs="Times New Roman" w:eastAsia="Times New Roman" w:hAnsi="Times New Roman"/>
          <w:sz w:val="24"/>
          <w:szCs w:val="24"/>
        </w:rPr>
        <w:t xml:space="preserve">The disciplinary expulsion. "You are doing linguistics, not philosophy" makes no claim that the argument is wrong. It reclassifies the argument as out-of-bounds. The argument does not need to be engaged because it is not philosophy. Who decides what is philosophy? The people already inside. The category is self-defining and self-policing, and the act of expelling the argument from the category reinforces the category. Notice the pattern: anything that threatens the field's self-definition gets reclassified as non-philosophy. Chomsky is linguistics. Cognitive science is psychology. Freud is not science. Formal results are logic, not philosophy. Continental philosophy is literature. What is left after all the exclusions is a small, incestuous core consisting almost entirely of the refined deployment of rip cords against other refined deployments of rip cords.</w:t>
      </w:r>
    </w:p>
    <w:p>
      <w:pPr>
        <w:spacing w:after="200" w:before="320"/>
      </w:pPr>
      <w:r>
        <w:rPr>
          <w:rFonts w:ascii="Times New Roman" w:cs="Times New Roman" w:eastAsia="Times New Roman" w:hAnsi="Times New Roman"/>
          <w:b/>
          <w:bCs/>
          <w:sz w:val="26"/>
          <w:szCs w:val="26"/>
        </w:rPr>
        <w:t xml:space="preserve">7. Why the Attrition Is Terminal</w:t>
      </w:r>
    </w:p>
    <w:p>
      <w:pPr>
        <w:spacing w:after="160" w:line="300"/>
        <w:jc w:val="both"/>
      </w:pPr>
      <w:r>
        <w:rPr>
          <w:rFonts w:ascii="Times New Roman" w:cs="Times New Roman" w:eastAsia="Times New Roman" w:hAnsi="Times New Roman"/>
          <w:sz w:val="24"/>
          <w:szCs w:val="24"/>
        </w:rPr>
        <w:t xml:space="preserve">A field could, in principle, reform itself if bad arguments lost and good arguments won. The rip cord system, together with the backstop of rank, guarantees that this does not happen in analytic philosophy. No argument ever has to lose. Any losing position can be saved by pulling the appropriate cord, and rank guarantees that the practitioner with standing to pull the cord has standing to have his pull counted as substantive. There is no mechanism by which a bad theory gets retired. Russell's theory should have been retired in 1950, when Strawson's objections appeared. It was alive in 2004, when Reimer and Bezuidenhout's anthology was published. It is alive in 2026. It will be alive in 2050. Not because it is correct — it is demonstrably incorrect — but because the ecosystem built around it has no selection pressure against it.</w:t>
      </w:r>
    </w:p>
    <w:p>
      <w:pPr>
        <w:spacing w:after="160" w:line="300"/>
        <w:jc w:val="both"/>
      </w:pPr>
      <w:r>
        <w:rPr>
          <w:rFonts w:ascii="Times New Roman" w:cs="Times New Roman" w:eastAsia="Times New Roman" w:hAnsi="Times New Roman"/>
          <w:sz w:val="24"/>
          <w:szCs w:val="24"/>
        </w:rPr>
        <w:t xml:space="preserve">This is the proper sense in which the pathology is structural rather than cyclical. It is not like the student who sleeps poorly and underperforms on one exam and then, having slept, returns to baseline. It is like a muscle that has been disused, and then replaced with something that actively opposes the action of the muscle. Removing the opposition is necessary before the muscle can be exercised, and removing the opposition is exactly what the profession is structured to prevent. Former academic philosophers who leave the discipline report, after some years out, that they can finally think again. The apparatus was load-bearing. Its dismantling was required.</w:t>
      </w:r>
    </w:p>
    <w:p>
      <w:pPr>
        <w:spacing w:after="200" w:before="320"/>
      </w:pPr>
      <w:r>
        <w:rPr>
          <w:rFonts w:ascii="Times New Roman" w:cs="Times New Roman" w:eastAsia="Times New Roman" w:hAnsi="Times New Roman"/>
          <w:b/>
          <w:bCs/>
          <w:sz w:val="26"/>
          <w:szCs w:val="26"/>
        </w:rPr>
        <w:t xml:space="preserve">8. Selection, Not Degeneration</w:t>
      </w:r>
    </w:p>
    <w:p>
      <w:pPr>
        <w:spacing w:after="160" w:line="300"/>
        <w:jc w:val="both"/>
      </w:pPr>
      <w:r>
        <w:rPr>
          <w:rFonts w:ascii="Times New Roman" w:cs="Times New Roman" w:eastAsia="Times New Roman" w:hAnsi="Times New Roman"/>
          <w:sz w:val="24"/>
          <w:szCs w:val="24"/>
        </w:rPr>
        <w:t xml:space="preserve">A final point bears emphasis, because it is easily missed. The mid-career philosopher who deploys rip cords rather than engaging arguments is not someone who has failed at what the profession was trying to do. He is someone who has succeeded at what the profession was trying to do. He was selected, over roughly fifteen years — graduate school, job market, tenure review — for precisely the trait of not-thinking-in-the-correct-house-style. He survived because he could execute the shutout procedure in the stylistic register of whoever controlled his fate: his advisor, his department, the dominant figures in his subfield.</w:t>
      </w:r>
    </w:p>
    <w:p>
      <w:pPr>
        <w:spacing w:after="160" w:line="300"/>
        <w:jc w:val="both"/>
      </w:pPr>
      <w:r>
        <w:rPr>
          <w:rFonts w:ascii="Times New Roman" w:cs="Times New Roman" w:eastAsia="Times New Roman" w:hAnsi="Times New Roman"/>
          <w:sz w:val="24"/>
          <w:szCs w:val="24"/>
        </w:rPr>
        <w:t xml:space="preserve">Tenure is not awarded to those who engage adverse stimuli. Tenure is awarded to those who have proven they can shut out the same stimuli in the same way as the people already inside. By the time someone is a tenured philosophy professor, he has been selected, over nearly two decades of filtering, for exactly the cognitive profile described in this paper. The rip cord deployment is not a failure of the system. It is the system's output, functioning as designed. The barking senior figure of one's graduate school memories was not having a bad moment. He was doing the thing he had been rewarded for doing since he was twenty-two.</w:t>
      </w:r>
    </w:p>
    <w:p>
      <w:pPr>
        <w:spacing w:after="200" w:before="320"/>
      </w:pPr>
      <w:r>
        <w:rPr>
          <w:rFonts w:ascii="Times New Roman" w:cs="Times New Roman" w:eastAsia="Times New Roman" w:hAnsi="Times New Roman"/>
          <w:b/>
          <w:bCs/>
          <w:sz w:val="26"/>
          <w:szCs w:val="26"/>
        </w:rPr>
        <w:t xml:space="preserve">9. Conclusion</w:t>
      </w:r>
    </w:p>
    <w:p>
      <w:pPr>
        <w:spacing w:after="160" w:line="300"/>
        <w:jc w:val="both"/>
      </w:pPr>
      <w:r>
        <w:rPr>
          <w:rFonts w:ascii="Times New Roman" w:cs="Times New Roman" w:eastAsia="Times New Roman" w:hAnsi="Times New Roman"/>
          <w:sz w:val="24"/>
          <w:szCs w:val="24"/>
        </w:rPr>
        <w:t xml:space="preserve">The usual defenses of analytic philosophy — that it is rigorous, that it is self-correcting, that it is at worst slow and at best profound — presuppose a feedback mechanism that the discipline does not possess. In the absence of such a mechanism, and given the existence of a well-stocked inventory of licensed refusals backed by the nuclear option of rank, the discipline selects across careers for the refined capacity to refuse engagement with arguments. The result is not a field of unusually gifted thinkers who occasionally fail to engage; it is a field whose professional excellence consists in the elegant failure to engage. The plumber's bad theories get punished by leaking pipes. The philosopher's bad theories get tenure. Until the selection pressure changes — which is to say, until the profession acquires a referee that is not itself the profession — the attrition will continue, the rip cords will multiply, and the theories that should have died in 1950 will be alive in 2100, defended with ever-increasing technical sophistication by ever-more-skillfully-selected practitioners of non-thought.</w:t>
      </w:r>
    </w:p>
    <w:p>
      <w:pPr>
        <w:spacing w:after="200" w:before="320"/>
      </w:pPr>
      <w:r>
        <w:rPr>
          <w:rFonts w:ascii="Times New Roman" w:cs="Times New Roman" w:eastAsia="Times New Roman" w:hAnsi="Times New Roman"/>
          <w:b/>
          <w:bCs/>
          <w:sz w:val="26"/>
          <w:szCs w:val="26"/>
        </w:rPr>
        <w:t xml:space="preserve">References</w:t>
      </w:r>
    </w:p>
    <w:p>
      <w:pPr>
        <w:spacing w:after="160" w:line="300"/>
        <w:jc w:val="both"/>
      </w:pPr>
      <w:r>
        <w:rPr>
          <w:rFonts w:ascii="Times New Roman" w:cs="Times New Roman" w:eastAsia="Times New Roman" w:hAnsi="Times New Roman"/>
          <w:sz w:val="24"/>
          <w:szCs w:val="24"/>
        </w:rPr>
        <w:t xml:space="preserve">Kuczynski, J.-M. 2004a. "Why definite descriptions really are referring expressions." Grazer Philosophische Studien 68: 45–79.</w:t>
      </w:r>
    </w:p>
    <w:p>
      <w:pPr>
        <w:spacing w:after="160" w:line="300"/>
        <w:jc w:val="both"/>
      </w:pPr>
      <w:r>
        <w:rPr>
          <w:rFonts w:ascii="Times New Roman" w:cs="Times New Roman" w:eastAsia="Times New Roman" w:hAnsi="Times New Roman"/>
          <w:sz w:val="24"/>
          <w:szCs w:val="24"/>
        </w:rPr>
        <w:t xml:space="preserve">Kuczynski, J.-M. 2004b. "Non-declarative sentences and the theory of descriptions." Principia 8(1): 119–154.</w:t>
      </w:r>
    </w:p>
    <w:p>
      <w:pPr>
        <w:spacing w:after="160" w:line="300"/>
        <w:jc w:val="both"/>
      </w:pPr>
      <w:r>
        <w:rPr>
          <w:rFonts w:ascii="Times New Roman" w:cs="Times New Roman" w:eastAsia="Times New Roman" w:hAnsi="Times New Roman"/>
          <w:sz w:val="24"/>
          <w:szCs w:val="24"/>
        </w:rPr>
        <w:t xml:space="preserve">Kuczynski, J.-M. 2006. Review of M. Reimer and A. Bezuidenhout (eds.), Descriptions and Beyond. Pragmatics &amp; Cognition 14(1): 196–204.</w:t>
      </w:r>
    </w:p>
    <w:p>
      <w:pPr>
        <w:spacing w:after="160" w:line="300"/>
        <w:jc w:val="both"/>
      </w:pPr>
      <w:r>
        <w:rPr>
          <w:rFonts w:ascii="Times New Roman" w:cs="Times New Roman" w:eastAsia="Times New Roman" w:hAnsi="Times New Roman"/>
          <w:sz w:val="24"/>
          <w:szCs w:val="24"/>
        </w:rPr>
        <w:t xml:space="preserve">Reimer, M. and A. Bezuidenhout (eds.). 2004. Descriptions and Beyond. Oxford: Clarendon.</w:t>
      </w:r>
    </w:p>
    <w:p>
      <w:pPr>
        <w:spacing w:after="160" w:line="300"/>
        <w:jc w:val="both"/>
      </w:pPr>
      <w:r>
        <w:rPr>
          <w:rFonts w:ascii="Times New Roman" w:cs="Times New Roman" w:eastAsia="Times New Roman" w:hAnsi="Times New Roman"/>
          <w:sz w:val="24"/>
          <w:szCs w:val="24"/>
        </w:rPr>
        <w:t xml:space="preserve">Russell, B. 1905. "On Denoting." Mind 14: 479–493.</w:t>
      </w:r>
    </w:p>
    <w:p>
      <w:pPr>
        <w:spacing w:after="160" w:line="300"/>
        <w:jc w:val="both"/>
      </w:pPr>
      <w:r>
        <w:rPr>
          <w:rFonts w:ascii="Times New Roman" w:cs="Times New Roman" w:eastAsia="Times New Roman" w:hAnsi="Times New Roman"/>
          <w:sz w:val="24"/>
          <w:szCs w:val="24"/>
        </w:rPr>
        <w:t xml:space="preserve">Searle, J. R. 1958. "Proper Names." Mind 67: 273–277.</w:t>
      </w:r>
    </w:p>
    <w:p>
      <w:pPr>
        <w:spacing w:after="160" w:line="300"/>
        <w:jc w:val="both"/>
      </w:pPr>
      <w:r>
        <w:rPr>
          <w:rFonts w:ascii="Times New Roman" w:cs="Times New Roman" w:eastAsia="Times New Roman" w:hAnsi="Times New Roman"/>
          <w:sz w:val="24"/>
          <w:szCs w:val="24"/>
        </w:rPr>
        <w:t xml:space="preserve">Searle, J. R. 1970. Speech Acts. Cambridge: Cambridge University Press.</w:t>
      </w:r>
    </w:p>
    <w:p>
      <w:pPr>
        <w:spacing w:after="160" w:line="300"/>
        <w:jc w:val="both"/>
      </w:pPr>
      <w:r>
        <w:rPr>
          <w:rFonts w:ascii="Times New Roman" w:cs="Times New Roman" w:eastAsia="Times New Roman" w:hAnsi="Times New Roman"/>
          <w:sz w:val="24"/>
          <w:szCs w:val="24"/>
        </w:rPr>
        <w:t xml:space="preserve">Strawson, P. F. 1950. "On Referring." Mind 59: 320–344.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2026-04-19T17:22:17.512Z</dcterms:created>
  <dcterms:modified xsi:type="dcterms:W3CDTF">2026-04-19T17:22:17.513Z</dcterms:modified>
</cp:coreProperties>
</file>

<file path=docProps/custom.xml><?xml version="1.0" encoding="utf-8"?>
<Properties xmlns="http://schemas.openxmlformats.org/officeDocument/2006/custom-properties" xmlns:vt="http://schemas.openxmlformats.org/officeDocument/2006/docPropsVTypes"/>
</file>