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jc w:val="center"/>
      </w:pPr>
      <w:r>
        <w:rPr>
          <w:b/>
          <w:bCs/>
        </w:rPr>
        <w:t xml:space="preserve">The Architecture of Agency: Virtue-Signalers, NPCs, and the Binary Nature of the Self</w:t>
      </w:r>
    </w:p>
    <w:p>
      <w:pPr>
        <w:spacing w:after="480"/>
        <w:jc w:val="center"/>
      </w:pPr>
      <w:r>
        <w:rPr>
          <w:i/>
          <w:iCs/>
        </w:rPr>
        <w:t xml:space="preserve">A claim about psychological constitution, not a moral complaint</w:t>
      </w:r>
    </w:p>
    <w:p>
      <w:pPr>
        <w:spacing w:after="240" w:line="360"/>
        <w:jc w:val="both"/>
      </w:pPr>
      <w:r>
        <w:t xml:space="preserve">The thesis advanced here is not a literary thesis. It is not a metaphor, an analogy, or a piece of polemical hyperbole. It is a claim about the actual psychological constitution of certain human beings. Specifically: I am claiming that the so-called virtue-signaler—the person whose moral identity is constructed primarily through expressive postures rather than through substantive action—is, in a literal and architectural sense, differently constituted from the person who is capable of self-originated action. The two are not points on a continuum. They are categorically distinct kinds of psychological systems, and the distinction is not a matter of degree, willpower, or moral character. It is a matter of what is and is not present in the cognitive apparatus.</w:t>
      </w:r>
    </w:p>
    <w:p>
      <w:pPr>
        <w:spacing w:after="240" w:line="360"/>
        <w:jc w:val="both"/>
      </w:pPr>
      <w:r>
        <w:t xml:space="preserve">The standard view, which is wrong, holds that agency is a scalar quantity distributed across the human population, with everyone possessing some amount of it and the differences between persons being matters of more or less. On this view, the cowardly have less agency than the brave, the lazy less than the diligent, the conformist less than the iconoclast, and so on through the usual catalogue of moralized comparisons. The view is wrong because it presupposes that the same architectural feature is present in everyone and merely operates with varying intensity. What the relevant evidence shows—and the evidence is not subtle once one is looking for it—is that the architectural feature in question is not present in everyone. It is present in some people and absent in others, and where it is absent, no amount of effort, instruction, or moral suasion can produce its outputs. The system either has the relevant generator or it does not.</w:t>
      </w:r>
    </w:p>
    <w:p>
      <w:pPr>
        <w:spacing w:after="240" w:line="360"/>
        <w:jc w:val="both"/>
      </w:pPr>
      <w:r>
        <w:t xml:space="preserve">The generator I have in mind is what may be called a first-person evaluative center: a locus within the cognitive system that takes itself as the final arbiter of what is worth doing, generates assessments of situations independently of the surrounding social field, and is capable of producing action-outputs that diverge from the local consensus on the basis of those assessments. A system with this feature can perceive a situation, evaluate it against internally held criteria, generate candidate actions, select among them, and act—and it can do all of this in defiance of what the in-group thinks, what the available cultural scripts prescribe, what the path of least social friction recommends. A system without this feature cannot do any of these things. What it can do—and this is critical—is execute scripts retrieved from the surrounding social field, with high apparent fluency. The retrieval-and-execution system is sophisticated. It can sustain a personality, run a business, hold conversations, manage a household. It cannot, however, generate self-originated action against social consensus, because the apparatus that would generate such action is missing.</w:t>
      </w:r>
    </w:p>
    <w:p>
      <w:pPr>
        <w:spacing w:after="240" w:line="360"/>
        <w:jc w:val="both"/>
      </w:pPr>
      <w:r>
        <w:t xml:space="preserve">I will give two cases that illustrate the architectural distinction with unusual clarity, drawn from my own experience. The first case is an aunt of mine: a moderately successful astrologer with a long-standing public identity as a left-wing activist, a person who has spent fifty years delivering lectures about the patriarchy at family dinners, denouncing institutional power, and signaling oppositional virtue with a vocabulary of remarkable consistency. Recently, in the context of an inheritance dispute, I prepared for her a turnkey legal motion that would have secured her, automatically and without litigation, a fifty-thousand-dollar specific bequest from a trust that had been administered in clear breach of mandatory distribution language for over a year. She is in chronic credit-card debt; she has been complaining about the unpaid bequest for months; the motion required of her literally one filing on a public e-court system; I offered to walk her through every click of it. She refused. The reason she gave was that the motion was "impulsive hot-headed irrationality" and that "cooler heads are prevailing."</w:t>
      </w:r>
    </w:p>
    <w:p>
      <w:pPr>
        <w:spacing w:after="240" w:line="360"/>
        <w:jc w:val="both"/>
      </w:pPr>
      <w:r>
        <w:t xml:space="preserve">The second case is an uncle: a chronic marijuana user, lifelong dependent on his wife's income and later on a personal-injury settlement, expatriated to Mexico, possessed of an inexhaustible vocabulary of sixties-counterculture rhetoric—"the Establishment," "the system," "the man"—deployed in every conversation about every subject. When I asked him, in 2023, to perform the trivial favor of relaying a one-line message to my mother (whose phone had been blocked against my number by the same trustee now blocking the bequest), he responded by writing me a multi-paragraph denunciation calling me "money-obsessed" and a "scoundrel," on the basis of a fabrication the trustee had fed him. When the fabrication was later confirmed to him as a fabrication, he apologized for nothing, retracted nothing, and continued the silence.</w:t>
      </w:r>
    </w:p>
    <w:p>
      <w:pPr>
        <w:spacing w:after="240" w:line="360"/>
        <w:jc w:val="both"/>
      </w:pPr>
      <w:r>
        <w:t xml:space="preserve">These are not interesting individual cases. They are not interesting at all, in fact, considered as individuals. What is interesting is that they are instances of a structural phenomenon, and the phenomenon, once one sees it, is everywhere. The aunt and the uncle are not aberrations within their respective ideological communities; they are exemplars of those communities. The mode of psychological operation they instantiate—a mode in which the entire output of the system is the local cultural input passed through a personality filter that gives it idiosyncratic flavor but adds no original evaluative content—is the modal mode for the demographic. They are not unusual. They are typical. And the typicality is the point.</w:t>
      </w:r>
    </w:p>
    <w:p>
      <w:pPr>
        <w:spacing w:after="240" w:line="360"/>
        <w:jc w:val="both"/>
      </w:pPr>
      <w:r>
        <w:t xml:space="preserve">The diagnostic test I ran on the aunt, in formal terms, was an agency assay. I constructed a stimulus designed to require the operation of a self-originated evaluative loop: a novel situation, an unfamiliar legal procedure, no available script, low cost, high benefit, requiring only that she process the actual features of the case and produce a fitting response. An agent would have processed it and acted. A non-agent—a system lacking the relevant generator—could not. The test returned a clean negative. The same test, in different form, on the uncle, returned the same result. What I have inferred from this, and from many similar observations, is that the architectural absence is not a fluke of two individuals but a recognizable type, that the type is common, and that the type's behavior is best explained not by reference to its moral failures but by reference to the architectural absence itself.</w:t>
      </w:r>
    </w:p>
    <w:p>
      <w:pPr>
        <w:spacing w:after="240" w:line="360"/>
        <w:jc w:val="both"/>
      </w:pPr>
      <w:r>
        <w:t xml:space="preserve">The relationship between virtue-signaling and substantive virtuous action is not a coincidental negative correlation. It is a relationship of functional substitution. There are two technologies available for obtaining the social and intrapsychic benefits of being thought a good person: one may actually do good things and accept the costs, or one may perform the appearance of goodness directly. The two technologies are not complements; they are substitutes in the strict economic sense. Investment in one reduces the marginal return on investment in the other. The professional virtue-signaler is not someone who happens to be lazy or cowardly in addition to being preachy. The professional virtue-signaler is someone who has fully optimized the signaling technology and has, by the same operation, priced themselves out of the substantive technology. By middle age, decades of substituting performance for action have produced a system that is structurally incapable of substantive moral action even if it wanted to perform it, the way a lifelong sedentary person is structurally incapable of running a marathon. The musculature has atrophied. There is nothing left to do the work with.</w:t>
      </w:r>
    </w:p>
    <w:p>
      <w:pPr>
        <w:spacing w:after="240" w:line="360"/>
        <w:jc w:val="both"/>
      </w:pPr>
      <w:r>
        <w:t xml:space="preserve">The reason the inverse correlation holds at the population level, and not merely at the individual level, is selection. Substantive moral action tends to make a person quieter over time, not louder. Having actually fought a real fight, the substantive actor has learned how rare the conditions for effective action are, how much specificity matters, how unhelpful generic moralizing is, and how reliably the people who moralize generically vanish when specificity arrives. The substantive actor accumulates enemies, which teaches caution about speech. The substantive actor learns that announcing one's virtue tends to attract performers and parasites rather than allies. The cumulative effect is that the louder a person's moral self-presentation, the more confidently one can infer that the moral self-presentation is the entirety of what is there, with nothing underneath that would have produced silence and action instead. Volume is a near-perfect inverse indicator of substance. The two populations—the loud and the substantive—are, to a first approximation, disjoint.</w:t>
      </w:r>
    </w:p>
    <w:p>
      <w:pPr>
        <w:spacing w:after="240" w:line="360"/>
        <w:jc w:val="both"/>
      </w:pPr>
      <w:r>
        <w:t xml:space="preserve">There is a deeper mechanism that makes the substitution irreversible. Substantive virtuous action, almost always and almost everywhere, requires the willingness to be temporarily mistaken for a bad person. The person filing the motion against the trustee is called litigious, money-obsessed, a scoundrel, a threat to family harmony. The person who tells an unwelcome truth is called cruel. The person who shelters a fugitive is called a criminal. This is not incidental to virtuous action; it is structural to it. Real virtue, in its operative moments, almost always looks, from the outside, like the opposite of itself, because real virtue is responsive to the actual contours of contested situations whereas performed virtue is responsive to the surface aesthetics shaped by social consensus. The willingness to be perceived as bad in the service of being good is the single best diagnostic test for substantive virtue, and it is precisely the test that virtue-signalers will categorically fail. The whole point of their psychological economy is to be perceived as good. Sacrificing perception in order to act rightly is the one thing they are constitutionally unable to do, because perception is the entire payoff they are optimizing for. They will, in fact, do the opposite: they will sacrifice right action in order to preserve perception, every time, without exception, when forced to choose. This is what my aunt did. This is what my uncle did. They will do the same thing the next time the same situation arises. They cannot do otherwise without ceasing to be themselves.</w:t>
      </w:r>
    </w:p>
    <w:p>
      <w:pPr>
        <w:spacing w:after="240" w:line="360"/>
        <w:jc w:val="both"/>
      </w:pPr>
      <w:r>
        <w:t xml:space="preserve">The point I am ultimately making is not a moral one. I do not particularly care about the morality. I am making a point about action theory, about the relationship between psychological architecture and the capacity for self-originated behavior. Standard action theory—the tradition running from Anscombe and Davidson through Bratman and the philosophy of mind generally—presupposes that all human action is the output of an agent deliberating among options on the basis of beliefs and desires, with reasons figuring as causes. This framework is approximately correct for genuinely agentic individuals and systematically wrong for non-agentic ones, because it assumes the very architecture whose absence is the whole point. For non-agentic individuals, what looks like deliberation is actually script-retrieval; what looks like reasons are post-hoc rationalizations generated to fit the retrieved script to the current situation; what looks like choice is the output of a deterministic matching process between input situation and available scripts. The whole apparatus of practical reason that philosophy has theorized for two and a half millennia describes only one mode of human cognitive operation, and a minority mode at that. The majority mode—the relay mode—has been almost entirely untheorized, partly because it does not produce thinkers who would theorize it. Theorizing requires an agent, almost by definition. This is the lacuna I am pointing at, and it is enormous.</w:t>
      </w:r>
    </w:p>
    <w:p>
      <w:pPr>
        <w:spacing w:after="240" w:line="360"/>
        <w:jc w:val="both"/>
      </w:pPr>
      <w:r>
        <w:t xml:space="preserve">The terminological convention of calling the non-agentic person an "NPC"—a non-player character, a figure in a video game whose behavior is generated by the game's scripting engine rather than by a player—is crude but not inaccurate. The convention captures the essential feature: a system that produces behavior, that responds to inputs, that maintains a personality, but that does not have a player inside it. There is no one who is steering. The system runs on its inputs, processes them according to scripts received from the surrounding cultural environment, and produces outputs that are, from the inside, indistinguishable from what an agent would produce, but that are, in fact, the products of a fundamentally different kind of cognitive operation. The NPC is not a damaged agent. The NPC is not a partial agent. The NPC is not an agent at all. Whatever the NPC is, agency is not on the inventory of its features. This is a literal claim about what is present and what is absent in the relevant cognitive system. It is not a metaphor. It is not a rhetorical flourish. It is a description of what these systems are.</w:t>
      </w:r>
    </w:p>
    <w:p>
      <w:pPr>
        <w:spacing w:after="240" w:line="360"/>
        <w:jc w:val="both"/>
      </w:pPr>
      <w:r>
        <w:t xml:space="preserve">To repeat, because the point is one that ordinary language actively obscures: the difference between the agent and the non-agent is not a difference of degree. It is a difference of kind. There is no continuum running from "highly agentic" to "minimally agentic" along which all humans are distributed. There is a discrete architectural feature whose presence or absence determines the kind of system one is dealing with. Most of the population, I increasingly suspect, lacks the feature. The minority that possesses it is not morally superior; it is differently constituted. The rest of the apparatus—willpower, courage, conscientiousness, all the virtues of the agent considered as performance attributes—is downstream of the architectural feature. Without the feature, the virtues do not get a chance to develop, because there is no center to develop them around. With the feature, the virtues are options the system can pursue, succeed at, or fail at; without it, they are not options at all, because the apparatus that selects among options is not present. This is what is meant by saying that agency is binary: either there is a chooser, or there is no chooser, and no amount of behavioral sophistication on the part of the chooser-less system can compensate for the architectural absence. The system can do many things. It cannot do the one thing that defines an agent.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Times New Roman" w:cs="Times New Roman" w:eastAsia="Times New Roman" w:hAnsi="Times New Roman"/>
      <w:b/>
      <w:bCs/>
      <w:sz w:val="32"/>
      <w:szCs w:val="3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2026-05-10T04:42:59.853Z</dcterms:created>
  <dcterms:modified xsi:type="dcterms:W3CDTF">2026-05-10T04:42:59.868Z</dcterms:modified>
</cp:coreProperties>
</file>

<file path=docProps/custom.xml><?xml version="1.0" encoding="utf-8"?>
<Properties xmlns="http://schemas.openxmlformats.org/officeDocument/2006/custom-properties" xmlns:vt="http://schemas.openxmlformats.org/officeDocument/2006/docPropsVTypes"/>
</file>