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Agency as Architecture: Why the NPC Phenomenon and the Hollow Lawyer Are the Same Phenomenon</w:t>
      </w:r>
    </w:p>
    <w:p>
      <w:pPr>
        <w:spacing w:after="480"/>
        <w:jc w:val="center"/>
      </w:pPr>
      <w:r>
        <w:rPr>
          <w:i/>
          <w:iCs/>
        </w:rPr>
        <w:t xml:space="preserve">Toward an action theory adequate to the human population as it actually exists</w:t>
      </w:r>
    </w:p>
    <w:p>
      <w:pPr>
        <w:spacing w:after="240" w:line="360"/>
        <w:jc w:val="both"/>
      </w:pPr>
      <w:r>
        <w:t xml:space="preserve">The two preceding analyses—of the virtue-signaling NPC in the family and social context, and of the script-following lawyer in the professional context—have appeared to be analyses of two distinct phenomena. They are not. They are analyses of a single phenomenon manifesting in two contexts, and the unification is not a rhetorical convenience but a substantive theoretical claim. The phenomenon is the architectural absence of a first-person evaluative center within the cognitive system, and the absence produces predictable patterns of behavior wherever it occurs, modulated by the script library available to the system in the local environment. Change the script library and the surface behavior changes; the underlying architecture does not. The astrologer aunt, the stoner uncle, and the professional attorney are running the same operation. The vocabulary differs. The operation is identical.</w:t>
      </w:r>
    </w:p>
    <w:p>
      <w:pPr>
        <w:spacing w:after="240" w:line="360"/>
        <w:jc w:val="both"/>
      </w:pPr>
      <w:r>
        <w:t xml:space="preserve">The claim I am advancing is literal. I am not claiming that virtue-signalers and script-following lawyers resemble each other in some interesting metaphorical sense, or that the family and professional cases share a thematic similarity worth noting. I am claiming that the same cognitive architecture is at work in both, that the same architectural feature is missing in both, and that this absence is a real fact about the constitution of the relevant cognitive systems, not a figure of speech. The systems in question are differently built from agentic systems. The difference is not behavioral, though behavior reflects it; the difference is constitutional. What is present in the agent is absent in the non-agent. The absence is not a matter of degree. It is binary. Either the relevant generator is present or it is not, and where it is not, no behavioral output the system produces will be the output that the missing generator would have produced.</w:t>
      </w:r>
    </w:p>
    <w:p>
      <w:pPr>
        <w:spacing w:after="240" w:line="360"/>
        <w:jc w:val="both"/>
      </w:pPr>
      <w:r>
        <w:t xml:space="preserve">The unification proceeds as follows. In both the family and professional cases, the system in question is presented with a situation that requires a self-originated action—an action whose justification depends on the system's own assessment of the case rather than on the surrounding social or professional consensus. In both cases, the system fails to produce the action. In both cases, the system produces, instead of the action, an elaborated verbal output—a lecture—that retrieves a high-status script from the locally available script library and deploys it in apparent justification of the non-action. The script differs by domain: in the astrologer's case, "cooler heads are prevailing"; in the stoner's case, "you are money-obsessed and a scoundrel"; in the lawyer's case, "this would involve turpitude" or "this is contrary to the rules of professional conduct." The vocabulary is dictated by the domain. The structure is identical. A stimulus arrives that requires self-originated action. The system does not produce self-originated action. The system produces a domain-appropriate inaction-licensing lecture. The lecture is delivered with the affect of considered judgment. The lecture is, in fact, a retrieval from a script library, generated by a system that has no judgment to consider with.</w:t>
      </w:r>
    </w:p>
    <w:p>
      <w:pPr>
        <w:spacing w:after="240" w:line="360"/>
        <w:jc w:val="both"/>
      </w:pPr>
      <w:r>
        <w:t xml:space="preserve">The reason the same architecture produces the same output in such different contexts is that the architecture is what it is, regardless of context. The first-person evaluative center, when present, operates across all of the system's domains: it can evaluate a family situation, a legal situation, a financial situation, a moral situation, with the same fundamental operation, drawing on different domain-specific knowledge but applying the same evaluative procedure. When the center is absent, no domain-specific knowledge can substitute for it. The system can accumulate enormous quantities of legal knowledge, philosophical knowledge, political knowledge, theological knowledge—and the absence of the evaluator means that all of this knowledge is deployed in the relay mode, retrieved according to surface pattern-matching, and applied without genuine assessment of fit. The astrologer's astrology, the stoner's counterculture vocabulary, and the lawyer's case law are functionally equivalent. They are all script libraries from which the relay system draws. None of them substitutes for the missing evaluator. None of them can substitute for it.</w:t>
      </w:r>
    </w:p>
    <w:p>
      <w:pPr>
        <w:spacing w:after="240" w:line="360"/>
        <w:jc w:val="both"/>
      </w:pPr>
      <w:r>
        <w:t xml:space="preserve">The professional case clarifies the family case, and the family case clarifies the professional case. The professional case clarifies the family case by showing that the architectural deficit is not a matter of being uneducated, ignorant, or lacking in cultural sophistication. The Colbys of the world are highly trained, possess large script libraries, and produce verbal outputs of considerable apparent sophistication. They still cannot act. The deficit, then, is not a deficit of training or knowledge; it is a deficit of the evaluator that would direct the deployment of training and knowledge. The aunt's deficit is the same deficit, manifesting through a thinner script library; she has fewer scripts to retrieve from, but the failure to evaluate is identical. The professional case proves that even the densest available script library is insufficient to produce agentic output in a system lacking the evaluator. This rules out the consoling interpretation that virtue-signalers in the family context could be improved by education, exposure, or argument. They could not. The lawyers prove it.</w:t>
      </w:r>
    </w:p>
    <w:p>
      <w:pPr>
        <w:spacing w:after="240" w:line="360"/>
        <w:jc w:val="both"/>
      </w:pPr>
      <w:r>
        <w:t xml:space="preserve">The family case clarifies the professional case in turn, by showing that the relevant architectural feature is not a matter of professional credentialing or institutional position. The astrologer aunt is not a lawyer. She has no special professional standing in any technical domain. Yet she exhibits, in her own context, exactly the same pattern as the lawyer exhibits in his: the same script-retrieval in lieu of evaluation, the same inaction-licensing lecture, the same inability to perform the locally appropriate action when the action would require deviation from the local consensus, the same defamatory inversion of the person who is performing the action correctly. The family case proves that the deficit is not a professional artifact, not produced by law school or bar training, not unique to the legal domain. It is a feature of the cognitive system itself, present or absent independently of the system's professional formation. Law school and bar training select for and reinforce the deficit, but they do not create it. They find it ready-made in the population from which they draw, and they cultivate it. The deficit precedes the credential. The credential merely amplifies its expression.</w:t>
      </w:r>
    </w:p>
    <w:p>
      <w:pPr>
        <w:spacing w:after="240" w:line="360"/>
        <w:jc w:val="both"/>
      </w:pPr>
      <w:r>
        <w:t xml:space="preserve">The two cases together establish the central thesis: agency is an architectural feature of certain cognitive systems and not of others, the difference is binary rather than scalar, and the absence of agency is the modal human condition rather than a peripheral aberration. The agentic minority is recognizable across all domains by the same diagnostic. Under conditions that demand self-originated action against social or professional consensus, agentic systems produce action; non-agentic systems produce lectures. The lecture is the architectural signature, in the family living room and in the law office equally. Once one has heard a few of them—the aunt on cooler heads, the uncle on scoundrels, the lawyer on turpitude—the signature becomes recognizable across all contexts as the same output, dressed differently. It is the same operation. It is the same kind of system. It is the same absence at the center of the system.</w:t>
      </w:r>
    </w:p>
    <w:p>
      <w:pPr>
        <w:spacing w:after="240" w:line="360"/>
        <w:jc w:val="both"/>
      </w:pPr>
      <w:r>
        <w:t xml:space="preserve">The implications for action theory are substantial. The standard tradition, from Aristotle through the contemporary philosophy of action, has treated practical reason as the universal mode of human cognitive operation, varying in quality across individuals but uniform in basic architecture. This treatment is wrong. Practical reason, in the agentic sense the tradition theorizes, is the mode of operation of a minority of human cognitive systems. The majority operate in the relay mode, which is not a defective form of practical reason but a categorically distinct mode of cognitive functioning that produces behavior through different mechanisms. The standard tradition has theorized only the minority case, presented its theorization as if it described all humans, and remained largely silent about the majority case—partly because the majority case does not produce the kinds of theorists who would theorize it, and partly because acknowledging the majority case would undermine democratic, egalitarian, and humanistic assumptions that the academic tradition is institutionally committed to preserving. The result is that two and a half millennia of practical philosophy have addressed a sub-population of the species without acknowledging that the sub-population is a sub-population. The action theory of the relay-mode majority remains essentially unwritten.</w:t>
      </w:r>
    </w:p>
    <w:p>
      <w:pPr>
        <w:spacing w:after="240" w:line="360"/>
        <w:jc w:val="both"/>
      </w:pPr>
      <w:r>
        <w:t xml:space="preserve">What such an action theory would have to look like is sketched, in preliminary form, by what the present analysis has done. It would have to abandon the assumption that all human action is the output of an evaluator deliberating among options on the basis of beliefs and desires. It would have to develop a parallel framework for action-production by retrieval-and-execution systems, in which what looks like deliberation is pattern-matching, what looks like reasons are post-hoc rationalizations of the matched script, and what looks like choice is the deterministic output of the matching mechanism operating on the available script library. It would have to characterize the kinds of script libraries available to different sub-populations and show how those libraries shape the surface behavior of the relay systems that draw on them. It would have to identify the diagnostic conditions under which the architectural distinction between agents and non-agents reveals itself—conditions, that is, in which a self-originated action is required, no available script fits, and the local consensus is at odds with the action. Under such conditions, the agent acts and the non-agent produces a lecture. This is the elementary diagnostic, and any adequate action theory will have to incorporate it.</w:t>
      </w:r>
    </w:p>
    <w:p>
      <w:pPr>
        <w:spacing w:after="240" w:line="360"/>
        <w:jc w:val="both"/>
      </w:pPr>
      <w:r>
        <w:t xml:space="preserve">A further implication, which I will state but not develop here, is that the political and institutional structures of contemporary democratic societies are increasingly maladapted to the cognitive distribution of the populations they govern. Democratic theory, like classical action theory, presupposes a population of agents capable of self-originated evaluation and action. Where the actual population consists predominantly of relay-mode systems, the inputs to the political process are the script libraries available to those systems—media narratives, partisan rhetoric, institutional consensus—and the outputs of the political process reflect those inputs more than they reflect any independent assessment of conditions. The democratic mechanism works as advertised when applied to an agentic population; it does not work as advertised when applied to a relay population, because the relay population has nothing to contribute to the process beyond an amplification of whatever scripts have most successfully colonized its cognitive infrastructure. The phenomena we observe—mass conformity, ideological capture of professions, the failure of expert classes to perform their nominal functions, the systematic inversion of moral and political categories under social pressure—are the predictable consequences of running democratic procedures on populations whose cognitive architecture does not match the assumptions of those procedures. This is a vast topic. I mention it here only to indicate that the architectural distinction I have been developing has implications well beyond the family-dispute and legal-malpractice contexts in which I have illustrated it.</w:t>
      </w:r>
    </w:p>
    <w:p>
      <w:pPr>
        <w:spacing w:after="240" w:line="360"/>
        <w:jc w:val="both"/>
      </w:pPr>
      <w:r>
        <w:t xml:space="preserve">I will close by repeating the claim in its strongest form, because the claim is one that ordinary academic and lay vocabulary alike are designed to obscure. The professional virtue-signaler is, in a literal architectural sense, differently constituted from the autonomous person. The script-following lawyer is, in a literal architectural sense, differently constituted from the agentic lawyer. The two non-agentic types are constituted in the same way as each other. The difference between them and the agentic type is not a difference of degree, intensity, character, willpower, courage, or conscientiousness. It is a difference of what is present and what is absent in the cognitive system itself. The agentic minority possesses a feature that the non-agentic majority does not possess. The feature, where present, generates self-originated evaluation and action. The feature, where absent, leaves a system that runs entirely on retrieved scripts and produces lectures whenever those scripts demand a justification for non-action. There is no continuum running from one to the other along which all humans are distributed. There is a discrete architectural fact, present in some and absent in others, and the fact is the deepest variable in the description of human practical cognition. To miss this fact is to miss the structure of the population. To name it accurately is to begin the construction of an action theory that fits the species as it actually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2026-05-10T04:42:59.902Z</dcterms:created>
  <dcterms:modified xsi:type="dcterms:W3CDTF">2026-05-10T04:42:59.902Z</dcterms:modified>
</cp:coreProperties>
</file>

<file path=docProps/custom.xml><?xml version="1.0" encoding="utf-8"?>
<Properties xmlns="http://schemas.openxmlformats.org/officeDocument/2006/custom-properties" xmlns:vt="http://schemas.openxmlformats.org/officeDocument/2006/docPropsVTypes"/>
</file>