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left"/>
      </w:pPr>
      <w:r>
        <w:t xml:space="preserve">Financial Crashes Are Not Economic Events</w:t>
      </w:r>
    </w:p>
    <w:p>
      <w:pPr>
        <w:spacing w:after="200"/>
      </w:pPr>
      <w:r>
        <w:t xml:space="preserve">Every major market crash of the modern era—1720, 1929, 2000, 2008—has been blamed, in real time and after the fact, on the wrong variables. Politicians point at trade balances. Pundits point at consumer confidence. Economists point at productivity shocks and aggregate demand. None of these had anything to do with what actually broke. The crashes were financial events, generated by financial variables, and they cannot be predicted from the variables that economists actually track.</w:t>
      </w:r>
    </w:p>
    <w:p>
      <w:pPr>
        <w:spacing w:after="200"/>
      </w:pPr>
      <w:r>
        <w:t xml:space="preserve">Before going further it is worth being painfully precise about what a financial variable is, because the term gets used loosely and the looseness is where the trouble starts. A financial variable, in the sense that matters for crash prediction, is a variable that ranges over securities whose notional values are taken for actual values. A security is any tradeable claim on a future stream of payments—a share of stock, a bond, a mortgage note, a credit default swap. Its notional value is the number printed on its face or implied by its market price at a given moment. Its actual value is what it will turn out to be worth once the underlying payments do or do not arrive. The gap between the two is normally invisible. It becomes visible only when something forces the issue, and the moment it becomes visible is the crash.</w:t>
      </w:r>
    </w:p>
    <w:p>
      <w:pPr>
        <w:spacing w:after="200"/>
      </w:pPr>
      <w:r>
        <w:t xml:space="preserve">This is different in kind from what economists call an economic variable. Employment is an economic variable: it measures something that has already happened and that can be counted by visiting workplaces. GDP is an economic variable: it sums up production that has actually occurred. Crop prices are economic variables: a bushel of wheat changed hands at a price. These quantities are realizations. They describe the world as it is, not as someone hopes it will be.</w:t>
      </w:r>
    </w:p>
    <w:p>
      <w:pPr>
        <w:spacing w:after="200"/>
      </w:pPr>
      <w:r>
        <w:t xml:space="preserve">Financial variables, by contrast, describe the world as it is currently priced—which is to say, as it is currently expected to become. When a bank holds a portfolio of mortgages and books their value at face, the bank is treating an expectation about future homeowner behavior as an accomplished fact. When an investor buys a share at fifty times earnings, the investor is treating a forecast about future profits as a current reality. When a dealer holds a derivative whose payoff depends on the future value of an index, the dealer is treating a model output as a balance sheet entry. In each case the number on the books is a guess about what has not yet happened, written down as if the guess had been settled.</w:t>
      </w:r>
    </w:p>
    <w:p>
      <w:pPr>
        <w:spacing w:after="200"/>
      </w:pPr>
      <w:r>
        <w:t xml:space="preserve">This is not a complaint about finance. The translation of expectation into present value is what finance is for, and the modern economy could not function without it. Equity markets let firms raise capital from people who will never set foot in the factory; bond markets let savers fund borrowers across continents; derivative markets let producers hedge inputs they have not yet bought. All of this requires that expectations be assigned numbers and that those numbers be treated, for operational purposes, as real. The problem is not that we do this. The problem is that the entire profession nominally charged with understanding the economy refuses to measure it.</w:t>
      </w:r>
    </w:p>
    <w:p>
      <w:pPr>
        <w:pStyle w:val="Heading2"/>
      </w:pPr>
      <w:r>
        <w:t xml:space="preserve">Why economic variables cannot see what is coming</w:t>
      </w:r>
    </w:p>
    <w:p>
      <w:pPr>
        <w:spacing w:after="200"/>
      </w:pPr>
      <w:r>
        <w:t xml:space="preserve">Consider 2008. In the months before Lehman collapsed, the headline economic variables were either fine or slightly soft. Unemployment was around 5%. Inflation was contained. GDP growth had slowed but was still positive into the third quarter. Industrial production was steady. The output gap was small. Consumer spending was within normal range. By every measurement the macroeconomic profession trained itself to watch, the United States economy in mid-2008 looked like a country in a mild slowdown. The Fed's own forecasts, the IMF's projections, and the consensus of bank economists all called for a soft landing. They were not stupid. They were looking exactly where their tools told them to look.</w:t>
      </w:r>
    </w:p>
    <w:p>
      <w:pPr>
        <w:spacing w:after="200"/>
      </w:pPr>
      <w:r>
        <w:t xml:space="preserve">Meanwhile, in the financial variables, the configuration was catastrophic. The leverage ratios of the major investment banks had reached 30 or 40 to one. The repo market had grown to several trillion dollars in overnight funding against long-duration assets. The notional value of credit default swaps outstanding on mortgage tranches was a multiple of the actual mortgages they referenced. The rating agencies had assigned investment-grade status to securities whose default correlation assumptions were demonstrably wrong. Half of new mortgage originations were being made to borrowers who could not document their income. None of this appeared on any chart anyone at the Fed was reviewing as part of the standard macroeconomic dashboard.</w:t>
      </w:r>
    </w:p>
    <w:p>
      <w:pPr>
        <w:spacing w:after="200"/>
      </w:pPr>
      <w:r>
        <w:t xml:space="preserve">The same pattern holds for every prior crash. In 1929 the economic indicators were strong right up to the autumn—industrial production was at record highs, unemployment was around 3%, prices were stable. The financial indicators were screaming: margin debt had tripled in three years, broker call loans had become the single largest use of bank credit in New York, and the price of representative stocks had risen to levels that required earnings growth no real economy could sustain. In 2000 the economic indicators showed the strongest growth in a generation. The financial indicators showed several hundred publicly traded companies with negative earnings, cash burn rates that would exhaust their balance sheets within months, and aggregate sector valuations whose implied future revenues exceeded the world's plausible spending on the relevant goods.</w:t>
      </w:r>
    </w:p>
    <w:p>
      <w:pPr>
        <w:spacing w:after="200"/>
      </w:pPr>
      <w:r>
        <w:t xml:space="preserve">In each case the economic variables were measuring the wake of the boat. The financial variables were measuring the hull below the waterline. The hull was rotting. The wake looked fine. The boat sank.</w:t>
      </w:r>
    </w:p>
    <w:p>
      <w:pPr>
        <w:pStyle w:val="Heading2"/>
      </w:pPr>
      <w:r>
        <w:t xml:space="preserve">What is actually being measured</w:t>
      </w:r>
    </w:p>
    <w:p>
      <w:pPr>
        <w:spacing w:after="200"/>
      </w:pPr>
      <w:r>
        <w:t xml:space="preserve">To make the distinction concrete, here is a partial list of the financial variables that were operative in the three modern crashes:</w:t>
      </w:r>
    </w:p>
    <w:p>
      <w:pPr>
        <w:pStyle w:val="ListParagraph"/>
        <w:numPr>
          <w:ilvl w:val="0"/>
          <w:numId w:val="2"/>
        </w:numPr>
        <w:spacing w:after="100"/>
      </w:pPr>
      <w:r>
        <w:t xml:space="preserve">Leverage ratios of the dominant intermediaries (banks, broker-dealers, shadow banks).</w:t>
      </w:r>
    </w:p>
    <w:p>
      <w:pPr>
        <w:pStyle w:val="ListParagraph"/>
        <w:numPr>
          <w:ilvl w:val="0"/>
          <w:numId w:val="2"/>
        </w:numPr>
        <w:spacing w:after="100"/>
      </w:pPr>
      <w:r>
        <w:t xml:space="preserve">Maturity mismatch between funding sources and assets funded.</w:t>
      </w:r>
    </w:p>
    <w:p>
      <w:pPr>
        <w:pStyle w:val="ListParagraph"/>
        <w:numPr>
          <w:ilvl w:val="0"/>
          <w:numId w:val="2"/>
        </w:numPr>
        <w:spacing w:after="100"/>
      </w:pPr>
      <w:r>
        <w:t xml:space="preserve">Concentration of counterparty exposure.</w:t>
      </w:r>
    </w:p>
    <w:p>
      <w:pPr>
        <w:pStyle w:val="ListParagraph"/>
        <w:numPr>
          <w:ilvl w:val="0"/>
          <w:numId w:val="2"/>
        </w:numPr>
        <w:spacing w:after="100"/>
      </w:pPr>
      <w:r>
        <w:t xml:space="preserve">Notional outstanding of derivatives written on the relevant underlying.</w:t>
      </w:r>
    </w:p>
    <w:p>
      <w:pPr>
        <w:pStyle w:val="ListParagraph"/>
        <w:numPr>
          <w:ilvl w:val="0"/>
          <w:numId w:val="2"/>
        </w:numPr>
        <w:spacing w:after="100"/>
      </w:pPr>
      <w:r>
        <w:t xml:space="preserve">Correlation assumptions embedded in the pricing of structured products.</w:t>
      </w:r>
    </w:p>
    <w:p>
      <w:pPr>
        <w:pStyle w:val="ListParagraph"/>
        <w:numPr>
          <w:ilvl w:val="0"/>
          <w:numId w:val="2"/>
        </w:numPr>
        <w:spacing w:after="100"/>
      </w:pPr>
      <w:r>
        <w:t xml:space="preserve">Share of originated credit that fails to meet historical underwriting standards.</w:t>
      </w:r>
    </w:p>
    <w:p>
      <w:pPr>
        <w:pStyle w:val="ListParagraph"/>
        <w:numPr>
          <w:ilvl w:val="0"/>
          <w:numId w:val="2"/>
        </w:numPr>
        <w:spacing w:after="100"/>
      </w:pPr>
      <w:r>
        <w:t xml:space="preserve">Aggregate sector price-to-earnings ratios.</w:t>
      </w:r>
    </w:p>
    <w:p>
      <w:pPr>
        <w:pStyle w:val="ListParagraph"/>
        <w:numPr>
          <w:ilvl w:val="0"/>
          <w:numId w:val="2"/>
        </w:numPr>
        <w:spacing w:after="100"/>
      </w:pPr>
      <w:r>
        <w:t xml:space="preserve">Cash burn rates of publicly traded firms with negative earnings.</w:t>
      </w:r>
    </w:p>
    <w:p>
      <w:pPr>
        <w:pStyle w:val="ListParagraph"/>
        <w:numPr>
          <w:ilvl w:val="0"/>
          <w:numId w:val="2"/>
        </w:numPr>
        <w:spacing w:after="100"/>
      </w:pPr>
      <w:r>
        <w:t xml:space="preserve">Margin debt as a share of market capitalization.</w:t>
      </w:r>
    </w:p>
    <w:p>
      <w:pPr>
        <w:pStyle w:val="ListParagraph"/>
        <w:numPr>
          <w:ilvl w:val="0"/>
          <w:numId w:val="2"/>
        </w:numPr>
        <w:spacing w:after="100"/>
      </w:pPr>
      <w:r>
        <w:t xml:space="preserve">Insider selling volumes around lockup expirations.</w:t>
      </w:r>
    </w:p>
    <w:p>
      <w:pPr>
        <w:spacing w:after="200"/>
      </w:pPr>
      <w:r>
        <w:t xml:space="preserve">And here is a partial list of the economic variables on which professional forecasters relied:</w:t>
      </w:r>
    </w:p>
    <w:p>
      <w:pPr>
        <w:pStyle w:val="ListParagraph"/>
        <w:numPr>
          <w:ilvl w:val="0"/>
          <w:numId w:val="2"/>
        </w:numPr>
        <w:spacing w:after="100"/>
      </w:pPr>
      <w:r>
        <w:t xml:space="preserve">GDP growth.</w:t>
      </w:r>
    </w:p>
    <w:p>
      <w:pPr>
        <w:pStyle w:val="ListParagraph"/>
        <w:numPr>
          <w:ilvl w:val="0"/>
          <w:numId w:val="2"/>
        </w:numPr>
        <w:spacing w:after="100"/>
      </w:pPr>
      <w:r>
        <w:t xml:space="preserve">Unemployment rate.</w:t>
      </w:r>
    </w:p>
    <w:p>
      <w:pPr>
        <w:pStyle w:val="ListParagraph"/>
        <w:numPr>
          <w:ilvl w:val="0"/>
          <w:numId w:val="2"/>
        </w:numPr>
        <w:spacing w:after="100"/>
      </w:pPr>
      <w:r>
        <w:t xml:space="preserve">Consumer price index.</w:t>
      </w:r>
    </w:p>
    <w:p>
      <w:pPr>
        <w:pStyle w:val="ListParagraph"/>
        <w:numPr>
          <w:ilvl w:val="0"/>
          <w:numId w:val="2"/>
        </w:numPr>
        <w:spacing w:after="100"/>
      </w:pPr>
      <w:r>
        <w:t xml:space="preserve">Federal funds rate.</w:t>
      </w:r>
    </w:p>
    <w:p>
      <w:pPr>
        <w:pStyle w:val="ListParagraph"/>
        <w:numPr>
          <w:ilvl w:val="0"/>
          <w:numId w:val="2"/>
        </w:numPr>
        <w:spacing w:after="100"/>
      </w:pPr>
      <w:r>
        <w:t xml:space="preserve">Industrial production.</w:t>
      </w:r>
    </w:p>
    <w:p>
      <w:pPr>
        <w:pStyle w:val="ListParagraph"/>
        <w:numPr>
          <w:ilvl w:val="0"/>
          <w:numId w:val="2"/>
        </w:numPr>
        <w:spacing w:after="100"/>
      </w:pPr>
      <w:r>
        <w:t xml:space="preserve">Capacity utilization.</w:t>
      </w:r>
    </w:p>
    <w:p>
      <w:pPr>
        <w:pStyle w:val="ListParagraph"/>
        <w:numPr>
          <w:ilvl w:val="0"/>
          <w:numId w:val="2"/>
        </w:numPr>
        <w:spacing w:after="100"/>
      </w:pPr>
      <w:r>
        <w:t xml:space="preserve">Trade balance.</w:t>
      </w:r>
    </w:p>
    <w:p>
      <w:pPr>
        <w:pStyle w:val="ListParagraph"/>
        <w:numPr>
          <w:ilvl w:val="0"/>
          <w:numId w:val="2"/>
        </w:numPr>
        <w:spacing w:after="100"/>
      </w:pPr>
      <w:r>
        <w:t xml:space="preserve">Output gap.</w:t>
      </w:r>
    </w:p>
    <w:p>
      <w:pPr>
        <w:pStyle w:val="ListParagraph"/>
        <w:numPr>
          <w:ilvl w:val="0"/>
          <w:numId w:val="2"/>
        </w:numPr>
        <w:spacing w:after="100"/>
      </w:pPr>
      <w:r>
        <w:t xml:space="preserve">Consumer confidence.</w:t>
      </w:r>
    </w:p>
    <w:p>
      <w:pPr>
        <w:pStyle w:val="ListParagraph"/>
        <w:numPr>
          <w:ilvl w:val="0"/>
          <w:numId w:val="2"/>
        </w:numPr>
        <w:spacing w:after="100"/>
      </w:pPr>
      <w:r>
        <w:t xml:space="preserve">Productivity growth.</w:t>
      </w:r>
    </w:p>
    <w:p>
      <w:pPr>
        <w:spacing w:after="200"/>
      </w:pPr>
      <w:r>
        <w:t xml:space="preserve">The two lists do not overlap. They are not measuring the same thing, they are not even measuring the same kind of thing. The first list measures the gap between notional and actual—the size of the wager the financial system has placed on its own expectations being correct. The second list measures the realized state of the productive economy. The first is what a financial crash is made of. The second is what the financial profession refuses to look at.</w:t>
      </w:r>
    </w:p>
    <w:p>
      <w:pPr>
        <w:pStyle w:val="Heading2"/>
      </w:pPr>
      <w:r>
        <w:t xml:space="preserve">The implication</w:t>
      </w:r>
    </w:p>
    <w:p>
      <w:pPr>
        <w:spacing w:after="200"/>
      </w:pPr>
      <w:r>
        <w:t xml:space="preserve">It follows that any forecast of a financial crash built on economic variables alone is, in the strict sense, impossible. You cannot predict a phase transition in a system whose state you are not measuring. Economists who claim to have predicted past crashes from macroeconomic data are almost without exception engaged in retrospective storytelling: the variables they cite as predictive were not the ones they were actually watching at the time, or were available only to a handful of contrarians who were ignored. The mainstream forecasting apparatus has, across a full century of opportunities, never predicted a major financial crash before it occurred. This is not a string of bad luck. It is a structural feature of using the wrong instruments.</w:t>
      </w:r>
    </w:p>
    <w:p>
      <w:pPr>
        <w:spacing w:after="200"/>
      </w:pPr>
      <w:r>
        <w:t xml:space="preserve">The fix is not better macroeconomic modeling. The fix is to build a separate dashboard, populated by financial variables of the kind listed above, whose explicit purpose is to track the size and growth of the gap between notional and actual across the relevant securities markets. Such a dashboard would not predict the precise day of a crash—nothing can—but it would do what the macroeconomic dashboard categorically cannot: tell you that the configuration of the financial system has become unstable, and that a small shock will now produce a large response. That is the only kind of crash prediction that has ever worked, and it has worked, in the rare cases where it was attempted, every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6"/>
      <w:szCs w:val="36"/>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2026-05-27T03:22:47.972Z</dcterms:created>
  <dcterms:modified xsi:type="dcterms:W3CDTF">2026-05-27T03:22:47.986Z</dcterms:modified>
</cp:coreProperties>
</file>

<file path=docProps/custom.xml><?xml version="1.0" encoding="utf-8"?>
<Properties xmlns="http://schemas.openxmlformats.org/officeDocument/2006/custom-properties" xmlns:vt="http://schemas.openxmlformats.org/officeDocument/2006/docPropsVTypes"/>
</file>