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Blueprint for a Financial Crash Detection App</w:t>
      </w:r>
    </w:p>
    <w:p>
      <w:pPr>
        <w:spacing w:after="200"/>
      </w:pPr>
      <w:r>
        <w:t xml:space="preserve">The two preceding articles argued that financial crashes are caused by financial variables, not economic ones, and that the confusion between financial and civilizational collapse is the operating premise of the doom-pundit industry. What follows is a blueprint—really a blueprint of a blueprint—for an application that would do what no mainstream forecaster currently does: monitor the financial system directly, using financial variables, with the explicit goal of detecting the configuration that precedes a crash. It would not predict the day. It would identify the regime.</w:t>
      </w:r>
    </w:p>
    <w:p>
      <w:pPr>
        <w:pStyle w:val="Heading2"/>
      </w:pPr>
      <w:r>
        <w:t xml:space="preserve">Design principle</w:t>
      </w:r>
    </w:p>
    <w:p>
      <w:pPr>
        <w:spacing w:after="200"/>
      </w:pPr>
      <w:r>
        <w:t xml:space="preserve">The application does one thing: it measures the gap between notional and actual value across the major leveraged asset classes, tracks how that gap is being financed, and flags configurations that historically have preceded crashes. It does not forecast GDP. It does not track employment. It does not care about consumer confidence. Those variables belong to a different application, run by a different profession, with a different and well-known set of limitations. This application is concerned exclusively with the financial system as a leveraged structure built on expectations, and with the question of how far those expectations have detached from anything that can ultimately ratify them.</w:t>
      </w:r>
    </w:p>
    <w:p>
      <w:pPr>
        <w:pStyle w:val="Heading2"/>
      </w:pPr>
      <w:r>
        <w:t xml:space="preserve">Module one: leverage telemetry</w:t>
      </w:r>
    </w:p>
    <w:p>
      <w:pPr>
        <w:spacing w:after="200"/>
      </w:pPr>
      <w:r>
        <w:t xml:space="preserve">The first module measures how much credit is currently extended against assets, and how stable the funding for that credit is.</w:t>
      </w:r>
    </w:p>
    <w:p>
      <w:pPr>
        <w:pStyle w:val="ListParagraph"/>
        <w:numPr>
          <w:ilvl w:val="0"/>
          <w:numId w:val="2"/>
        </w:numPr>
        <w:spacing w:after="100"/>
      </w:pPr>
      <w:r>
        <w:t xml:space="preserve">Aggregate leverage of the broker-dealer sector, drawn from FR Y-9C and equivalent regulatory filings, with daily updates from primary dealer statistics where available.</w:t>
      </w:r>
    </w:p>
    <w:p>
      <w:pPr>
        <w:pStyle w:val="ListParagraph"/>
        <w:numPr>
          <w:ilvl w:val="0"/>
          <w:numId w:val="2"/>
        </w:numPr>
        <w:spacing w:after="100"/>
      </w:pPr>
      <w:r>
        <w:t xml:space="preserve">Repo market size, composition, and haircut schedules, drawn from OFR data and DTCC reports.</w:t>
      </w:r>
    </w:p>
    <w:p>
      <w:pPr>
        <w:pStyle w:val="ListParagraph"/>
        <w:numPr>
          <w:ilvl w:val="0"/>
          <w:numId w:val="2"/>
        </w:numPr>
        <w:spacing w:after="100"/>
      </w:pPr>
      <w:r>
        <w:t xml:space="preserve">Asset-backed commercial paper outstanding, by collateral type.</w:t>
      </w:r>
    </w:p>
    <w:p>
      <w:pPr>
        <w:pStyle w:val="ListParagraph"/>
        <w:numPr>
          <w:ilvl w:val="0"/>
          <w:numId w:val="2"/>
        </w:numPr>
        <w:spacing w:after="100"/>
      </w:pPr>
      <w:r>
        <w:t xml:space="preserve">Margin debt at retail brokerages, both absolute and as a share of market capitalization.</w:t>
      </w:r>
    </w:p>
    <w:p>
      <w:pPr>
        <w:pStyle w:val="ListParagraph"/>
        <w:numPr>
          <w:ilvl w:val="0"/>
          <w:numId w:val="2"/>
        </w:numPr>
        <w:spacing w:after="100"/>
      </w:pPr>
      <w:r>
        <w:t xml:space="preserve">Hedge fund gross and net exposures, from regulatory filings, with attention to crowded trades.</w:t>
      </w:r>
    </w:p>
    <w:p>
      <w:pPr>
        <w:pStyle w:val="ListParagraph"/>
        <w:numPr>
          <w:ilvl w:val="0"/>
          <w:numId w:val="2"/>
        </w:numPr>
        <w:spacing w:after="100"/>
      </w:pPr>
      <w:r>
        <w:t xml:space="preserve">Bank loan-to-deposit ratios, with attention to the wholesale funding share.</w:t>
      </w:r>
    </w:p>
    <w:p>
      <w:pPr>
        <w:pStyle w:val="ListParagraph"/>
        <w:numPr>
          <w:ilvl w:val="0"/>
          <w:numId w:val="2"/>
        </w:numPr>
        <w:spacing w:after="100"/>
      </w:pPr>
      <w:r>
        <w:t xml:space="preserve">Maturity transformation across the system: average duration of assets versus average duration of funding, by sector.</w:t>
      </w:r>
    </w:p>
    <w:p>
      <w:pPr>
        <w:spacing w:after="200"/>
      </w:pPr>
      <w:r>
        <w:t xml:space="preserve">Each metric is shown both in absolute terms and as a percentile against its own history. Crashes do not happen when these numbers are merely high. They happen when several of them are simultaneously at historical extremes. The display surfaces that pattern.</w:t>
      </w:r>
    </w:p>
    <w:p>
      <w:pPr>
        <w:pStyle w:val="Heading2"/>
      </w:pPr>
      <w:r>
        <w:t xml:space="preserve">Module two: mispricing indicators</w:t>
      </w:r>
    </w:p>
    <w:p>
      <w:pPr>
        <w:spacing w:after="200"/>
      </w:pPr>
      <w:r>
        <w:t xml:space="preserve">The second module measures the gap between asset prices and the income or use-value the assets can plausibly deliver.</w:t>
      </w:r>
    </w:p>
    <w:p>
      <w:pPr>
        <w:pStyle w:val="ListParagraph"/>
        <w:numPr>
          <w:ilvl w:val="0"/>
          <w:numId w:val="2"/>
        </w:numPr>
        <w:spacing w:after="100"/>
      </w:pPr>
      <w:r>
        <w:t xml:space="preserve">Cyclically adjusted price-to-earnings ratios for major equity indices and sectors.</w:t>
      </w:r>
    </w:p>
    <w:p>
      <w:pPr>
        <w:pStyle w:val="ListParagraph"/>
        <w:numPr>
          <w:ilvl w:val="0"/>
          <w:numId w:val="2"/>
        </w:numPr>
        <w:spacing w:after="100"/>
      </w:pPr>
      <w:r>
        <w:t xml:space="preserve">Share of publicly traded firms with negative trailing twelve-month earnings.</w:t>
      </w:r>
    </w:p>
    <w:p>
      <w:pPr>
        <w:pStyle w:val="ListParagraph"/>
        <w:numPr>
          <w:ilvl w:val="0"/>
          <w:numId w:val="2"/>
        </w:numPr>
        <w:spacing w:after="100"/>
      </w:pPr>
      <w:r>
        <w:t xml:space="preserve">Aggregate cash burn rate across negative-earning firms; months until balance-sheet exhaustion at current rates.</w:t>
      </w:r>
    </w:p>
    <w:p>
      <w:pPr>
        <w:pStyle w:val="ListParagraph"/>
        <w:numPr>
          <w:ilvl w:val="0"/>
          <w:numId w:val="2"/>
        </w:numPr>
        <w:spacing w:after="100"/>
      </w:pPr>
      <w:r>
        <w:t xml:space="preserve">Credit spreads on speculative-grade debt versus historical norms, with attention to the distribution rather than the median.</w:t>
      </w:r>
    </w:p>
    <w:p>
      <w:pPr>
        <w:pStyle w:val="ListParagraph"/>
        <w:numPr>
          <w:ilvl w:val="0"/>
          <w:numId w:val="2"/>
        </w:numPr>
        <w:spacing w:after="100"/>
      </w:pPr>
      <w:r>
        <w:t xml:space="preserve">Implied versus realized correlations in structured products.</w:t>
      </w:r>
    </w:p>
    <w:p>
      <w:pPr>
        <w:pStyle w:val="ListParagraph"/>
        <w:numPr>
          <w:ilvl w:val="0"/>
          <w:numId w:val="2"/>
        </w:numPr>
        <w:spacing w:after="100"/>
      </w:pPr>
      <w:r>
        <w:t xml:space="preserve">Real estate price-to-rent ratios by metropolitan area.</w:t>
      </w:r>
    </w:p>
    <w:p>
      <w:pPr>
        <w:pStyle w:val="ListParagraph"/>
        <w:numPr>
          <w:ilvl w:val="0"/>
          <w:numId w:val="2"/>
        </w:numPr>
        <w:spacing w:after="100"/>
      </w:pPr>
      <w:r>
        <w:t xml:space="preserve">IPO and SPAC volumes, with attention to the share of issuances priced above any reasonable fundamental anchor.</w:t>
      </w:r>
    </w:p>
    <w:p>
      <w:pPr>
        <w:spacing w:after="200"/>
      </w:pPr>
      <w:r>
        <w:t xml:space="preserve">These are not predictions of returns. They are measurements of how aggressive the price assumptions baked into the current market are. The historical record shows that when several of these indicators are at extremes simultaneously, the configuration is fragile.</w:t>
      </w:r>
    </w:p>
    <w:p>
      <w:pPr>
        <w:pStyle w:val="Heading2"/>
      </w:pPr>
      <w:r>
        <w:t xml:space="preserve">Module three: network and concentration</w:t>
      </w:r>
    </w:p>
    <w:p>
      <w:pPr>
        <w:spacing w:after="200"/>
      </w:pPr>
      <w:r>
        <w:t xml:space="preserve">The third module measures how concentrated and interconnected the relevant financial intermediaries have become. A shock to a well-distributed system fades; a shock to a concentrated system cascades.</w:t>
      </w:r>
    </w:p>
    <w:p>
      <w:pPr>
        <w:pStyle w:val="ListParagraph"/>
        <w:numPr>
          <w:ilvl w:val="0"/>
          <w:numId w:val="2"/>
        </w:numPr>
        <w:spacing w:after="100"/>
      </w:pPr>
      <w:r>
        <w:t xml:space="preserve">Counterparty concentration in the major derivatives clearing houses.</w:t>
      </w:r>
    </w:p>
    <w:p>
      <w:pPr>
        <w:pStyle w:val="ListParagraph"/>
        <w:numPr>
          <w:ilvl w:val="0"/>
          <w:numId w:val="2"/>
        </w:numPr>
        <w:spacing w:after="100"/>
      </w:pPr>
      <w:r>
        <w:t xml:space="preserve">Share of dealer-bank activity intermediated through the top five firms.</w:t>
      </w:r>
    </w:p>
    <w:p>
      <w:pPr>
        <w:pStyle w:val="ListParagraph"/>
        <w:numPr>
          <w:ilvl w:val="0"/>
          <w:numId w:val="2"/>
        </w:numPr>
        <w:spacing w:after="100"/>
      </w:pPr>
      <w:r>
        <w:t xml:space="preserve">Cross-holdings of bank debt by other banks, by jurisdiction.</w:t>
      </w:r>
    </w:p>
    <w:p>
      <w:pPr>
        <w:pStyle w:val="ListParagraph"/>
        <w:numPr>
          <w:ilvl w:val="0"/>
          <w:numId w:val="2"/>
        </w:numPr>
        <w:spacing w:after="100"/>
      </w:pPr>
      <w:r>
        <w:t xml:space="preserve">Money market fund exposure to commercial paper from the largest financial issuers.</w:t>
      </w:r>
    </w:p>
    <w:p>
      <w:pPr>
        <w:pStyle w:val="ListParagraph"/>
        <w:numPr>
          <w:ilvl w:val="0"/>
          <w:numId w:val="2"/>
        </w:numPr>
        <w:spacing w:after="100"/>
      </w:pPr>
      <w:r>
        <w:t xml:space="preserve">Pension fund and insurance company holdings of structured credit, by tranche.</w:t>
      </w:r>
    </w:p>
    <w:p>
      <w:pPr>
        <w:pStyle w:val="ListParagraph"/>
        <w:numPr>
          <w:ilvl w:val="0"/>
          <w:numId w:val="2"/>
        </w:numPr>
        <w:spacing w:after="100"/>
      </w:pPr>
      <w:r>
        <w:t xml:space="preserve">Foreign holdings of dollar-denominated short-term debt, and the rollover schedule of that debt.</w:t>
      </w:r>
    </w:p>
    <w:p>
      <w:pPr>
        <w:spacing w:after="200"/>
      </w:pPr>
      <w:r>
        <w:t xml:space="preserve">This module is the hardest to populate because much of the data is not public in real time and has to be assembled from quarterly filings and OFR reports with substantial lag. Where lag is unavoidable, the application notes it explicitly rather than smoothing it over.</w:t>
      </w:r>
    </w:p>
    <w:p>
      <w:pPr>
        <w:pStyle w:val="Heading2"/>
      </w:pPr>
      <w:r>
        <w:t xml:space="preserve">Module four: derivative overhang</w:t>
      </w:r>
    </w:p>
    <w:p>
      <w:pPr>
        <w:spacing w:after="200"/>
      </w:pPr>
      <w:r>
        <w:t xml:space="preserve">The fourth module tracks the notional and gross-market-value outstanding of derivatives written on the assets covered by the first three modules.</w:t>
      </w:r>
    </w:p>
    <w:p>
      <w:pPr>
        <w:pStyle w:val="ListParagraph"/>
        <w:numPr>
          <w:ilvl w:val="0"/>
          <w:numId w:val="2"/>
        </w:numPr>
        <w:spacing w:after="100"/>
      </w:pPr>
      <w:r>
        <w:t xml:space="preserve">Gross notional and gross market value of interest rate, credit, equity, and commodity derivatives, drawn from BIS semiannual data with updates from DTCC trade repository where available.</w:t>
      </w:r>
    </w:p>
    <w:p>
      <w:pPr>
        <w:pStyle w:val="ListParagraph"/>
        <w:numPr>
          <w:ilvl w:val="0"/>
          <w:numId w:val="2"/>
        </w:numPr>
        <w:spacing w:after="100"/>
      </w:pPr>
      <w:r>
        <w:t xml:space="preserve">Credit default swap notional outstanding on each major sector and the largest single-name reference entities.</w:t>
      </w:r>
    </w:p>
    <w:p>
      <w:pPr>
        <w:pStyle w:val="ListParagraph"/>
        <w:numPr>
          <w:ilvl w:val="0"/>
          <w:numId w:val="2"/>
        </w:numPr>
        <w:spacing w:after="100"/>
      </w:pPr>
      <w:r>
        <w:t xml:space="preserve">Ratio of notional derivatives to the underlying asset float, sector by sector.</w:t>
      </w:r>
    </w:p>
    <w:p>
      <w:pPr>
        <w:pStyle w:val="ListParagraph"/>
        <w:numPr>
          <w:ilvl w:val="0"/>
          <w:numId w:val="2"/>
        </w:numPr>
        <w:spacing w:after="100"/>
      </w:pPr>
      <w:r>
        <w:t xml:space="preserve">Open interest concentration in major futures and options markets, with attention to single-name dealer dominance.</w:t>
      </w:r>
    </w:p>
    <w:p>
      <w:pPr>
        <w:spacing w:after="200"/>
      </w:pPr>
      <w:r>
        <w:t xml:space="preserve">This module exists because the 2008 cascade was substantially driven by derivatives whose notional values dwarfed the underlying assets and whose payouts concentrated losses on a small number of dealers. Any future cascade will likely run through similar plumbing, and the plumbing should be visible.</w:t>
      </w:r>
    </w:p>
    <w:p>
      <w:pPr>
        <w:pStyle w:val="Heading2"/>
      </w:pPr>
      <w:r>
        <w:t xml:space="preserve">Module five: regime classifier</w:t>
      </w:r>
    </w:p>
    <w:p>
      <w:pPr>
        <w:spacing w:after="200"/>
      </w:pPr>
      <w:r>
        <w:t xml:space="preserve">The fifth module reads the outputs of the first four and assigns the current financial environment to one of a small number of historically-defined regimes:</w:t>
      </w:r>
    </w:p>
    <w:p>
      <w:pPr>
        <w:pStyle w:val="ListParagraph"/>
        <w:numPr>
          <w:ilvl w:val="0"/>
          <w:numId w:val="2"/>
        </w:numPr>
        <w:spacing w:after="100"/>
      </w:pPr>
      <w:r>
        <w:t xml:space="preserve">Quiet: leverage moderate, mispricing limited, concentration manageable, derivative overhang stable. The configuration historically associated with multi-year expansions.</w:t>
      </w:r>
    </w:p>
    <w:p>
      <w:pPr>
        <w:pStyle w:val="ListParagraph"/>
        <w:numPr>
          <w:ilvl w:val="0"/>
          <w:numId w:val="2"/>
        </w:numPr>
        <w:spacing w:after="100"/>
      </w:pPr>
      <w:r>
        <w:t xml:space="preserve">Inflating: leverage rising in one or two sectors, mispricing extreme in those sectors, derivative volumes rising. The configuration of 2004–2006, 1998–1999, 1927–1928.</w:t>
      </w:r>
    </w:p>
    <w:p>
      <w:pPr>
        <w:pStyle w:val="ListParagraph"/>
        <w:numPr>
          <w:ilvl w:val="0"/>
          <w:numId w:val="2"/>
        </w:numPr>
        <w:spacing w:after="100"/>
      </w:pPr>
      <w:r>
        <w:t xml:space="preserve">Fragile: leverage at historical extremes across multiple sectors, mispricing extreme, concentration high, derivative overhang large. The configuration of late 2007, late 1999 through early 2000, mid-1929.</w:t>
      </w:r>
    </w:p>
    <w:p>
      <w:pPr>
        <w:pStyle w:val="ListParagraph"/>
        <w:numPr>
          <w:ilvl w:val="0"/>
          <w:numId w:val="2"/>
        </w:numPr>
        <w:spacing w:after="100"/>
      </w:pPr>
      <w:r>
        <w:t xml:space="preserve">Unwinding: one of the above configurations now showing rising spreads, falling collateral values, or initial defaults. The configuration of late 1929, late 2000, late 2007.</w:t>
      </w:r>
    </w:p>
    <w:p>
      <w:pPr>
        <w:spacing w:after="200"/>
      </w:pPr>
      <w:r>
        <w:t xml:space="preserve">The classifier does not predict when a Fragile regime will tip into Unwinding. That depends on the trigger, which is by nature unpredictable. What the classifier does is tell the user: you are currently in a regime in which a small shock historically produces a large response. That is a substantively different statement from a probabilistic point forecast, and it is the only statement about financial crashes that the historical record actually supports.</w:t>
      </w:r>
    </w:p>
    <w:p>
      <w:pPr>
        <w:pStyle w:val="Heading2"/>
      </w:pPr>
      <w:r>
        <w:t xml:space="preserve">Module six: explicit non-claims</w:t>
      </w:r>
    </w:p>
    <w:p>
      <w:pPr>
        <w:spacing w:after="200"/>
      </w:pPr>
      <w:r>
        <w:t xml:space="preserve">The application includes a permanent panel listing what it does not do. It does not forecast GDP. It does not predict unemployment. It does not assess the political stability of the United States. It does not have a view on civilizational decline. It does not tell the user when to sell. It identifies a regime; the user does the rest. This panel exists because the absence of such a panel is what allows Dalio-style products to function. Every legitimate forecasting tool should be transparent about its scope, and most of the existing ones are not.</w:t>
      </w:r>
    </w:p>
    <w:p>
      <w:pPr>
        <w:pStyle w:val="Heading2"/>
      </w:pPr>
      <w:r>
        <w:t xml:space="preserve">Implementation notes</w:t>
      </w:r>
    </w:p>
    <w:p>
      <w:pPr>
        <w:spacing w:after="200"/>
      </w:pPr>
      <w:r>
        <w:t xml:space="preserve">Data sources fall into three tiers. The first tier is public real-time data: equity prices, options volumes, credit spreads, primary dealer statistics, Treasury auction results. This can be pulled from standard market data feeds. The second tier is regulatory filings with quarterly or semiannual cadence: FR Y-9C, BIS derivatives data, OFR reports, hedge fund Form PF filings, money market fund N-MFP filings. These require an ingestion pipeline that updates on the relevant cadence and flags the lag. The third tier is data that is not currently public and would have to be inferred from proxies: shadow banking activity, off-balance-sheet exposures, true counterparty networks. For this tier the application uses the best available proxies and clearly marks the uncertainty.</w:t>
      </w:r>
    </w:p>
    <w:p>
      <w:pPr>
        <w:spacing w:after="200"/>
      </w:pPr>
      <w:r>
        <w:t xml:space="preserve">The architecture is unremarkable: an ingestion layer that pulls each data source on its native cadence, a normalization layer that aligns the series and computes historical percentiles, an analytics layer that runs the regime classifier, and a presentation layer that shows the current state of each module and the resulting regime assessment. None of this is technically hard. The reason no mainstream institution has built it is not technical. It is that the institutions positioned to build it are the same institutions whose business model depends on the current financial cycle continuing, and a tool that flagged the configuration would be inconvenient for the people who would have to fund it. So it does not get built. The blueprint above is the version that would be built if the obstacle were technical rather than institutional.</w:t>
      </w:r>
    </w:p>
    <w:p>
      <w:pPr>
        <w:pStyle w:val="Heading2"/>
      </w:pPr>
      <w:r>
        <w:t xml:space="preserve">Closing</w:t>
      </w:r>
    </w:p>
    <w:p>
      <w:pPr>
        <w:spacing w:after="200"/>
      </w:pPr>
      <w:r>
        <w:t xml:space="preserve">History does not say financial crashes are unpredictable. It says they are unpredictable from the variables economists track. The same history says they are detectable in advance from the financial variables that economists do not track. The application sketched here is the minimum apparatus required to do the second thing. It would not eliminate crashes; nothing can. It would do something more modest and more useful: it would tell anyone watching, in clear language, when the financial system has entered a configuration in which a crash has become likely. That is the kind of prediction the historical record supports, and it is the kind of prediction that is currently not being made by any institution whose results are made public.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2026-05-27T03:22:48.180Z</dcterms:created>
  <dcterms:modified xsi:type="dcterms:W3CDTF">2026-05-27T03:22:48.180Z</dcterms:modified>
</cp:coreProperties>
</file>

<file path=docProps/custom.xml><?xml version="1.0" encoding="utf-8"?>
<Properties xmlns="http://schemas.openxmlformats.org/officeDocument/2006/custom-properties" xmlns:vt="http://schemas.openxmlformats.org/officeDocument/2006/docPropsVTypes"/>
</file>