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pacing w:val="30"/>
          <w:sz w:val="30"/>
          <w:szCs w:val="30"/>
        </w:rPr>
        <w:t xml:space="preserve">ZHI SYSTEMS</w:t>
      </w:r>
    </w:p>
    <w:p>
      <w:pPr>
        <w:spacing w:after="40"/>
      </w:pPr>
      <w:r>
        <w:rPr>
          <w:color w:val="595959"/>
          <w:sz w:val="20"/>
          <w:szCs w:val="20"/>
        </w:rPr>
        <w:t xml:space="preserve">AI-Powered Courseware &amp; Outcomes Infrastructure</w:t>
      </w:r>
    </w:p>
    <w:p>
      <w:pPr>
        <w:pBdr>
          <w:bottom w:val="single" w:color="BFBFBF" w:sz="6" w:space="1"/>
        </w:pBdr>
        <w:spacing w:after="160"/>
      </w:pPr>
      <w:r>
        <w:rPr>
          <w:sz w:val="2"/>
          <w:szCs w:val="2"/>
        </w:rPr>
        <w:t xml:space="preserve"/>
      </w:r>
    </w:p>
    <w:p>
      <w:pPr>
        <w:spacing w:after="20"/>
        <w:jc w:val="left"/>
      </w:pPr>
      <w:r>
        <w:rPr>
          <w:b/>
          <w:bCs/>
          <w:sz w:val="24"/>
          <w:szCs w:val="24"/>
        </w:rPr>
        <w:t xml:space="preserve">A Single-Course Proposal for California State University, Fresno</w:t>
      </w:r>
    </w:p>
    <w:p>
      <w:pPr>
        <w:spacing w:after="60"/>
      </w:pPr>
      <w:r>
        <w:rPr>
          <w:i/>
          <w:iCs/>
          <w:color w:val="595959"/>
          <w:sz w:val="21"/>
          <w:szCs w:val="21"/>
        </w:rPr>
        <w:t xml:space="preserve">Replacing Developmental Mathematics with a Career-Aligned, Diagnostically Verified Course</w:t>
      </w:r>
    </w:p>
    <w:p>
      <w:pPr>
        <w:pBdr>
          <w:bottom w:val="single" w:color="BFBFBF" w:sz="6" w:space="1"/>
        </w:pBdr>
        <w:spacing w:after="160"/>
      </w:pPr>
      <w:r>
        <w:rPr>
          <w:sz w:val="2"/>
          <w:szCs w:val="2"/>
        </w:rPr>
        <w:t xml:space="preserve"/>
      </w:r>
    </w:p>
    <w:p>
      <w:pPr>
        <w:pStyle w:val="Heading1"/>
        <w:spacing w:after="140" w:before="320"/>
      </w:pPr>
      <w:r>
        <w:rPr>
          <w:b/>
          <w:bCs/>
          <w:color w:val="1F3864"/>
          <w:sz w:val="26"/>
          <w:szCs w:val="26"/>
        </w:rPr>
        <w:t xml:space="preserve">THE OPPORTUNITY</w:t>
      </w:r>
    </w:p>
    <w:p>
      <w:pPr>
        <w:spacing w:after="140" w:line="276"/>
        <w:jc w:val="both"/>
      </w:pPr>
      <w:r>
        <w:rPr>
          <w:sz w:val="21"/>
          <w:szCs w:val="21"/>
        </w:rPr>
        <w:t xml:space="preserve">Fresno State serves one of the most diverse and economically dynamic regions in California, and its public mission rests on a single promise: that a degree should translate into real, demonstrable workplace capability for the students of the Central Valley who earn it. As a Hispanic-Serving Institution operating under the CSU Graduation Initiative 2025, the university is judged not only on access but on completion, equity-gap closure, and post-graduation outcomes. Nowhere is that judgment sharper than at the very first gate a first-year student passes through: Developmental Mathematics.</w:t>
      </w:r>
    </w:p>
    <w:p>
      <w:pPr>
        <w:spacing w:after="140" w:line="276"/>
        <w:jc w:val="both"/>
      </w:pPr>
      <w:r>
        <w:rPr>
          <w:sz w:val="21"/>
          <w:szCs w:val="21"/>
        </w:rPr>
        <w:t xml:space="preserve">This is the single course where the Valley's first-generation students are most likely to stall, repeat, or leave entirely. It is also the course where a fix compounds fastest, because every student who clears the developmental-math requirement on the first attempt stays enrolled, keeps generating tuition and state apportionment, and moves on to the credit-bearing sequence the degree actually requires. The remaining gap is infrastructure -- a way to deliver this high-enrollment gateway at scale while proving that the students who complete it have genuinely acquired the quantitative competency the requirement claims to certify.</w:t>
      </w:r>
    </w:p>
    <w:p>
      <w:pPr>
        <w:spacing w:after="140" w:line="276"/>
        <w:jc w:val="both"/>
      </w:pPr>
      <w:r>
        <w:rPr>
          <w:sz w:val="21"/>
          <w:szCs w:val="21"/>
        </w:rPr>
        <w:t xml:space="preserve">Zhi Systems builds that infrastructure. We supply an AI-powered replacement for your Developmental Mathematics course, carrying embedded diagnostics that verify quantitative readiness against live standards. The result is lower delivery cost, stronger retention at the exact point of highest first-year attrition, and outcomes evidence the university can put in front of the Chancellor's Office and WSCUC.</w:t>
      </w:r>
    </w:p>
    <w:p>
      <w:pPr>
        <w:pStyle w:val="Heading1"/>
        <w:spacing w:after="140" w:before="320"/>
      </w:pPr>
      <w:r>
        <w:rPr>
          <w:b/>
          <w:bCs/>
          <w:color w:val="1F3864"/>
          <w:sz w:val="26"/>
          <w:szCs w:val="26"/>
        </w:rPr>
        <w:t xml:space="preserve">WHAT WE DELIVER</w:t>
      </w:r>
    </w:p>
    <w:p>
      <w:pPr>
        <w:pStyle w:val="Heading2"/>
        <w:spacing w:after="100" w:before="220"/>
      </w:pPr>
      <w:r>
        <w:rPr>
          <w:b/>
          <w:bCs/>
          <w:color w:val="2E5496"/>
          <w:sz w:val="23"/>
          <w:szCs w:val="23"/>
        </w:rPr>
        <w:t xml:space="preserve">1. A fully built replacement course</w:t>
      </w:r>
    </w:p>
    <w:p>
      <w:pPr>
        <w:spacing w:after="140" w:line="276"/>
        <w:jc w:val="both"/>
      </w:pPr>
      <w:r>
        <w:rPr>
          <w:sz w:val="21"/>
          <w:szCs w:val="21"/>
        </w:rPr>
        <w:t xml:space="preserve">We deliver Developmental Mathematics as a complete, AI-powered course, ready to drop into Canvas. It is designed for the corequisite and gateway model Fresno State already runs: adaptive sequencing that meets each student where they are, continuous formative feedback, and instructor-facing analytics that surface the students at risk of stalling while there is still time to intervene. It replaces -- rather than supplements -- the existing section delivery, so the institution captures the full cost and outcomes benefit rather than layering a new tool on top of an old one.</w:t>
      </w:r>
    </w:p>
    <w:p>
      <w:pPr>
        <w:pStyle w:val="Heading2"/>
        <w:spacing w:after="100" w:before="220"/>
      </w:pPr>
      <w:r>
        <w:rPr>
          <w:b/>
          <w:bCs/>
          <w:color w:val="2E5496"/>
          <w:sz w:val="23"/>
          <w:szCs w:val="23"/>
        </w:rPr>
        <w:t xml:space="preserve">2. Embedded job-readiness diagnostics</w:t>
      </w:r>
    </w:p>
    <w:p>
      <w:pPr>
        <w:spacing w:after="140" w:line="276"/>
        <w:jc w:val="both"/>
      </w:pPr>
      <w:r>
        <w:rPr>
          <w:sz w:val="21"/>
          <w:szCs w:val="21"/>
        </w:rPr>
        <w:t xml:space="preserve">The course ships with diagnostics that do more than grade -- they measure whether a student has actually acquired the quantitative competency the requirement claims, and they recalibrate continuously against current standards. This converts the university's readiness commitment from a statement of intent into auditable, employer-facing evidence.</w:t>
      </w:r>
    </w:p>
    <w:p>
      <w:pPr>
        <w:pStyle w:val="ListParagraph"/>
        <w:numPr>
          <w:ilvl w:val="0"/>
          <w:numId w:val="1"/>
        </w:numPr>
        <w:spacing w:after="80" w:line="264"/>
      </w:pPr>
      <w:r>
        <w:rPr>
          <w:sz w:val="21"/>
          <w:szCs w:val="21"/>
        </w:rPr>
        <w:t xml:space="preserve">Competency verification at the course level, not just completion tracking.</w:t>
      </w:r>
    </w:p>
    <w:p>
      <w:pPr>
        <w:pStyle w:val="ListParagraph"/>
        <w:numPr>
          <w:ilvl w:val="0"/>
          <w:numId w:val="1"/>
        </w:numPr>
        <w:spacing w:after="80" w:line="264"/>
      </w:pPr>
      <w:r>
        <w:rPr>
          <w:sz w:val="21"/>
          <w:szCs w:val="21"/>
        </w:rPr>
        <w:t xml:space="preserve">Continuous calibration against live quantitative-readiness and regional-employer norms.</w:t>
      </w:r>
    </w:p>
    <w:p>
      <w:pPr>
        <w:pStyle w:val="ListParagraph"/>
        <w:numPr>
          <w:ilvl w:val="0"/>
          <w:numId w:val="1"/>
        </w:numPr>
        <w:spacing w:after="80" w:line="264"/>
      </w:pPr>
      <w:r>
        <w:rPr>
          <w:sz w:val="21"/>
          <w:szCs w:val="21"/>
        </w:rPr>
        <w:t xml:space="preserve">Outcomes data formatted for WSCUC review and Graduation Initiative reporting.</w:t>
      </w:r>
    </w:p>
    <w:p>
      <w:pPr>
        <w:pStyle w:val="Heading1"/>
        <w:spacing w:after="140" w:before="320"/>
      </w:pPr>
      <w:r>
        <w:rPr>
          <w:b/>
          <w:bCs/>
          <w:color w:val="1F3864"/>
          <w:sz w:val="26"/>
          <w:szCs w:val="26"/>
        </w:rPr>
        <w:t xml:space="preserve">THE UNMEASURED GATE: DEVELOPMENTAL MATH AS CURRENTLY TAUGHT</w:t>
      </w:r>
    </w:p>
    <w:p>
      <w:pPr>
        <w:spacing w:after="140" w:line="276"/>
        <w:jc w:val="both"/>
      </w:pPr>
      <w:r>
        <w:rPr>
          <w:sz w:val="21"/>
          <w:szCs w:val="21"/>
        </w:rPr>
        <w:t xml:space="preserve">Here is the uncomfortable truth the replacement is built to fix. Developmental Mathematics at Fresno State today operates as a bottleneck with no internal verification of the thing it exists to produce. It records who passed and who did not, but it cannot show that a student who clears it reasons quantitatively any more reliably than one who was placed directly into credit-bearing work, and it cannot distinguish a student who genuinely acquired the competency from one who simply survived the sequence. It consumes a disproportionate share of first-year attrition, occupies required seats, and generates completions -- while producing no verifiable evidence of the competency gain it is meant to certify.</w:t>
      </w:r>
    </w:p>
    <w:p>
      <w:pPr>
        <w:spacing w:after="140" w:line="276"/>
        <w:jc w:val="both"/>
      </w:pPr>
      <w:r>
        <w:rPr>
          <w:sz w:val="21"/>
          <w:szCs w:val="21"/>
        </w:rPr>
        <w:t xml:space="preserve">This is not an argument against developmental support -- it is an argument against the absence of measurement. Quantitative fluency is among the most genuinely useful competencies a graduate can carry into any analytic, technical, financial, or managerial career. But potential is not evidence. As delivered now, the course asserts readiness it never tests. Zhi Systems closes precisely this gap. Our embedded diagnostics attach a live, external benchmark to the course, so that for the first time the university can prove -- by the course's own lights and by the market's -- that the students who complete it actually get better at the thing the course exists to teach.</w:t>
      </w:r>
    </w:p>
    <w:p>
      <w:pPr>
        <w:pStyle w:val="Heading1"/>
        <w:spacing w:after="140" w:before="320"/>
      </w:pPr>
      <w:r>
        <w:rPr>
          <w:b/>
          <w:bCs/>
          <w:color w:val="1F3864"/>
          <w:sz w:val="26"/>
          <w:szCs w:val="26"/>
        </w:rPr>
        <w:t xml:space="preserve">INVESTMENT</w:t>
      </w:r>
    </w:p>
    <w:p>
      <w:pPr>
        <w:spacing w:after="140" w:line="276"/>
        <w:jc w:val="both"/>
      </w:pPr>
      <w:r>
        <w:rPr>
          <w:sz w:val="21"/>
          <w:szCs w:val="21"/>
        </w:rPr>
        <w:t xml:space="preserve">Pricing is transparent and fixed: a one-time install per component and a flat annual license. There is no per-seat metering and no enrollment-based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1F3864" w:color="auto" w:val="clear"/>
            <w:tcMar>
              <w:top w:type="dxa" w:w="60"/>
              <w:left w:type="dxa" w:w="100"/>
              <w:bottom w:type="dxa" w:w="60"/>
              <w:right w:type="dxa" w:w="100"/>
            </w:tcMar>
          </w:tcPr>
          <w:p>
            <w:pPr>
              <w:jc w:val="left"/>
            </w:pPr>
            <w:r>
              <w:rPr>
                <w:b/>
                <w:bCs/>
                <w:color w:val="FFFFFF"/>
                <w:sz w:val="20"/>
                <w:szCs w:val="20"/>
              </w:rPr>
              <w:t xml:space="preserve">Component</w:t>
            </w:r>
          </w:p>
        </w:tc>
        <w:tc>
          <w:tcPr>
            <w:tcW w:type="dxa" w:w="2400"/>
            <w:shd w:fill="1F3864" w:color="auto" w:val="clear"/>
            <w:tcMar>
              <w:top w:type="dxa" w:w="60"/>
              <w:left w:type="dxa" w:w="100"/>
              <w:bottom w:type="dxa" w:w="60"/>
              <w:right w:type="dxa" w:w="100"/>
            </w:tcMar>
          </w:tcPr>
          <w:p>
            <w:pPr>
              <w:jc w:val="right"/>
            </w:pPr>
            <w:r>
              <w:rPr>
                <w:b/>
                <w:bCs/>
                <w:color w:val="FFFFFF"/>
                <w:sz w:val="20"/>
                <w:szCs w:val="20"/>
              </w:rPr>
              <w:t xml:space="preserve">One-time install</w:t>
            </w:r>
          </w:p>
        </w:tc>
        <w:tc>
          <w:tcPr>
            <w:tcW w:type="dxa" w:w="2400"/>
            <w:shd w:fill="1F3864" w:color="auto" w:val="clear"/>
            <w:tcMar>
              <w:top w:type="dxa" w:w="60"/>
              <w:left w:type="dxa" w:w="100"/>
              <w:bottom w:type="dxa" w:w="60"/>
              <w:right w:type="dxa" w:w="100"/>
            </w:tcMar>
          </w:tcPr>
          <w:p>
            <w:pPr>
              <w:jc w:val="right"/>
            </w:pPr>
            <w:r>
              <w:rPr>
                <w:b/>
                <w:bCs/>
                <w:color w:val="FFFFFF"/>
                <w:sz w:val="20"/>
                <w:szCs w:val="20"/>
              </w:rPr>
              <w:t xml:space="preserve">Annual license</w:t>
            </w:r>
          </w:p>
        </w:tc>
      </w:tr>
      <w:tr>
        <w:tc>
          <w:tcPr>
            <w:tcW w:type="dxa" w:w="4560"/>
            <w:tcMar>
              <w:top w:type="dxa" w:w="60"/>
              <w:left w:type="dxa" w:w="100"/>
              <w:bottom w:type="dxa" w:w="60"/>
              <w:right w:type="dxa" w:w="100"/>
            </w:tcMar>
          </w:tcPr>
          <w:p>
            <w:pPr>
              <w:jc w:val="left"/>
            </w:pPr>
            <w:r>
              <w:rPr>
                <w:b w:val="false"/>
                <w:bCs w:val="false"/>
                <w:sz w:val="20"/>
                <w:szCs w:val="20"/>
              </w:rPr>
              <w:t xml:space="preserve">Developmental Mathematics courseware (single AI-powered course, Canvas-ready)</w:t>
            </w:r>
          </w:p>
        </w:tc>
        <w:tc>
          <w:tcPr>
            <w:tcW w:type="dxa" w:w="2400"/>
            <w:tcMar>
              <w:top w:type="dxa" w:w="60"/>
              <w:left w:type="dxa" w:w="100"/>
              <w:bottom w:type="dxa" w:w="60"/>
              <w:right w:type="dxa" w:w="100"/>
            </w:tcMar>
          </w:tcPr>
          <w:p>
            <w:pPr>
              <w:jc w:val="right"/>
            </w:pPr>
            <w:r>
              <w:rPr>
                <w:b w:val="false"/>
                <w:bCs w:val="false"/>
                <w:sz w:val="20"/>
                <w:szCs w:val="20"/>
              </w:rPr>
              <w:t xml:space="preserve">$85,000</w:t>
            </w:r>
          </w:p>
        </w:tc>
        <w:tc>
          <w:tcPr>
            <w:tcW w:type="dxa" w:w="2400"/>
            <w:tcMar>
              <w:top w:type="dxa" w:w="60"/>
              <w:left w:type="dxa" w:w="100"/>
              <w:bottom w:type="dxa" w:w="60"/>
              <w:right w:type="dxa" w:w="100"/>
            </w:tcMar>
          </w:tcPr>
          <w:p>
            <w:pPr>
              <w:jc w:val="right"/>
            </w:pPr>
            <w:r>
              <w:rPr>
                <w:b w:val="false"/>
                <w:bCs w:val="false"/>
                <w:sz w:val="20"/>
                <w:szCs w:val="20"/>
              </w:rPr>
              <w:t xml:space="preserve">$42,000</w:t>
            </w:r>
          </w:p>
        </w:tc>
      </w:tr>
      <w:tr>
        <w:tc>
          <w:tcPr>
            <w:tcW w:type="dxa" w:w="4560"/>
            <w:shd w:fill="F2F5FA" w:color="auto" w:val="clear"/>
            <w:tcMar>
              <w:top w:type="dxa" w:w="60"/>
              <w:left w:type="dxa" w:w="100"/>
              <w:bottom w:type="dxa" w:w="60"/>
              <w:right w:type="dxa" w:w="100"/>
            </w:tcMar>
          </w:tcPr>
          <w:p>
            <w:pPr>
              <w:jc w:val="left"/>
            </w:pPr>
            <w:r>
              <w:rPr>
                <w:b w:val="false"/>
                <w:bCs w:val="false"/>
                <w:sz w:val="20"/>
                <w:szCs w:val="20"/>
              </w:rPr>
              <w:t xml:space="preserve">Embedded job-readiness diagnostics</w:t>
            </w:r>
          </w:p>
        </w:tc>
        <w:tc>
          <w:tcPr>
            <w:tcW w:type="dxa" w:w="2400"/>
            <w:shd w:fill="F2F5FA" w:color="auto" w:val="clear"/>
            <w:tcMar>
              <w:top w:type="dxa" w:w="60"/>
              <w:left w:type="dxa" w:w="100"/>
              <w:bottom w:type="dxa" w:w="60"/>
              <w:right w:type="dxa" w:w="100"/>
            </w:tcMar>
          </w:tcPr>
          <w:p>
            <w:pPr>
              <w:jc w:val="right"/>
            </w:pPr>
            <w:r>
              <w:rPr>
                <w:b w:val="false"/>
                <w:bCs w:val="false"/>
                <w:sz w:val="20"/>
                <w:szCs w:val="20"/>
              </w:rPr>
              <w:t xml:space="preserve">$28,000</w:t>
            </w:r>
          </w:p>
        </w:tc>
        <w:tc>
          <w:tcPr>
            <w:tcW w:type="dxa" w:w="2400"/>
            <w:shd w:fill="F2F5FA" w:color="auto" w:val="clear"/>
            <w:tcMar>
              <w:top w:type="dxa" w:w="60"/>
              <w:left w:type="dxa" w:w="100"/>
              <w:bottom w:type="dxa" w:w="60"/>
              <w:right w:type="dxa" w:w="100"/>
            </w:tcMar>
          </w:tcPr>
          <w:p>
            <w:pPr>
              <w:jc w:val="right"/>
            </w:pPr>
            <w:r>
              <w:rPr>
                <w:b w:val="false"/>
                <w:bCs w:val="false"/>
                <w:sz w:val="20"/>
                <w:szCs w:val="20"/>
              </w:rPr>
              <w:t xml:space="preserve">$18,000</w:t>
            </w:r>
          </w:p>
        </w:tc>
      </w:tr>
      <w:tr>
        <w:tc>
          <w:tcPr>
            <w:tcW w:type="dxa" w:w="4560"/>
            <w:shd w:fill="DCE3F0" w:color="auto" w:val="clear"/>
            <w:tcMar>
              <w:top w:type="dxa" w:w="60"/>
              <w:left w:type="dxa" w:w="100"/>
              <w:bottom w:type="dxa" w:w="60"/>
              <w:right w:type="dxa" w:w="100"/>
            </w:tcMar>
          </w:tcPr>
          <w:p>
            <w:pPr>
              <w:jc w:val="left"/>
            </w:pPr>
            <w:r>
              <w:rPr>
                <w:b/>
                <w:bCs/>
                <w:sz w:val="20"/>
                <w:szCs w:val="20"/>
              </w:rPr>
              <w:t xml:space="preserve">Total</w:t>
            </w:r>
          </w:p>
        </w:tc>
        <w:tc>
          <w:tcPr>
            <w:tcW w:type="dxa" w:w="2400"/>
            <w:shd w:fill="DCE3F0" w:color="auto" w:val="clear"/>
            <w:tcMar>
              <w:top w:type="dxa" w:w="60"/>
              <w:left w:type="dxa" w:w="100"/>
              <w:bottom w:type="dxa" w:w="60"/>
              <w:right w:type="dxa" w:w="100"/>
            </w:tcMar>
          </w:tcPr>
          <w:p>
            <w:pPr>
              <w:jc w:val="right"/>
            </w:pPr>
            <w:r>
              <w:rPr>
                <w:b/>
                <w:bCs/>
                <w:sz w:val="20"/>
                <w:szCs w:val="20"/>
              </w:rPr>
              <w:t xml:space="preserve">$113,000</w:t>
            </w:r>
          </w:p>
        </w:tc>
        <w:tc>
          <w:tcPr>
            <w:tcW w:type="dxa" w:w="2400"/>
            <w:shd w:fill="DCE3F0" w:color="auto" w:val="clear"/>
            <w:tcMar>
              <w:top w:type="dxa" w:w="60"/>
              <w:left w:type="dxa" w:w="100"/>
              <w:bottom w:type="dxa" w:w="60"/>
              <w:right w:type="dxa" w:w="100"/>
            </w:tcMar>
          </w:tcPr>
          <w:p>
            <w:pPr>
              <w:jc w:val="right"/>
            </w:pPr>
            <w:r>
              <w:rPr>
                <w:b/>
                <w:bCs/>
                <w:sz w:val="20"/>
                <w:szCs w:val="20"/>
              </w:rPr>
              <w:t xml:space="preserve">$60,000</w:t>
            </w:r>
          </w:p>
        </w:tc>
      </w:tr>
    </w:tbl>
    <w:p>
      <w:pPr>
        <w:spacing w:after="60" w:before="140"/>
      </w:pPr>
      <w:r>
        <w:rPr>
          <w:b/>
          <w:bCs/>
          <w:sz w:val="21"/>
          <w:szCs w:val="21"/>
        </w:rPr>
        <w:t xml:space="preserve">First-year total: </w:t>
      </w:r>
      <w:r>
        <w:rPr>
          <w:sz w:val="21"/>
          <w:szCs w:val="21"/>
        </w:rPr>
        <w:t xml:space="preserve">$173,000</w:t>
      </w:r>
      <w:r>
        <w:rPr>
          <w:b/>
          <w:bCs/>
          <w:sz w:val="21"/>
          <w:szCs w:val="21"/>
        </w:rPr>
        <w:t xml:space="preserve">.   Recurring annual license thereafter: </w:t>
      </w:r>
      <w:r>
        <w:rPr>
          <w:sz w:val="21"/>
          <w:szCs w:val="21"/>
        </w:rPr>
        <w:t xml:space="preserve">$60,000</w:t>
      </w:r>
      <w:r>
        <w:rPr>
          <w:sz w:val="21"/>
          <w:szCs w:val="21"/>
        </w:rPr>
        <w:t xml:space="preserve">.</w:t>
      </w:r>
    </w:p>
    <w:p>
      <w:pPr>
        <w:pStyle w:val="Heading1"/>
        <w:spacing w:after="140" w:before="320"/>
      </w:pPr>
      <w:r>
        <w:rPr>
          <w:b/>
          <w:bCs/>
          <w:color w:val="1F3864"/>
          <w:sz w:val="26"/>
          <w:szCs w:val="26"/>
        </w:rPr>
        <w:t xml:space="preserve">WHY THIS PAYS FOR ITSELF</w:t>
      </w:r>
    </w:p>
    <w:p>
      <w:pPr>
        <w:spacing w:after="140" w:line="276"/>
        <w:jc w:val="both"/>
      </w:pPr>
      <w:r>
        <w:rPr>
          <w:sz w:val="21"/>
          <w:szCs w:val="21"/>
        </w:rPr>
        <w:t xml:space="preserve">The package targets the exact course where students leave -- Developmental Mathematics -- and the exact evidence gap that drives accreditor scrutiny. Fresno State's own internal figures put current annual delivery of this single course at roughly $780,000, internal outcomes benchmarking against it at $140,000, and the annual cost of the credentials it fails to convert -- attrition, repeated attempts, and equity-gap funding exposure concentrated at this gate -- at approximately $3.9M. The embedded diagnostics are especially decisive here, where quantitative readiness has always been asserted but rarely measured; for the first time, the competency is made auditable.</w:t>
      </w:r>
    </w:p>
    <w:p>
      <w:pPr>
        <w:spacing w:after="140" w:line="276"/>
        <w:jc w:val="both"/>
      </w:pPr>
      <w:r>
        <w:rPr>
          <w:sz w:val="21"/>
          <w:szCs w:val="21"/>
        </w:rPr>
        <w:t xml:space="preserve">Even a modest improvement in first-attempt pass rates, across an enrollment of your scale, returns the full first-year investment many times over in preserved tuition and state apportionment alone. We are prepared to structure the engagement around agreed retention and outcomes benchmarks, so that the value is measured on your terms, in your numbers. On the institution's own model, the all-in annual cost of inaction on this single course is about $4.82M per year; the all-in cost with Zhi Systems in place is about $1.52M.</w:t>
      </w:r>
    </w:p>
    <w:p>
      <w:pPr>
        <w:pStyle w:val="Heading1"/>
        <w:spacing w:after="140" w:before="320"/>
      </w:pPr>
      <w:r>
        <w:rPr>
          <w:b/>
          <w:bCs/>
          <w:color w:val="1F3864"/>
          <w:sz w:val="26"/>
          <w:szCs w:val="26"/>
        </w:rPr>
        <w:t xml:space="preserve">NEXT STEPS</w:t>
      </w:r>
    </w:p>
    <w:p>
      <w:pPr>
        <w:pStyle w:val="ListParagraph"/>
        <w:numPr>
          <w:ilvl w:val="0"/>
          <w:numId w:val="1"/>
        </w:numPr>
        <w:spacing w:after="80" w:line="264"/>
      </w:pPr>
      <w:r>
        <w:rPr>
          <w:sz w:val="21"/>
          <w:szCs w:val="21"/>
        </w:rPr>
        <w:t xml:space="preserve">A working session to confirm Canvas integration requirements and section-delivery cutover.</w:t>
      </w:r>
    </w:p>
    <w:p>
      <w:pPr>
        <w:pStyle w:val="ListParagraph"/>
        <w:numPr>
          <w:ilvl w:val="0"/>
          <w:numId w:val="1"/>
        </w:numPr>
        <w:spacing w:after="80" w:line="264"/>
      </w:pPr>
      <w:r>
        <w:rPr>
          <w:sz w:val="21"/>
          <w:szCs w:val="21"/>
        </w:rPr>
        <w:t xml:space="preserve">A scoped pilot on a subset of Developmental Mathematics sections, with diagnostics live, to establish a first-attempt pass-rate baseline.</w:t>
      </w:r>
    </w:p>
    <w:p>
      <w:pPr>
        <w:pStyle w:val="ListParagraph"/>
        <w:numPr>
          <w:ilvl w:val="0"/>
          <w:numId w:val="1"/>
        </w:numPr>
        <w:spacing w:after="80" w:line="264"/>
      </w:pPr>
      <w:r>
        <w:rPr>
          <w:sz w:val="21"/>
          <w:szCs w:val="21"/>
        </w:rPr>
        <w:t xml:space="preserve">Full cutover across all Developmental Mathematics sections on a schedule you set.</w:t>
      </w:r>
    </w:p>
    <w:p>
      <w:pPr>
        <w:pBdr>
          <w:bottom w:val="single" w:color="BFBFBF" w:sz="6" w:space="1"/>
        </w:pBdr>
        <w:spacing w:after="160"/>
      </w:pPr>
      <w:r>
        <w:rPr>
          <w:sz w:val="2"/>
          <w:szCs w:val="2"/>
        </w:rPr>
        <w:t xml:space="preserve"/>
      </w:r>
    </w:p>
    <w:p>
      <w:pPr>
        <w:spacing w:before="120"/>
        <w:jc w:val="center"/>
      </w:pPr>
      <w:r>
        <w:rPr>
          <w:b/>
          <w:bCs/>
          <w:color w:val="1F3864"/>
          <w:sz w:val="21"/>
          <w:szCs w:val="21"/>
        </w:rPr>
        <w:t xml:space="preserve">Zhi Systems  —  zhi@zhisystems.org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2026-08-03T15:42:15.006Z</dcterms:created>
  <dcterms:modified xsi:type="dcterms:W3CDTF">2026-08-03T15:42:15.021Z</dcterms:modified>
</cp:coreProperties>
</file>

<file path=docProps/custom.xml><?xml version="1.0" encoding="utf-8"?>
<Properties xmlns="http://schemas.openxmlformats.org/officeDocument/2006/custom-properties" xmlns:vt="http://schemas.openxmlformats.org/officeDocument/2006/docPropsVTypes"/>
</file>