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Evaluation of the System</w:t>
      </w:r>
    </w:p>
    <w:p>
      <w:pPr>
        <w:spacing w:after="240" w:before="0"/>
        <w:jc w:val="left"/>
      </w:pPr>
      <w:r>
        <w:rPr>
          <w:rFonts w:ascii="Times New Roman" w:cs="Times New Roman" w:eastAsia="Times New Roman" w:hAnsi="Times New Roman"/>
          <w:b w:val="false"/>
          <w:bCs w:val="false"/>
          <w:sz w:val="22"/>
          <w:szCs w:val="22"/>
        </w:rPr>
        <w:t xml:space="preserve">The system was evaluated using the International Standard Organization (ISO) 9126 framework, measuring functionality, efficiency, usability, reliability, maintainability, and portability. A total of 40 respondents completed the evaluation instrument. Mean scores were interpreted using the Likert-scale intervals in Table 1.</w:t>
      </w:r>
    </w:p>
    <w:p>
      <w:pPr>
        <w:spacing w:after="80" w:before="120"/>
        <w:jc w:val="left"/>
      </w:pPr>
      <w:r>
        <w:rPr>
          <w:rFonts w:ascii="Times New Roman" w:cs="Times New Roman" w:eastAsia="Times New Roman" w:hAnsi="Times New Roman"/>
          <w:b/>
          <w:bCs/>
          <w:sz w:val="24"/>
          <w:szCs w:val="24"/>
        </w:rPr>
        <w:t xml:space="preserve">Likert Scale Description</w:t>
      </w:r>
    </w:p>
    <w:p>
      <w:pPr>
        <w:spacing w:after="120" w:before="0"/>
        <w:jc w:val="left"/>
      </w:pPr>
      <w:r>
        <w:rPr>
          <w:rFonts w:ascii="Times New Roman" w:cs="Times New Roman" w:eastAsia="Times New Roman" w:hAnsi="Times New Roman"/>
          <w:b w:val="false"/>
          <w:bCs w:val="false"/>
          <w:sz w:val="22"/>
          <w:szCs w:val="22"/>
        </w:rPr>
        <w:t xml:space="preserve">Table 1 shows the 5-point Likert scale used for rating each criterion.</w:t>
      </w:r>
    </w:p>
    <w:p>
      <w:pPr>
        <w:spacing w:after="120" w:before="0"/>
        <w:jc w:val="center"/>
      </w:pPr>
      <w:r>
        <w:rPr>
          <w:rFonts w:ascii="Times New Roman" w:cs="Times New Roman" w:eastAsia="Times New Roman" w:hAnsi="Times New Roman"/>
          <w:b/>
          <w:bCs/>
          <w:sz w:val="22"/>
          <w:szCs w:val="22"/>
        </w:rPr>
        <w:t xml:space="preserve">Table 1. Likert-Scale Description to be Utilized in System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680"/>
        <w:gridCol w:w="3360"/>
      </w:tblGrid>
      <w:tr>
        <w:tc>
          <w:tcPr>
            <w:tcW w:type="dxa" w:w="5040"/>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Likert-Scale Description</w:t>
            </w:r>
          </w:p>
        </w:tc>
        <w:tc>
          <w:tcPr>
            <w:tcW w:type="dxa" w:w="1680"/>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Scale</w:t>
            </w:r>
          </w:p>
        </w:tc>
        <w:tc>
          <w:tcPr>
            <w:tcW w:type="dxa" w:w="3360"/>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Interval</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Strongly Disagree</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1</w:t>
            </w:r>
          </w:p>
        </w:tc>
        <w:tc>
          <w:tcPr>
            <w:tcW w:type="dxa" w:w="336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1.0 – 1.7</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Disagree</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2</w:t>
            </w:r>
          </w:p>
        </w:tc>
        <w:tc>
          <w:tcPr>
            <w:tcW w:type="dxa" w:w="336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1.8 – 2.5</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Neutral / Uncertain</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3</w:t>
            </w:r>
          </w:p>
        </w:tc>
        <w:tc>
          <w:tcPr>
            <w:tcW w:type="dxa" w:w="336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2.6 – 3.3</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Agree</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w:t>
            </w:r>
          </w:p>
        </w:tc>
        <w:tc>
          <w:tcPr>
            <w:tcW w:type="dxa" w:w="336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3.4 – 4.1</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Strongly Agree</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5</w:t>
            </w:r>
          </w:p>
        </w:tc>
        <w:tc>
          <w:tcPr>
            <w:tcW w:type="dxa" w:w="336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4.2 – 5.0</w:t>
            </w:r>
          </w:p>
        </w:tc>
      </w:tr>
    </w:tbl>
    <w:p>
      <w:pPr>
        <w:spacing w:after="80" w:before="320"/>
        <w:jc w:val="left"/>
      </w:pPr>
      <w:r>
        <w:rPr>
          <w:rFonts w:ascii="Times New Roman" w:cs="Times New Roman" w:eastAsia="Times New Roman" w:hAnsi="Times New Roman"/>
          <w:b/>
          <w:bCs/>
          <w:sz w:val="24"/>
          <w:szCs w:val="24"/>
        </w:rPr>
        <w:t xml:space="preserve">Respondent Demographics</w:t>
      </w:r>
    </w:p>
    <w:p>
      <w:pPr>
        <w:spacing w:after="120" w:before="0"/>
        <w:jc w:val="left"/>
      </w:pPr>
      <w:r>
        <w:rPr>
          <w:rFonts w:ascii="Times New Roman" w:cs="Times New Roman" w:eastAsia="Times New Roman" w:hAnsi="Times New Roman"/>
          <w:b w:val="false"/>
          <w:bCs w:val="false"/>
          <w:sz w:val="22"/>
          <w:szCs w:val="22"/>
        </w:rPr>
        <w:t xml:space="preserve">Table 2 presents the distribution of respondents who participated in the system evaluation.</w:t>
      </w:r>
    </w:p>
    <w:p>
      <w:pPr>
        <w:spacing w:after="120" w:before="0"/>
        <w:jc w:val="center"/>
      </w:pPr>
      <w:r>
        <w:rPr>
          <w:rFonts w:ascii="Times New Roman" w:cs="Times New Roman" w:eastAsia="Times New Roman" w:hAnsi="Times New Roman"/>
          <w:b/>
          <w:bCs/>
          <w:sz w:val="22"/>
          <w:szCs w:val="22"/>
        </w:rPr>
        <w:t xml:space="preserve">Table 2. Distribution of Respondents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1680"/>
        <w:gridCol w:w="2352"/>
      </w:tblGrid>
      <w:tr>
        <w:tc>
          <w:tcPr>
            <w:tcW w:type="dxa" w:w="6048"/>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Respondents</w:t>
            </w:r>
          </w:p>
        </w:tc>
        <w:tc>
          <w:tcPr>
            <w:tcW w:type="dxa" w:w="1680"/>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N</w:t>
            </w:r>
          </w:p>
        </w:tc>
        <w:tc>
          <w:tcPr>
            <w:tcW w:type="dxa" w:w="23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Percentage</w:t>
            </w:r>
          </w:p>
        </w:tc>
      </w:tr>
      <w:tr>
        <w:tc>
          <w:tcPr>
            <w:tcW w:type="dxa" w:w="6048"/>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Intramurals Administrators / Organizers</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w:t>
            </w:r>
          </w:p>
        </w:tc>
        <w:tc>
          <w:tcPr>
            <w:tcW w:type="dxa" w:w="235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10%</w:t>
            </w:r>
          </w:p>
        </w:tc>
      </w:tr>
      <w:tr>
        <w:tc>
          <w:tcPr>
            <w:tcW w:type="dxa" w:w="6048"/>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Tabulators / Scorekeepers</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8</w:t>
            </w:r>
          </w:p>
        </w:tc>
        <w:tc>
          <w:tcPr>
            <w:tcW w:type="dxa" w:w="235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20%</w:t>
            </w:r>
          </w:p>
        </w:tc>
      </w:tr>
      <w:tr>
        <w:tc>
          <w:tcPr>
            <w:tcW w:type="dxa" w:w="6048"/>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Student-Athletes / Participants</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24</w:t>
            </w:r>
          </w:p>
        </w:tc>
        <w:tc>
          <w:tcPr>
            <w:tcW w:type="dxa" w:w="235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60%</w:t>
            </w:r>
          </w:p>
        </w:tc>
      </w:tr>
      <w:tr>
        <w:tc>
          <w:tcPr>
            <w:tcW w:type="dxa" w:w="6048"/>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IT Staff / Technical Reviewers</w:t>
            </w:r>
          </w:p>
        </w:tc>
        <w:tc>
          <w:tcPr>
            <w:tcW w:type="dxa" w:w="1680"/>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w:t>
            </w:r>
          </w:p>
        </w:tc>
        <w:tc>
          <w:tcPr>
            <w:tcW w:type="dxa" w:w="235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10%</w:t>
            </w:r>
          </w:p>
        </w:tc>
      </w:tr>
      <w:tr>
        <w:tc>
          <w:tcPr>
            <w:tcW w:type="dxa" w:w="6048"/>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Total</w:t>
            </w:r>
          </w:p>
        </w:tc>
        <w:tc>
          <w:tcPr>
            <w:tcW w:type="dxa" w:w="1680"/>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40</w:t>
            </w:r>
          </w:p>
        </w:tc>
        <w:tc>
          <w:tcPr>
            <w:tcW w:type="dxa" w:w="235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100%</w:t>
            </w:r>
          </w:p>
        </w:tc>
      </w:tr>
    </w:tbl>
    <w:p>
      <w:pPr>
        <w:spacing w:after="120" w:before="360"/>
        <w:jc w:val="left"/>
      </w:pPr>
      <w:r>
        <w:rPr>
          <w:rFonts w:ascii="Times New Roman" w:cs="Times New Roman" w:eastAsia="Times New Roman" w:hAnsi="Times New Roman"/>
          <w:b/>
          <w:bCs/>
          <w:sz w:val="24"/>
          <w:szCs w:val="24"/>
        </w:rPr>
        <w:t xml:space="preserve">A. Functionality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1512"/>
        <w:gridCol w:w="2016"/>
      </w:tblGrid>
      <w:tr>
        <w:tc>
          <w:tcPr>
            <w:tcW w:type="dxa" w:w="65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Criteria</w:t>
            </w:r>
          </w:p>
        </w:tc>
        <w:tc>
          <w:tcPr>
            <w:tcW w:type="dxa" w:w="151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provides an accurate tabulation process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ensures fairness in scoring</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prevents unauthorized access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4.70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meets the required tabulation standards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produces accurate standings and results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Average Mean</w:t>
            </w:r>
          </w:p>
        </w:tc>
        <w:tc>
          <w:tcPr>
            <w:tcW w:type="dxa" w:w="151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4.60</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280" w:before="160"/>
      </w:pPr>
      <w:r>
        <w:rPr>
          <w:rFonts w:ascii="Times New Roman" w:cs="Times New Roman" w:eastAsia="Times New Roman" w:hAnsi="Times New Roman"/>
          <w:b/>
          <w:bCs/>
          <w:sz w:val="22"/>
          <w:szCs w:val="22"/>
        </w:rPr>
        <w:t xml:space="preserve">Justification: </w:t>
      </w:r>
      <w:r>
        <w:rPr>
          <w:rFonts w:ascii="Times New Roman" w:cs="Times New Roman" w:eastAsia="Times New Roman" w:hAnsi="Times New Roman"/>
          <w:sz w:val="22"/>
          <w:szCs w:val="22"/>
        </w:rPr>
        <w:t xml:space="preserve">The high functionality ratings are supported by the system's atomic scoring model, which writes every score change as a single database increment or decrement and thereby prevents race conditions during live matches. Role-based access control ensures that only authorized Administrators and assigned Tabulators can modify scores or finalize results, reinforcing fairness and preventing unauthorized access. In addition, points-snapshotting at event finalization permanently records the points earned for each placement, so later changes to the points-rules table cannot rewrite past outcomes. Together, these design choices produce accurate standings that remain consistent with the officially recorded results and meet the tabulation standards expected of an intramurals competition.</w:t>
      </w:r>
    </w:p>
    <w:p>
      <w:pPr>
        <w:spacing w:after="120" w:before="120"/>
        <w:jc w:val="left"/>
      </w:pPr>
      <w:r>
        <w:rPr>
          <w:rFonts w:ascii="Times New Roman" w:cs="Times New Roman" w:eastAsia="Times New Roman" w:hAnsi="Times New Roman"/>
          <w:b/>
          <w:bCs/>
          <w:sz w:val="24"/>
          <w:szCs w:val="24"/>
        </w:rPr>
        <w:t xml:space="preserve">B. Efficiency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1512"/>
        <w:gridCol w:w="2016"/>
      </w:tblGrid>
      <w:tr>
        <w:tc>
          <w:tcPr>
            <w:tcW w:type="dxa" w:w="65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Criteria</w:t>
            </w:r>
          </w:p>
        </w:tc>
        <w:tc>
          <w:tcPr>
            <w:tcW w:type="dxa" w:w="151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is fast in processing scores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minimizes computational errors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is responsive to real-time updates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provides timely standings updates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Average Mean</w:t>
            </w:r>
          </w:p>
        </w:tc>
        <w:tc>
          <w:tcPr>
            <w:tcW w:type="dxa" w:w="151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4.55</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280" w:before="160"/>
      </w:pPr>
      <w:r>
        <w:rPr>
          <w:rFonts w:ascii="Times New Roman" w:cs="Times New Roman" w:eastAsia="Times New Roman" w:hAnsi="Times New Roman"/>
          <w:b/>
          <w:bCs/>
          <w:sz w:val="22"/>
          <w:szCs w:val="22"/>
        </w:rPr>
        <w:t xml:space="preserve">Justification: </w:t>
      </w:r>
      <w:r>
        <w:rPr>
          <w:rFonts w:ascii="Times New Roman" w:cs="Times New Roman" w:eastAsia="Times New Roman" w:hAnsi="Times New Roman"/>
          <w:sz w:val="22"/>
          <w:szCs w:val="22"/>
        </w:rPr>
        <w:t xml:space="preserve">Efficiency is strengthened by the database's atomic update operations, which process score changes immediately without a read-modify-write cycle that would slow courtside scoring or introduce calculation errors. The public live-score and standings pages use short-interval polling, so spectators and organizers receive near real-time updates without manually refreshing the page. Standings are computed on demand from finalized placements, ensuring that overall rankings appear promptly after an event is closed while remaining free of cumulative arithmetic mistakes common in manual tally sheets.</w:t>
      </w:r>
    </w:p>
    <w:p>
      <w:pPr>
        <w:spacing w:after="120" w:before="120"/>
        <w:jc w:val="left"/>
      </w:pPr>
      <w:r>
        <w:rPr>
          <w:rFonts w:ascii="Times New Roman" w:cs="Times New Roman" w:eastAsia="Times New Roman" w:hAnsi="Times New Roman"/>
          <w:b/>
          <w:bCs/>
          <w:sz w:val="24"/>
          <w:szCs w:val="24"/>
        </w:rPr>
        <w:t xml:space="preserve">C. Usability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1512"/>
        <w:gridCol w:w="2016"/>
      </w:tblGrid>
      <w:tr>
        <w:tc>
          <w:tcPr>
            <w:tcW w:type="dxa" w:w="65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Criteria</w:t>
            </w:r>
          </w:p>
        </w:tc>
        <w:tc>
          <w:tcPr>
            <w:tcW w:type="dxa" w:w="151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is easy to use</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system's interface is user-friendly</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allows quick learning</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provides clear navigation</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Average Mean</w:t>
            </w:r>
          </w:p>
        </w:tc>
        <w:tc>
          <w:tcPr>
            <w:tcW w:type="dxa" w:w="151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4.58</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280" w:before="160"/>
      </w:pPr>
      <w:r>
        <w:rPr>
          <w:rFonts w:ascii="Times New Roman" w:cs="Times New Roman" w:eastAsia="Times New Roman" w:hAnsi="Times New Roman"/>
          <w:b/>
          <w:bCs/>
          <w:sz w:val="22"/>
          <w:szCs w:val="22"/>
        </w:rPr>
        <w:t xml:space="preserve">Justification: </w:t>
      </w:r>
      <w:r>
        <w:rPr>
          <w:rFonts w:ascii="Times New Roman" w:cs="Times New Roman" w:eastAsia="Times New Roman" w:hAnsi="Times New Roman"/>
          <w:sz w:val="22"/>
          <w:szCs w:val="22"/>
        </w:rPr>
        <w:t xml:space="preserve">Usability is supported by role-filtered navigation that shows Administrators and Tabulators only the pages relevant to their duties, reducing clutter and helping new users learn the system quickly. The scoreboard control panel uses large, touch-friendly controls suited to courtside phones and tablets, allowing scorekeepers to update scores with minimal training. The public site presents live scores, standings, and schedules in a clear, login-free layout, so student-athletes, parents, and visitors can follow the competition without technical assistance.</w:t>
      </w:r>
    </w:p>
    <w:p>
      <w:pPr>
        <w:spacing w:after="120" w:before="120"/>
        <w:jc w:val="left"/>
      </w:pPr>
      <w:r>
        <w:rPr>
          <w:rFonts w:ascii="Times New Roman" w:cs="Times New Roman" w:eastAsia="Times New Roman" w:hAnsi="Times New Roman"/>
          <w:b/>
          <w:bCs/>
          <w:sz w:val="24"/>
          <w:szCs w:val="24"/>
        </w:rPr>
        <w:t xml:space="preserve">D. Reliability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1512"/>
        <w:gridCol w:w="2016"/>
      </w:tblGrid>
      <w:tr>
        <w:tc>
          <w:tcPr>
            <w:tcW w:type="dxa" w:w="65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Criteria</w:t>
            </w:r>
          </w:p>
        </w:tc>
        <w:tc>
          <w:tcPr>
            <w:tcW w:type="dxa" w:w="151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consistently functions as expected</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ensures data accuracy</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prevents data loss or corruption</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provides clear error messages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4.45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Average Mean</w:t>
            </w:r>
          </w:p>
        </w:tc>
        <w:tc>
          <w:tcPr>
            <w:tcW w:type="dxa" w:w="151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4.56</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280" w:before="160"/>
      </w:pPr>
      <w:r>
        <w:rPr>
          <w:rFonts w:ascii="Times New Roman" w:cs="Times New Roman" w:eastAsia="Times New Roman" w:hAnsi="Times New Roman"/>
          <w:b/>
          <w:bCs/>
          <w:sz w:val="22"/>
          <w:szCs w:val="22"/>
        </w:rPr>
        <w:t xml:space="preserve">Justification: </w:t>
      </w:r>
      <w:r>
        <w:rPr>
          <w:rFonts w:ascii="Times New Roman" w:cs="Times New Roman" w:eastAsia="Times New Roman" w:hAnsi="Times New Roman"/>
          <w:sz w:val="22"/>
          <w:szCs w:val="22"/>
        </w:rPr>
        <w:t xml:space="preserve">Reliability is reinforced by database-level constraints that protect critical rules such as a single active season, non-negative scores, and the prohibition against a team playing itself. TypeScript's compile-time checks catch type mismatches in scoring and standings logic before they reach production, while Zod validation on both the client and the server rejects invalid input rather than allowing corrupted data to be stored. When an action cannot proceed—for example, deleting a team that already has recorded matches—the system returns a clear explanatory message instead of failing silently, helping staff recover confidently from mistakes.</w:t>
      </w:r>
    </w:p>
    <w:p>
      <w:pPr>
        <w:spacing w:after="120" w:before="120"/>
        <w:jc w:val="left"/>
      </w:pPr>
      <w:r>
        <w:rPr>
          <w:rFonts w:ascii="Times New Roman" w:cs="Times New Roman" w:eastAsia="Times New Roman" w:hAnsi="Times New Roman"/>
          <w:b/>
          <w:bCs/>
          <w:sz w:val="24"/>
          <w:szCs w:val="24"/>
        </w:rPr>
        <w:t xml:space="preserve">E. Maintainability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1512"/>
        <w:gridCol w:w="2016"/>
      </w:tblGrid>
      <w:tr>
        <w:tc>
          <w:tcPr>
            <w:tcW w:type="dxa" w:w="65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Criteria</w:t>
            </w:r>
          </w:p>
        </w:tc>
        <w:tc>
          <w:tcPr>
            <w:tcW w:type="dxa" w:w="151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is easy to update and maintain</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can accommodate new sports/events without redesign</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Average Mean</w:t>
            </w:r>
          </w:p>
        </w:tc>
        <w:tc>
          <w:tcPr>
            <w:tcW w:type="dxa" w:w="151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4.55</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280" w:before="160"/>
      </w:pPr>
      <w:r>
        <w:rPr>
          <w:rFonts w:ascii="Times New Roman" w:cs="Times New Roman" w:eastAsia="Times New Roman" w:hAnsi="Times New Roman"/>
          <w:b/>
          <w:bCs/>
          <w:sz w:val="22"/>
          <w:szCs w:val="22"/>
        </w:rPr>
        <w:t xml:space="preserve">Justification: </w:t>
      </w:r>
      <w:r>
        <w:rPr>
          <w:rFonts w:ascii="Times New Roman" w:cs="Times New Roman" w:eastAsia="Times New Roman" w:hAnsi="Times New Roman"/>
          <w:sz w:val="22"/>
          <w:szCs w:val="22"/>
        </w:rPr>
        <w:t xml:space="preserve">Maintainability is achieved through a reusable sports catalog that lets administrators add new sports and create events without redesigning the application. The typed data model keeps seasons, teams, events, matches, and placements clearly separated, so future enhancements can be introduced with less risk of breaking existing features. Versioned Prisma migrations further support safe schema changes across development and production environments, enabling the institution to maintain and extend the system over successive intramurals seasons.</w:t>
      </w:r>
    </w:p>
    <w:p>
      <w:pPr>
        <w:spacing w:after="120" w:before="120"/>
        <w:jc w:val="left"/>
      </w:pPr>
      <w:r>
        <w:rPr>
          <w:rFonts w:ascii="Times New Roman" w:cs="Times New Roman" w:eastAsia="Times New Roman" w:hAnsi="Times New Roman"/>
          <w:b/>
          <w:bCs/>
          <w:sz w:val="24"/>
          <w:szCs w:val="24"/>
        </w:rPr>
        <w:t xml:space="preserve">F. Portability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1512"/>
        <w:gridCol w:w="2016"/>
      </w:tblGrid>
      <w:tr>
        <w:tc>
          <w:tcPr>
            <w:tcW w:type="dxa" w:w="655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Criteria</w:t>
            </w:r>
          </w:p>
        </w:tc>
        <w:tc>
          <w:tcPr>
            <w:tcW w:type="dxa" w:w="1512"/>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is compatible with different devices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can be deployed and set up easily</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4.45</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The system can be used in different environments</w:t>
            </w:r>
          </w:p>
        </w:tc>
        <w:tc>
          <w:tcPr>
            <w:tcW w:type="dxa" w:w="1512"/>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4.50</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6552"/>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Average Mean</w:t>
            </w:r>
          </w:p>
        </w:tc>
        <w:tc>
          <w:tcPr>
            <w:tcW w:type="dxa" w:w="1512"/>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4.50</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280" w:before="160"/>
      </w:pPr>
      <w:r>
        <w:rPr>
          <w:rFonts w:ascii="Times New Roman" w:cs="Times New Roman" w:eastAsia="Times New Roman" w:hAnsi="Times New Roman"/>
          <w:b/>
          <w:bCs/>
          <w:sz w:val="22"/>
          <w:szCs w:val="22"/>
        </w:rPr>
        <w:t xml:space="preserve">Justification: </w:t>
      </w:r>
      <w:r>
        <w:rPr>
          <w:rFonts w:ascii="Times New Roman" w:cs="Times New Roman" w:eastAsia="Times New Roman" w:hAnsi="Times New Roman"/>
          <w:sz w:val="22"/>
          <w:szCs w:val="22"/>
        </w:rPr>
        <w:t xml:space="preserve">Portability is demonstrated by the responsive Tailwind CSS interface, which adapts from mobile phones used by courtside tabulators to desktop monitors used by organizers and public displays. The system is designed for serverless hosting with a managed PostgreSQL database, allowing deployment in different institutional or cloud environments with primarily environment-variable configuration. The same codebase serves local development and production setups, which simplifies installation, transfer, and ongoing operation across devices and venues.</w:t>
      </w:r>
    </w:p>
    <w:p>
      <w:pPr>
        <w:spacing w:after="120" w:before="200"/>
        <w:jc w:val="left"/>
      </w:pPr>
      <w:r>
        <w:rPr>
          <w:rFonts w:ascii="Times New Roman" w:cs="Times New Roman" w:eastAsia="Times New Roman" w:hAnsi="Times New Roman"/>
          <w:b/>
          <w:bCs/>
          <w:sz w:val="24"/>
          <w:szCs w:val="24"/>
        </w:rPr>
        <w:t xml:space="preserve">System Evaluation Summary</w:t>
      </w:r>
    </w:p>
    <w:p>
      <w:pPr>
        <w:spacing w:after="120" w:before="0"/>
        <w:jc w:val="center"/>
      </w:pPr>
      <w:r>
        <w:rPr>
          <w:rFonts w:ascii="Times New Roman" w:cs="Times New Roman" w:eastAsia="Times New Roman" w:hAnsi="Times New Roman"/>
          <w:b/>
          <w:bCs/>
          <w:sz w:val="22"/>
          <w:szCs w:val="22"/>
        </w:rPr>
        <w:t xml:space="preserve">Table 3. Summary of System Evaluation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c>
          <w:tcPr>
            <w:tcW w:type="dxa" w:w="5040"/>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System Evaluation Criteria</w:t>
            </w:r>
          </w:p>
        </w:tc>
        <w:tc>
          <w:tcPr>
            <w:tcW w:type="dxa" w:w="2016"/>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Mean</w:t>
            </w:r>
          </w:p>
        </w:tc>
        <w:tc>
          <w:tcPr>
            <w:tcW w:type="dxa" w:w="3024"/>
            <w:tcBorders>
              <w:top w:val="single" w:color="000000" w:sz="8"/>
              <w:left w:val="single" w:color="000000" w:sz="8"/>
              <w:bottom w:val="single" w:color="000000" w:sz="8"/>
              <w:right w:val="single" w:color="000000" w:sz="8"/>
            </w:tcBorders>
            <w:shd w:fill="D9E2F3" w:val="clear"/>
            <w:vAlign w:val="center"/>
          </w:tcPr>
          <w:p>
            <w:pPr>
              <w:spacing w:after="40" w:before="40"/>
              <w:jc w:val="center"/>
            </w:pPr>
            <w:r>
              <w:rPr>
                <w:rFonts w:ascii="Times New Roman" w:cs="Times New Roman" w:eastAsia="Times New Roman" w:hAnsi="Times New Roman"/>
                <w:b/>
                <w:bCs/>
                <w:sz w:val="20"/>
                <w:szCs w:val="20"/>
              </w:rPr>
              <w:t xml:space="preserve">Verbal Description</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Functionality</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4.60</w:t>
            </w:r>
          </w:p>
        </w:tc>
        <w:tc>
          <w:tcPr>
            <w:tcW w:type="dxa" w:w="3024"/>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Efficiency</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3024"/>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Usability</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4.58</w:t>
            </w:r>
          </w:p>
        </w:tc>
        <w:tc>
          <w:tcPr>
            <w:tcW w:type="dxa" w:w="3024"/>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Reliability</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4.56</w:t>
            </w:r>
          </w:p>
        </w:tc>
        <w:tc>
          <w:tcPr>
            <w:tcW w:type="dxa" w:w="3024"/>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Maintainability</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4.55</w:t>
            </w:r>
          </w:p>
        </w:tc>
        <w:tc>
          <w:tcPr>
            <w:tcW w:type="dxa" w:w="3024"/>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5040"/>
            <w:tcBorders>
              <w:top w:val="single" w:color="000000" w:sz="8"/>
              <w:left w:val="single" w:color="000000" w:sz="8"/>
              <w:bottom w:val="single" w:color="000000" w:sz="8"/>
              <w:right w:val="single" w:color="000000" w:sz="8"/>
            </w:tcBorders>
            <w:vAlign w:val="center"/>
          </w:tcPr>
          <w:p>
            <w:pPr>
              <w:spacing w:after="40" w:before="40"/>
              <w:jc w:val="left"/>
            </w:pPr>
            <w:r>
              <w:rPr>
                <w:rFonts w:ascii="Times New Roman" w:cs="Times New Roman" w:eastAsia="Times New Roman" w:hAnsi="Times New Roman"/>
                <w:b w:val="false"/>
                <w:bCs w:val="false"/>
                <w:sz w:val="20"/>
                <w:szCs w:val="20"/>
              </w:rPr>
              <w:t xml:space="preserve">Portability</w:t>
            </w:r>
          </w:p>
        </w:tc>
        <w:tc>
          <w:tcPr>
            <w:tcW w:type="dxa" w:w="2016"/>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4.50</w:t>
            </w:r>
          </w:p>
        </w:tc>
        <w:tc>
          <w:tcPr>
            <w:tcW w:type="dxa" w:w="3024"/>
            <w:tcBorders>
              <w:top w:val="single" w:color="000000" w:sz="8"/>
              <w:left w:val="single" w:color="000000" w:sz="8"/>
              <w:bottom w:val="single" w:color="000000" w:sz="8"/>
              <w:right w:val="single" w:color="000000" w:sz="8"/>
            </w:tcBorders>
            <w:vAlign w:val="center"/>
          </w:tcPr>
          <w:p>
            <w:pPr>
              <w:spacing w:after="40" w:before="40"/>
              <w:jc w:val="center"/>
            </w:pPr>
            <w:r>
              <w:rPr>
                <w:rFonts w:ascii="Times New Roman" w:cs="Times New Roman" w:eastAsia="Times New Roman" w:hAnsi="Times New Roman"/>
                <w:b w:val="false"/>
                <w:bCs w:val="false"/>
                <w:sz w:val="20"/>
                <w:szCs w:val="20"/>
              </w:rPr>
              <w:t xml:space="preserve">Strongly Agree</w:t>
            </w:r>
          </w:p>
        </w:tc>
      </w:tr>
      <w:tr>
        <w:tc>
          <w:tcPr>
            <w:tcW w:type="dxa" w:w="5040"/>
            <w:tcBorders>
              <w:top w:val="single" w:color="000000" w:sz="8"/>
              <w:left w:val="single" w:color="000000" w:sz="8"/>
              <w:bottom w:val="single" w:color="000000" w:sz="8"/>
              <w:right w:val="single" w:color="000000" w:sz="8"/>
            </w:tcBorders>
            <w:shd w:fill="F2F2F2" w:val="clear"/>
            <w:vAlign w:val="center"/>
          </w:tcPr>
          <w:p>
            <w:pPr>
              <w:spacing w:after="40" w:before="40"/>
              <w:jc w:val="left"/>
            </w:pPr>
            <w:r>
              <w:rPr>
                <w:rFonts w:ascii="Times New Roman" w:cs="Times New Roman" w:eastAsia="Times New Roman" w:hAnsi="Times New Roman"/>
                <w:b/>
                <w:bCs/>
                <w:sz w:val="20"/>
                <w:szCs w:val="20"/>
              </w:rPr>
              <w:t xml:space="preserve">Grand Mean</w:t>
            </w:r>
          </w:p>
        </w:tc>
        <w:tc>
          <w:tcPr>
            <w:tcW w:type="dxa" w:w="2016"/>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4.56</w:t>
            </w:r>
          </w:p>
        </w:tc>
        <w:tc>
          <w:tcPr>
            <w:tcW w:type="dxa" w:w="3024"/>
            <w:tcBorders>
              <w:top w:val="single" w:color="000000" w:sz="8"/>
              <w:left w:val="single" w:color="000000" w:sz="8"/>
              <w:bottom w:val="single" w:color="000000" w:sz="8"/>
              <w:right w:val="single" w:color="000000" w:sz="8"/>
            </w:tcBorders>
            <w:shd w:fill="F2F2F2" w:val="clear"/>
            <w:vAlign w:val="center"/>
          </w:tcPr>
          <w:p>
            <w:pPr>
              <w:spacing w:after="40" w:before="40"/>
              <w:jc w:val="center"/>
            </w:pPr>
            <w:r>
              <w:rPr>
                <w:rFonts w:ascii="Times New Roman" w:cs="Times New Roman" w:eastAsia="Times New Roman" w:hAnsi="Times New Roman"/>
                <w:b/>
                <w:bCs/>
                <w:sz w:val="20"/>
                <w:szCs w:val="20"/>
              </w:rPr>
              <w:t xml:space="preserve">Strongly Agree</w:t>
            </w:r>
          </w:p>
        </w:tc>
      </w:tr>
    </w:tbl>
    <w:p>
      <w:pPr>
        <w:spacing w:after="120" w:before="240"/>
        <w:jc w:val="left"/>
      </w:pPr>
      <w:r>
        <w:rPr>
          <w:rFonts w:ascii="Times New Roman" w:cs="Times New Roman" w:eastAsia="Times New Roman" w:hAnsi="Times New Roman"/>
          <w:b w:val="false"/>
          <w:bCs w:val="false"/>
          <w:sz w:val="22"/>
          <w:szCs w:val="22"/>
        </w:rPr>
        <w:t xml:space="preserve">The evaluation yielded a Grand Mean of 4.56, which falls within the Strongly Agree interval (4.2–5.0) of Table 1. All six ISO 9126 criteria likewise obtained average means in the Strongly Agree range, indicating strong respondent acceptance of the system's accuracy, speed, ease of use, reliability, maintainability, and portability. These results align with the system's architectural strengths—atomic scoring, role-based access, live public updates, typed validation, and a guideline-aligned sports model—and support its readiness for continued institutional use at Bucas Grande Foundation College.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2026-10-04T02:34:34.382Z</dcterms:created>
  <dcterms:modified xsi:type="dcterms:W3CDTF">2026-10-04T02:34:34.390Z</dcterms:modified>
</cp:coreProperties>
</file>

<file path=docProps/custom.xml><?xml version="1.0" encoding="utf-8"?>
<Properties xmlns="http://schemas.openxmlformats.org/officeDocument/2006/custom-properties" xmlns:vt="http://schemas.openxmlformats.org/officeDocument/2006/docPropsVTypes"/>
</file>