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9.png" ContentType="image/png"/>
  <Override PartName="/word/media/rId27.png" ContentType="image/png"/>
  <Override PartName="/word/media/rId10.png" ContentType="image/png"/>
  <Override PartName="/word/media/rId38.png" ContentType="image/png"/>
  <Override PartName="/word/media/rId1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seip"/>
    <w:p>
      <w:pPr>
        <w:pStyle w:val="Heading1"/>
      </w:pPr>
      <w:r>
        <w:t xml:space="preserve">SEIP</w:t>
      </w:r>
    </w:p>
    <w:p>
      <w:pPr>
        <w:pStyle w:val="FirstParagraph"/>
      </w:pPr>
      <w:r>
        <w:rPr>
          <w:i/>
          <w:iCs/>
        </w:rPr>
        <w:t xml:space="preserve">Schema Evolution Intent Protocol</w:t>
      </w:r>
    </w:p>
    <w:bookmarkStart w:id="9" w:name="Xaf594e793ab90eac5c3a6211932065f45798dca"/>
    <w:p>
      <w:pPr>
        <w:pStyle w:val="Heading2"/>
      </w:pPr>
      <w:r>
        <w:t xml:space="preserve">Git-Native Coordination For Breaking Schema Changes</w:t>
      </w:r>
    </w:p>
    <w:p>
      <w:pPr>
        <w:pStyle w:val="FirstParagraph"/>
      </w:pPr>
      <w:r>
        <w:rPr>
          <w:b/>
          <w:bCs/>
        </w:rPr>
        <w:t xml:space="preserve">Whitepaper v0.3 · April 2026</w:t>
      </w:r>
    </w:p>
    <w:p>
      <w:pPr>
        <w:pStyle w:val="BodyText"/>
      </w:pPr>
      <w:r>
        <w:rPr>
          <w:i/>
          <w:iCs/>
        </w:rPr>
        <w:t xml:space="preserve">Publication candidate. This version aligns the protocol, documentation, and reference CLI around Git-native state, first-class data type risk, and pluggable notification adapters.</w:t>
      </w:r>
    </w:p>
    <w:p>
      <w:pPr>
        <w:pStyle w:val="BodyText"/>
      </w:pPr>
      <w:r>
        <w:t xml:space="preserve">SEIP defines a Git-native declaration format and reference CLI for making breaking schema changes explicit, reviewable, enforceable, and auditable before rollout.</w:t>
      </w:r>
    </w:p>
    <w:bookmarkEnd w:id="9"/>
    <w:bookmarkStart w:id="13" w:name="abstract"/>
    <w:p>
      <w:pPr>
        <w:pStyle w:val="Heading2"/>
      </w:pPr>
      <w:r>
        <w:t xml:space="preserve">Abstract</w:t>
      </w:r>
    </w:p>
    <w:p>
      <w:pPr>
        <w:pStyle w:val="FirstParagraph"/>
      </w:pPr>
      <w:r>
        <w:t xml:space="preserve">Breaking schema changes create coordination risk across producer and consumer teams because impact, timing, and approval state are often distributed across pull requests, tickets, release notes, and chat. The missing piece is not more process by default. It is a shared, machine-readable declaration that makes breaking intent visible before rollout.</w:t>
      </w:r>
    </w:p>
    <w:p>
      <w:pPr>
        <w:pStyle w:val="BodyText"/>
      </w:pPr>
      <w:r>
        <w:t xml:space="preserve">SEIP, the Schema Evolution Intent Protocol, defines a declaration format and reference CLI for expressing schema change intent, recording review state, validating breaking changes in CI, and emitting notification payloads for existing collaboration systems. Git remains the canonical state store. GitHub pull requests, review requests, Actions checks, repository subscriptions, and organization notification settings provide the default human workflow; Slack and other tools are optional adapters that surface the same declaration state in team channels.</w:t>
      </w:r>
    </w:p>
    <w:p>
      <w:pPr>
        <w:pStyle w:val="BodyText"/>
      </w:pPr>
      <w:r>
        <w:t xml:space="preserve">SEIP does not replace schema registries, migration systems, delivery pipelines, or notification platforms. It standardizes the cross-team declaration and lifecycle needed to make schema changes reviewable, enforceable, and auditable across teams.</w:t>
      </w:r>
    </w:p>
    <w:p>
      <w:pPr>
        <w:pStyle w:val="CaptionedFigure"/>
      </w:pPr>
      <w:r>
        <w:drawing>
          <wp:inline>
            <wp:extent cx="5334000" cy="5334000"/>
            <wp:effectExtent b="0" l="0" r="0" t="0"/>
            <wp:docPr descr="SEIP overview" title="" id="11" name="Picture"/>
            <a:graphic>
              <a:graphicData uri="http://schemas.openxmlformats.org/drawingml/2006/picture">
                <pic:pic>
                  <pic:nvPicPr>
                    <pic:cNvPr descr="./diagrams/hero-overview.png" id="12" name="Picture"/>
                    <pic:cNvPicPr>
                      <a:picLocks noChangeArrowheads="1" noChangeAspect="1"/>
                    </pic:cNvPicPr>
                  </pic:nvPicPr>
                  <pic:blipFill>
                    <a:blip r:embed="rId10"/>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SEIP overview</w:t>
      </w:r>
    </w:p>
    <w:p>
      <w:pPr>
        <w:pStyle w:val="BodyText"/>
      </w:pPr>
      <w:r>
        <w:rPr>
          <w:i/>
          <w:iCs/>
        </w:rPr>
        <w:t xml:space="preserve">Figure 0. SEIP keeps declaration state in Git while CI, review surfaces, and adapters consume the same artifact.</w:t>
      </w:r>
    </w:p>
    <w:bookmarkEnd w:id="13"/>
    <w:bookmarkStart w:id="17" w:name="problem-framing"/>
    <w:p>
      <w:pPr>
        <w:pStyle w:val="Heading2"/>
      </w:pPr>
      <w:r>
        <w:t xml:space="preserve">1. Problem Framing</w:t>
      </w:r>
    </w:p>
    <w:p>
      <w:pPr>
        <w:pStyle w:val="FirstParagraph"/>
      </w:pPr>
      <w:r>
        <w:t xml:space="preserve">Schema changes are already coordinated in most organizations. The problem is that coordination is usually fragmented.</w:t>
      </w:r>
    </w:p>
    <w:p>
      <w:pPr>
        <w:pStyle w:val="BodyText"/>
      </w:pPr>
      <w:r>
        <w:t xml:space="preserve">Teams often use some combination of pull requests, change tickets, chat threads, release notes, and planning boards. These tools are useful, but they do not usually give producer and consumer teams a single shared artifact that answers:</w:t>
      </w:r>
    </w:p>
    <w:p>
      <w:pPr>
        <w:pStyle w:val="Compact"/>
        <w:numPr>
          <w:ilvl w:val="0"/>
          <w:numId w:val="1001"/>
        </w:numPr>
      </w:pPr>
      <w:r>
        <w:t xml:space="preserve">Is this change intended to be breaking?</w:t>
      </w:r>
    </w:p>
    <w:p>
      <w:pPr>
        <w:pStyle w:val="Compact"/>
        <w:numPr>
          <w:ilvl w:val="0"/>
          <w:numId w:val="1001"/>
        </w:numPr>
      </w:pPr>
      <w:r>
        <w:t xml:space="preserve">Which objects or fields are affected?</w:t>
      </w:r>
    </w:p>
    <w:p>
      <w:pPr>
        <w:pStyle w:val="Compact"/>
        <w:numPr>
          <w:ilvl w:val="0"/>
          <w:numId w:val="1001"/>
        </w:numPr>
      </w:pPr>
      <w:r>
        <w:t xml:space="preserve">Is a type change lossless or lossy?</w:t>
      </w:r>
    </w:p>
    <w:p>
      <w:pPr>
        <w:pStyle w:val="Compact"/>
        <w:numPr>
          <w:ilvl w:val="0"/>
          <w:numId w:val="1001"/>
        </w:numPr>
      </w:pPr>
      <w:r>
        <w:t xml:space="preserve">Which teams are expected to respond?</w:t>
      </w:r>
    </w:p>
    <w:p>
      <w:pPr>
        <w:pStyle w:val="Compact"/>
        <w:numPr>
          <w:ilvl w:val="0"/>
          <w:numId w:val="1001"/>
        </w:numPr>
      </w:pPr>
      <w:r>
        <w:t xml:space="preserve">What migration strategy and timeline are being proposed?</w:t>
      </w:r>
    </w:p>
    <w:p>
      <w:pPr>
        <w:pStyle w:val="Compact"/>
        <w:numPr>
          <w:ilvl w:val="0"/>
          <w:numId w:val="1001"/>
        </w:numPr>
      </w:pPr>
      <w:r>
        <w:t xml:space="preserve">How will the change be surfaced to the right reviewers?</w:t>
      </w:r>
    </w:p>
    <w:p>
      <w:pPr>
        <w:pStyle w:val="Compact"/>
        <w:numPr>
          <w:ilvl w:val="0"/>
          <w:numId w:val="1001"/>
        </w:numPr>
      </w:pPr>
      <w:r>
        <w:t xml:space="preserve">How do consumers validate the change before acknowledging?</w:t>
      </w:r>
    </w:p>
    <w:p>
      <w:pPr>
        <w:pStyle w:val="Compact"/>
        <w:numPr>
          <w:ilvl w:val="0"/>
          <w:numId w:val="1001"/>
        </w:numPr>
      </w:pPr>
      <w:r>
        <w:t xml:space="preserve">Has the change been acknowledged, objected to, accepted, enforced, or completed?</w:t>
      </w:r>
    </w:p>
    <w:p>
      <w:pPr>
        <w:pStyle w:val="FirstParagraph"/>
      </w:pPr>
      <w:r>
        <w:t xml:space="preserve">Without a shared declaration, the difference between an approved breaking change and a surprise breaking change is often visible only in human memory or scattered messages.</w:t>
      </w:r>
    </w:p>
    <w:p>
      <w:pPr>
        <w:pStyle w:val="CaptionedFigure"/>
      </w:pPr>
      <w:r>
        <w:drawing>
          <wp:inline>
            <wp:extent cx="5334000" cy="5334000"/>
            <wp:effectExtent b="0" l="0" r="0" t="0"/>
            <wp:docPr descr="Problem framing" title="" id="15" name="Picture"/>
            <a:graphic>
              <a:graphicData uri="http://schemas.openxmlformats.org/drawingml/2006/picture">
                <pic:pic>
                  <pic:nvPicPr>
                    <pic:cNvPr descr="./diagrams/problem-framing.png" id="16" name="Picture"/>
                    <pic:cNvPicPr>
                      <a:picLocks noChangeArrowheads="1" noChangeAspect="1"/>
                    </pic:cNvPicPr>
                  </pic:nvPicPr>
                  <pic:blipFill>
                    <a:blip r:embed="rId14"/>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Problem framing</w:t>
      </w:r>
    </w:p>
    <w:p>
      <w:pPr>
        <w:pStyle w:val="BodyText"/>
      </w:pPr>
      <w:r>
        <w:rPr>
          <w:i/>
          <w:iCs/>
        </w:rPr>
        <w:t xml:space="preserve">Figure 1. SEIP consolidates intent, impact, timing, and response state into one declaration.</w:t>
      </w:r>
    </w:p>
    <w:bookmarkEnd w:id="17"/>
    <w:bookmarkStart w:id="20" w:name="goals-and-boundaries"/>
    <w:p>
      <w:pPr>
        <w:pStyle w:val="Heading2"/>
      </w:pPr>
      <w:r>
        <w:t xml:space="preserve">2. Goals And Boundaries</w:t>
      </w:r>
    </w:p>
    <w:p>
      <w:pPr>
        <w:pStyle w:val="FirstParagraph"/>
      </w:pPr>
      <w:r>
        <w:t xml:space="preserve">SEIP is intentionally narrow.</w:t>
      </w:r>
    </w:p>
    <w:bookmarkStart w:id="18" w:name="goals"/>
    <w:p>
      <w:pPr>
        <w:pStyle w:val="Heading3"/>
      </w:pPr>
      <w:r>
        <w:t xml:space="preserve">Goals</w:t>
      </w:r>
    </w:p>
    <w:p>
      <w:pPr>
        <w:pStyle w:val="Compact"/>
        <w:numPr>
          <w:ilvl w:val="0"/>
          <w:numId w:val="1002"/>
        </w:numPr>
      </w:pPr>
      <w:r>
        <w:t xml:space="preserve">Make potentially breaking schema changes visible before rollout.</w:t>
      </w:r>
    </w:p>
    <w:p>
      <w:pPr>
        <w:pStyle w:val="Compact"/>
        <w:numPr>
          <w:ilvl w:val="0"/>
          <w:numId w:val="1002"/>
        </w:numPr>
      </w:pPr>
      <w:r>
        <w:t xml:space="preserve">Treat data type evolution as a first-class source of compatibility risk.</w:t>
      </w:r>
    </w:p>
    <w:p>
      <w:pPr>
        <w:pStyle w:val="Compact"/>
        <w:numPr>
          <w:ilvl w:val="0"/>
          <w:numId w:val="1002"/>
        </w:numPr>
      </w:pPr>
      <w:r>
        <w:t xml:space="preserve">Provide a declaration format that humans and automation can both inspect.</w:t>
      </w:r>
    </w:p>
    <w:p>
      <w:pPr>
        <w:pStyle w:val="Compact"/>
        <w:numPr>
          <w:ilvl w:val="0"/>
          <w:numId w:val="1002"/>
        </w:numPr>
      </w:pPr>
      <w:r>
        <w:t xml:space="preserve">Support a reviewable lifecycle for producer and consumer teams.</w:t>
      </w:r>
    </w:p>
    <w:p>
      <w:pPr>
        <w:pStyle w:val="Compact"/>
        <w:numPr>
          <w:ilvl w:val="0"/>
          <w:numId w:val="1002"/>
        </w:numPr>
      </w:pPr>
      <w:r>
        <w:t xml:space="preserve">Preserve an append-only audit trail of the coordination process.</w:t>
      </w:r>
    </w:p>
    <w:p>
      <w:pPr>
        <w:pStyle w:val="Compact"/>
        <w:numPr>
          <w:ilvl w:val="0"/>
          <w:numId w:val="1002"/>
        </w:numPr>
      </w:pPr>
      <w:r>
        <w:t xml:space="preserve">Enable CI to distinguish declared breaking changes from undeclared breaking changes.</w:t>
      </w:r>
    </w:p>
    <w:p>
      <w:pPr>
        <w:pStyle w:val="Compact"/>
        <w:numPr>
          <w:ilvl w:val="0"/>
          <w:numId w:val="1002"/>
        </w:numPr>
      </w:pPr>
      <w:r>
        <w:t xml:space="preserve">Emit notification payloads for existing systems such as GitHub Actions, pull request comments, Slack channels, or internal portals.</w:t>
      </w:r>
    </w:p>
    <w:bookmarkEnd w:id="18"/>
    <w:bookmarkStart w:id="19" w:name="non-goals"/>
    <w:p>
      <w:pPr>
        <w:pStyle w:val="Heading3"/>
      </w:pPr>
      <w:r>
        <w:t xml:space="preserve">Non-Goals</w:t>
      </w:r>
    </w:p>
    <w:p>
      <w:pPr>
        <w:pStyle w:val="Compact"/>
        <w:numPr>
          <w:ilvl w:val="0"/>
          <w:numId w:val="1003"/>
        </w:numPr>
      </w:pPr>
      <w:r>
        <w:t xml:space="preserve">Replacing schema registries.</w:t>
      </w:r>
    </w:p>
    <w:p>
      <w:pPr>
        <w:pStyle w:val="Compact"/>
        <w:numPr>
          <w:ilvl w:val="0"/>
          <w:numId w:val="1003"/>
        </w:numPr>
      </w:pPr>
      <w:r>
        <w:t xml:space="preserve">Defining every source-system-specific schema diff algorithm.</w:t>
      </w:r>
    </w:p>
    <w:p>
      <w:pPr>
        <w:pStyle w:val="Compact"/>
        <w:numPr>
          <w:ilvl w:val="0"/>
          <w:numId w:val="1003"/>
        </w:numPr>
      </w:pPr>
      <w:r>
        <w:t xml:space="preserve">Owning downstream migration internals for every consumer.</w:t>
      </w:r>
    </w:p>
    <w:p>
      <w:pPr>
        <w:pStyle w:val="Compact"/>
        <w:numPr>
          <w:ilvl w:val="0"/>
          <w:numId w:val="1003"/>
        </w:numPr>
      </w:pPr>
      <w:r>
        <w:t xml:space="preserve">Replacing domain-specific contract tests or migration tooling.</w:t>
      </w:r>
    </w:p>
    <w:p>
      <w:pPr>
        <w:pStyle w:val="Compact"/>
        <w:numPr>
          <w:ilvl w:val="0"/>
          <w:numId w:val="1003"/>
        </w:numPr>
      </w:pPr>
      <w:r>
        <w:t xml:space="preserve">Replacing GitHub, Slack, email, dashboards, or other notification systems.</w:t>
      </w:r>
    </w:p>
    <w:p>
      <w:pPr>
        <w:pStyle w:val="Compact"/>
        <w:numPr>
          <w:ilvl w:val="0"/>
          <w:numId w:val="1003"/>
        </w:numPr>
      </w:pPr>
      <w:r>
        <w:t xml:space="preserve">Defining a universal cross-repository authorization or state synchronization service.</w:t>
      </w:r>
    </w:p>
    <w:p>
      <w:pPr>
        <w:pStyle w:val="FirstParagraph"/>
      </w:pPr>
      <w:r>
        <w:t xml:space="preserve">This boundary matters. A credible protocol is easier to adopt when it solves one clear problem well.</w:t>
      </w:r>
    </w:p>
    <w:bookmarkEnd w:id="19"/>
    <w:bookmarkEnd w:id="20"/>
    <w:bookmarkStart w:id="21" w:name="working-definition"/>
    <w:p>
      <w:pPr>
        <w:pStyle w:val="Heading2"/>
      </w:pPr>
      <w:r>
        <w:t xml:space="preserve">3. Working Definition</w:t>
      </w:r>
    </w:p>
    <w:p>
      <w:pPr>
        <w:pStyle w:val="FirstParagraph"/>
      </w:pPr>
      <w:r>
        <w:t xml:space="preserve">SEIP is a Git-native schema change coordination protocol and reference CLI for declaring, reviewing, validating, notifying, and closing cross-team schema changes.</w:t>
      </w:r>
    </w:p>
    <w:bookmarkEnd w:id="21"/>
    <w:bookmarkStart w:id="26" w:name="design-principles"/>
    <w:p>
      <w:pPr>
        <w:pStyle w:val="Heading2"/>
      </w:pPr>
      <w:r>
        <w:t xml:space="preserve">4. Design Principles</w:t>
      </w:r>
    </w:p>
    <w:bookmarkStart w:id="22" w:name="git-is-canonical"/>
    <w:p>
      <w:pPr>
        <w:pStyle w:val="Heading3"/>
      </w:pPr>
      <w:r>
        <w:t xml:space="preserve">Git Is Canonical</w:t>
      </w:r>
    </w:p>
    <w:p>
      <w:pPr>
        <w:pStyle w:val="FirstParagraph"/>
      </w:pPr>
      <w:r>
        <w:t xml:space="preserve">The canonical state is a declaration JSON file stored at</w:t>
      </w:r>
      <w:r>
        <w:t xml:space="preserve"> </w:t>
      </w:r>
      <w:r>
        <w:rPr>
          <w:rStyle w:val="VerbatimChar"/>
        </w:rPr>
        <w:t xml:space="preserve">.seip/declarations/&lt;declaration_id&gt;.json</w:t>
      </w:r>
      <w:r>
        <w:t xml:space="preserve">. Git provides versioning, review, authorship, history, and merge semantics. CI reads declarations from the repository and enforces local policy.</w:t>
      </w:r>
    </w:p>
    <w:bookmarkEnd w:id="22"/>
    <w:bookmarkStart w:id="23" w:name="distribution-is-pluggable"/>
    <w:p>
      <w:pPr>
        <w:pStyle w:val="Heading3"/>
      </w:pPr>
      <w:r>
        <w:t xml:space="preserve">Distribution Is Pluggable</w:t>
      </w:r>
    </w:p>
    <w:p>
      <w:pPr>
        <w:pStyle w:val="FirstParagraph"/>
      </w:pPr>
      <w:r>
        <w:t xml:space="preserve">SEIP separates canonical state from distribution. Pull requests, Actions summaries, PR comments, Slack messages, dashboards, and internal portals can all surface the same declaration. These delivery mechanisms are adapters over protocol state, not the protocol itself.</w:t>
      </w:r>
    </w:p>
    <w:bookmarkEnd w:id="23"/>
    <w:bookmarkStart w:id="24" w:name="data-types-are-first-class"/>
    <w:p>
      <w:pPr>
        <w:pStyle w:val="Heading3"/>
      </w:pPr>
      <w:r>
        <w:t xml:space="preserve">Data Types Are First-Class</w:t>
      </w:r>
    </w:p>
    <w:p>
      <w:pPr>
        <w:pStyle w:val="FirstParagraph"/>
      </w:pPr>
      <w:r>
        <w:t xml:space="preserve">Schema compatibility is often decided by type evolution. SEIP distinguishes lossy transitions from safer widening transitions. For example,</w:t>
      </w:r>
      <w:r>
        <w:t xml:space="preserve"> </w:t>
      </w:r>
      <w:r>
        <w:rPr>
          <w:rStyle w:val="VerbatimChar"/>
        </w:rPr>
        <w:t xml:space="preserve">float</w:t>
      </w:r>
      <w:r>
        <w:t xml:space="preserve"> </w:t>
      </w:r>
      <w:r>
        <w:t xml:space="preserve">to</w:t>
      </w:r>
      <w:r>
        <w:t xml:space="preserve"> </w:t>
      </w:r>
      <w:r>
        <w:rPr>
          <w:rStyle w:val="VerbatimChar"/>
        </w:rPr>
        <w:t xml:space="preserve">integer</w:t>
      </w:r>
      <w:r>
        <w:t xml:space="preserve"> </w:t>
      </w:r>
      <w:r>
        <w:t xml:space="preserve">is treated as lossy;</w:t>
      </w:r>
      <w:r>
        <w:t xml:space="preserve"> </w:t>
      </w:r>
      <w:r>
        <w:rPr>
          <w:rStyle w:val="VerbatimChar"/>
        </w:rPr>
        <w:t xml:space="preserve">int32</w:t>
      </w:r>
      <w:r>
        <w:t xml:space="preserve"> </w:t>
      </w:r>
      <w:r>
        <w:t xml:space="preserve">to</w:t>
      </w:r>
      <w:r>
        <w:t xml:space="preserve"> </w:t>
      </w:r>
      <w:r>
        <w:rPr>
          <w:rStyle w:val="VerbatimChar"/>
        </w:rPr>
        <w:t xml:space="preserve">int64</w:t>
      </w:r>
      <w:r>
        <w:t xml:space="preserve"> </w:t>
      </w:r>
      <w:r>
        <w:t xml:space="preserve">can be reported as a retype without automatically making the change breaking.</w:t>
      </w:r>
    </w:p>
    <w:bookmarkEnd w:id="24"/>
    <w:bookmarkStart w:id="25" w:name="consumers-validate-before-acknowledging"/>
    <w:p>
      <w:pPr>
        <w:pStyle w:val="Heading3"/>
      </w:pPr>
      <w:r>
        <w:t xml:space="preserve">Consumers Validate Before Acknowledging</w:t>
      </w:r>
    </w:p>
    <w:p>
      <w:pPr>
        <w:pStyle w:val="FirstParagraph"/>
      </w:pPr>
      <w:r>
        <w:t xml:space="preserve">Consumer responses should not be blind approvals. A consumer can run local queries, parsers, ORM models, or tests against the proposed future schema before responding</w:t>
      </w:r>
      <w:r>
        <w:t xml:space="preserve"> </w:t>
      </w:r>
      <w:r>
        <w:rPr>
          <w:rStyle w:val="VerbatimChar"/>
        </w:rPr>
        <w:t xml:space="preserve">ACKNOWLEDGED</w:t>
      </w:r>
      <w:r>
        <w:t xml:space="preserve">,</w:t>
      </w:r>
      <w:r>
        <w:t xml:space="preserve"> </w:t>
      </w:r>
      <w:r>
        <w:rPr>
          <w:rStyle w:val="VerbatimChar"/>
        </w:rPr>
        <w:t xml:space="preserve">OBJECTED</w:t>
      </w:r>
      <w:r>
        <w:t xml:space="preserve">, or</w:t>
      </w:r>
      <w:r>
        <w:t xml:space="preserve"> </w:t>
      </w:r>
      <w:r>
        <w:rPr>
          <w:rStyle w:val="VerbatimChar"/>
        </w:rPr>
        <w:t xml:space="preserve">EXTENSION_REQUESTED</w:t>
      </w:r>
      <w:r>
        <w:t xml:space="preserve">.</w:t>
      </w:r>
    </w:p>
    <w:bookmarkEnd w:id="25"/>
    <w:bookmarkEnd w:id="26"/>
    <w:bookmarkStart w:id="30" w:name="core-declaration-model"/>
    <w:p>
      <w:pPr>
        <w:pStyle w:val="Heading2"/>
      </w:pPr>
      <w:r>
        <w:t xml:space="preserve">5. Core Declaration Model</w:t>
      </w:r>
    </w:p>
    <w:p>
      <w:pPr>
        <w:pStyle w:val="FirstParagraph"/>
      </w:pPr>
      <w:r>
        <w:t xml:space="preserve">SEIP is built around one primary artifact: the declaration. A declaration captures:</w:t>
      </w:r>
    </w:p>
    <w:p>
      <w:pPr>
        <w:pStyle w:val="Compact"/>
        <w:numPr>
          <w:ilvl w:val="0"/>
          <w:numId w:val="1004"/>
        </w:numPr>
      </w:pPr>
      <w:r>
        <w:t xml:space="preserve">the declaration id and SEIP version</w:t>
      </w:r>
    </w:p>
    <w:p>
      <w:pPr>
        <w:pStyle w:val="Compact"/>
        <w:numPr>
          <w:ilvl w:val="0"/>
          <w:numId w:val="1004"/>
        </w:numPr>
      </w:pPr>
      <w:r>
        <w:t xml:space="preserve">the producer team</w:t>
      </w:r>
    </w:p>
    <w:p>
      <w:pPr>
        <w:pStyle w:val="Compact"/>
        <w:numPr>
          <w:ilvl w:val="0"/>
          <w:numId w:val="1004"/>
        </w:numPr>
      </w:pPr>
      <w:r>
        <w:t xml:space="preserve">the change summary, type, and breaking status</w:t>
      </w:r>
    </w:p>
    <w:p>
      <w:pPr>
        <w:pStyle w:val="Compact"/>
        <w:numPr>
          <w:ilvl w:val="0"/>
          <w:numId w:val="1004"/>
        </w:numPr>
      </w:pPr>
      <w:r>
        <w:t xml:space="preserve">affected objects and fields</w:t>
      </w:r>
    </w:p>
    <w:p>
      <w:pPr>
        <w:pStyle w:val="Compact"/>
        <w:numPr>
          <w:ilvl w:val="0"/>
          <w:numId w:val="1004"/>
        </w:numPr>
      </w:pPr>
      <w:r>
        <w:t xml:space="preserve">explicit rename mappings when needed</w:t>
      </w:r>
    </w:p>
    <w:p>
      <w:pPr>
        <w:pStyle w:val="Compact"/>
        <w:numPr>
          <w:ilvl w:val="0"/>
          <w:numId w:val="1004"/>
        </w:numPr>
      </w:pPr>
      <w:r>
        <w:t xml:space="preserve">migration strategy and timeline</w:t>
      </w:r>
    </w:p>
    <w:p>
      <w:pPr>
        <w:pStyle w:val="Compact"/>
        <w:numPr>
          <w:ilvl w:val="0"/>
          <w:numId w:val="1004"/>
        </w:numPr>
      </w:pPr>
      <w:r>
        <w:t xml:space="preserve">downstream consumers and their current statuses</w:t>
      </w:r>
    </w:p>
    <w:p>
      <w:pPr>
        <w:pStyle w:val="Compact"/>
        <w:numPr>
          <w:ilvl w:val="0"/>
          <w:numId w:val="1004"/>
        </w:numPr>
      </w:pPr>
      <w:r>
        <w:t xml:space="preserve">consumer responses</w:t>
      </w:r>
    </w:p>
    <w:p>
      <w:pPr>
        <w:pStyle w:val="Compact"/>
        <w:numPr>
          <w:ilvl w:val="0"/>
          <w:numId w:val="1004"/>
        </w:numPr>
      </w:pPr>
      <w:r>
        <w:t xml:space="preserve">lifecycle events</w:t>
      </w:r>
    </w:p>
    <w:p>
      <w:pPr>
        <w:pStyle w:val="FirstParagraph"/>
      </w:pPr>
      <w:r>
        <w:t xml:space="preserve">The declaration is deliberately readable as JSON and structured enough for automation. Humans can review it in a pull request; CI and internal tooling can validate the same file.</w:t>
      </w:r>
    </w:p>
    <w:p>
      <w:pPr>
        <w:pStyle w:val="CaptionedFigure"/>
      </w:pPr>
      <w:r>
        <w:drawing>
          <wp:inline>
            <wp:extent cx="5334000" cy="5334000"/>
            <wp:effectExtent b="0" l="0" r="0" t="0"/>
            <wp:docPr descr="Canonical model" title="" id="28" name="Picture"/>
            <a:graphic>
              <a:graphicData uri="http://schemas.openxmlformats.org/drawingml/2006/picture">
                <pic:pic>
                  <pic:nvPicPr>
                    <pic:cNvPr descr="./diagrams/canonical-model.png" id="29" name="Picture"/>
                    <pic:cNvPicPr>
                      <a:picLocks noChangeArrowheads="1" noChangeAspect="1"/>
                    </pic:cNvPicPr>
                  </pic:nvPicPr>
                  <pic:blipFill>
                    <a:blip r:embed="rId27"/>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Canonical model</w:t>
      </w:r>
    </w:p>
    <w:p>
      <w:pPr>
        <w:pStyle w:val="BodyText"/>
      </w:pPr>
      <w:r>
        <w:rPr>
          <w:i/>
          <w:iCs/>
        </w:rPr>
        <w:t xml:space="preserve">Figure 2. Git stores the canonical declaration while downstream surfaces render or enforce it.</w:t>
      </w:r>
    </w:p>
    <w:bookmarkEnd w:id="30"/>
    <w:bookmarkStart w:id="37" w:name="notification-model"/>
    <w:p>
      <w:pPr>
        <w:pStyle w:val="Heading2"/>
      </w:pPr>
      <w:r>
        <w:t xml:space="preserve">6. Notification Model</w:t>
      </w:r>
    </w:p>
    <w:p>
      <w:pPr>
        <w:pStyle w:val="FirstParagraph"/>
      </w:pPr>
      <w:r>
        <w:t xml:space="preserve">SEIP does not assume humans will poll a Git repository. It also does not make</w:t>
      </w:r>
      <w:r>
        <w:t xml:space="preserve"> </w:t>
      </w:r>
      <w:r>
        <w:rPr>
          <w:rStyle w:val="VerbatimChar"/>
        </w:rPr>
        <w:t xml:space="preserve">consumers[].webhook</w:t>
      </w:r>
      <w:r>
        <w:t xml:space="preserve"> </w:t>
      </w:r>
      <w:r>
        <w:t xml:space="preserve">a required protocol field. Instead, the reference CLI exposes notification adapters that render the canonical declaration into delivery-specific payloads.</w:t>
      </w:r>
    </w:p>
    <w:bookmarkStart w:id="33" w:name="github-as-the-default-human-workflow"/>
    <w:p>
      <w:pPr>
        <w:pStyle w:val="Heading3"/>
      </w:pPr>
      <w:r>
        <w:t xml:space="preserve">GitHub As The Default Human Workflow</w:t>
      </w:r>
    </w:p>
    <w:p>
      <w:pPr>
        <w:pStyle w:val="FirstParagraph"/>
      </w:pPr>
      <w:r>
        <w:t xml:space="preserve">For organizations already using GitHub, SEIP fits naturally into existing notification mechanics:</w:t>
      </w:r>
    </w:p>
    <w:p>
      <w:pPr>
        <w:pStyle w:val="Compact"/>
        <w:numPr>
          <w:ilvl w:val="0"/>
          <w:numId w:val="1005"/>
        </w:numPr>
      </w:pPr>
      <w:r>
        <w:t xml:space="preserve">A pull request changing schemas and</w:t>
      </w:r>
      <w:r>
        <w:t xml:space="preserve"> </w:t>
      </w:r>
      <w:r>
        <w:rPr>
          <w:rStyle w:val="VerbatimChar"/>
        </w:rPr>
        <w:t xml:space="preserve">.seip/declarations/*.json</w:t>
      </w:r>
      <w:r>
        <w:t xml:space="preserve"> </w:t>
      </w:r>
      <w:r>
        <w:t xml:space="preserve">becomes the review surface.</w:t>
      </w:r>
    </w:p>
    <w:p>
      <w:pPr>
        <w:pStyle w:val="Compact"/>
        <w:numPr>
          <w:ilvl w:val="0"/>
          <w:numId w:val="1005"/>
        </w:numPr>
      </w:pPr>
      <w:r>
        <w:t xml:space="preserve">GitHub review requests, team mentions, CODEOWNERS, repository watching, and issue or pull request subscriptions notify interested reviewers.</w:t>
      </w:r>
    </w:p>
    <w:p>
      <w:pPr>
        <w:pStyle w:val="Compact"/>
        <w:numPr>
          <w:ilvl w:val="0"/>
          <w:numId w:val="1005"/>
        </w:numPr>
      </w:pPr>
      <w:r>
        <w:t xml:space="preserve">GitHub Actions can run</w:t>
      </w:r>
      <w:r>
        <w:t xml:space="preserve"> </w:t>
      </w:r>
      <w:r>
        <w:rPr>
          <w:rStyle w:val="VerbatimChar"/>
        </w:rPr>
        <w:t xml:space="preserve">seip validate</w:t>
      </w:r>
      <w:r>
        <w:t xml:space="preserve">, attach summaries, or post generated Markdown to the PR.</w:t>
      </w:r>
    </w:p>
    <w:p>
      <w:pPr>
        <w:pStyle w:val="Compact"/>
        <w:numPr>
          <w:ilvl w:val="0"/>
          <w:numId w:val="1005"/>
        </w:numPr>
      </w:pPr>
      <w:r>
        <w:t xml:space="preserve">Users can receive notifications through the GitHub inbox, email, mobile, or Actions notification settings.</w:t>
      </w:r>
    </w:p>
    <w:p>
      <w:pPr>
        <w:pStyle w:val="FirstParagraph"/>
      </w:pPr>
      <w:r>
        <w:t xml:space="preserve">This aligns with GitHub’s notification model for pull requests, issues, repositories, Actions, and subscriptions:</w:t>
      </w:r>
    </w:p>
    <w:p>
      <w:pPr>
        <w:pStyle w:val="Compact"/>
        <w:numPr>
          <w:ilvl w:val="0"/>
          <w:numId w:val="1006"/>
        </w:numPr>
      </w:pPr>
      <w:hyperlink r:id="rId31">
        <w:r>
          <w:rPr>
            <w:rStyle w:val="Hyperlink"/>
          </w:rPr>
          <w:t xml:space="preserve">GitHub notifications</w:t>
        </w:r>
      </w:hyperlink>
    </w:p>
    <w:p>
      <w:pPr>
        <w:pStyle w:val="Compact"/>
        <w:numPr>
          <w:ilvl w:val="0"/>
          <w:numId w:val="1006"/>
        </w:numPr>
      </w:pPr>
      <w:hyperlink r:id="rId32">
        <w:r>
          <w:rPr>
            <w:rStyle w:val="Hyperlink"/>
          </w:rPr>
          <w:t xml:space="preserve">GitHub Actions notifications</w:t>
        </w:r>
      </w:hyperlink>
    </w:p>
    <w:bookmarkEnd w:id="33"/>
    <w:bookmarkStart w:id="36" w:name="slack-as-a-pluggable-channel-adapter"/>
    <w:p>
      <w:pPr>
        <w:pStyle w:val="Heading3"/>
      </w:pPr>
      <w:r>
        <w:t xml:space="preserve">Slack As A Pluggable Channel Adapter</w:t>
      </w:r>
    </w:p>
    <w:p>
      <w:pPr>
        <w:pStyle w:val="FirstParagraph"/>
      </w:pPr>
      <w:r>
        <w:t xml:space="preserve">Slack remains useful because schema coordination often needs a shared team room. The GitHub Slack integration can subscribe a channel to PRs, reviews, comments, workflows, and labels, and a SEIP-specific Slack adapter can post a richer Block Kit summary for a declaration.</w:t>
      </w:r>
    </w:p>
    <w:p>
      <w:pPr>
        <w:pStyle w:val="BodyText"/>
      </w:pPr>
      <w:r>
        <w:t xml:space="preserve">This supports Ricardo’s suggestion: people who care about a schema can join the relevant Slack channel, while SEIP still keeps Git as the source of truth. Slack is a delivery surface, not a second state store.</w:t>
      </w:r>
    </w:p>
    <w:p>
      <w:pPr>
        <w:pStyle w:val="BodyText"/>
      </w:pPr>
      <w:r>
        <w:t xml:space="preserve">Relevant GitHub Slack integration docs:</w:t>
      </w:r>
    </w:p>
    <w:p>
      <w:pPr>
        <w:pStyle w:val="Compact"/>
        <w:numPr>
          <w:ilvl w:val="0"/>
          <w:numId w:val="1007"/>
        </w:numPr>
      </w:pPr>
      <w:hyperlink r:id="rId34">
        <w:r>
          <w:rPr>
            <w:rStyle w:val="Hyperlink"/>
          </w:rPr>
          <w:t xml:space="preserve">GitHub Slack integration</w:t>
        </w:r>
      </w:hyperlink>
    </w:p>
    <w:p>
      <w:pPr>
        <w:pStyle w:val="Compact"/>
        <w:numPr>
          <w:ilvl w:val="0"/>
          <w:numId w:val="1007"/>
        </w:numPr>
      </w:pPr>
      <w:hyperlink r:id="rId35">
        <w:r>
          <w:rPr>
            <w:rStyle w:val="Hyperlink"/>
          </w:rPr>
          <w:t xml:space="preserve">GitHub Slack notification customization</w:t>
        </w:r>
      </w:hyperlink>
    </w:p>
    <w:bookmarkEnd w:id="36"/>
    <w:bookmarkEnd w:id="37"/>
    <w:bookmarkStart w:id="41" w:name="declaration-lifecycle"/>
    <w:p>
      <w:pPr>
        <w:pStyle w:val="Heading2"/>
      </w:pPr>
      <w:r>
        <w:t xml:space="preserve">7. Declaration Lifecycle</w:t>
      </w:r>
    </w:p>
    <w:p>
      <w:pPr>
        <w:pStyle w:val="FirstParagraph"/>
      </w:pPr>
      <w:r>
        <w:t xml:space="preserve">SEIP declarations move through a compact lifecycle:</w:t>
      </w:r>
    </w:p>
    <w:p>
      <w:pPr>
        <w:pStyle w:val="BodyText"/>
      </w:pPr>
      <w:r>
        <w:rPr>
          <w:rStyle w:val="VerbatimChar"/>
        </w:rPr>
        <w:t xml:space="preserve">DRAFT -&gt; PROPOSED -&gt; UNDER_REVIEW -&gt; ACCEPTED -&gt; ENFORCING -&gt; COMPLETED</w:t>
      </w:r>
    </w:p>
    <w:p>
      <w:pPr>
        <w:pStyle w:val="BodyText"/>
      </w:pPr>
      <w:r>
        <w:t xml:space="preserve">Additional terminal states are:</w:t>
      </w:r>
    </w:p>
    <w:p>
      <w:pPr>
        <w:pStyle w:val="Compact"/>
        <w:numPr>
          <w:ilvl w:val="0"/>
          <w:numId w:val="1008"/>
        </w:numPr>
      </w:pPr>
      <w:r>
        <w:rPr>
          <w:rStyle w:val="VerbatimChar"/>
        </w:rPr>
        <w:t xml:space="preserve">WITHDRAWN</w:t>
      </w:r>
    </w:p>
    <w:p>
      <w:pPr>
        <w:pStyle w:val="Compact"/>
        <w:numPr>
          <w:ilvl w:val="0"/>
          <w:numId w:val="1008"/>
        </w:numPr>
      </w:pPr>
      <w:r>
        <w:rPr>
          <w:rStyle w:val="VerbatimChar"/>
        </w:rPr>
        <w:t xml:space="preserve">REJECTED</w:t>
      </w:r>
    </w:p>
    <w:p>
      <w:pPr>
        <w:pStyle w:val="FirstParagraph"/>
      </w:pPr>
      <w:r>
        <w:t xml:space="preserve">Consumer responses shape the lifecycle:</w:t>
      </w:r>
    </w:p>
    <w:p>
      <w:pPr>
        <w:pStyle w:val="Compact"/>
        <w:numPr>
          <w:ilvl w:val="0"/>
          <w:numId w:val="1009"/>
        </w:numPr>
      </w:pPr>
      <w:r>
        <w:rPr>
          <w:rStyle w:val="VerbatimChar"/>
        </w:rPr>
        <w:t xml:space="preserve">ACKNOWLEDGED</w:t>
      </w:r>
      <w:r>
        <w:t xml:space="preserve"> </w:t>
      </w:r>
      <w:r>
        <w:t xml:space="preserve">means a consumer has validated or accepted the impact.</w:t>
      </w:r>
    </w:p>
    <w:p>
      <w:pPr>
        <w:pStyle w:val="Compact"/>
        <w:numPr>
          <w:ilvl w:val="0"/>
          <w:numId w:val="1009"/>
        </w:numPr>
      </w:pPr>
      <w:r>
        <w:rPr>
          <w:rStyle w:val="VerbatimChar"/>
        </w:rPr>
        <w:t xml:space="preserve">OBJECTED</w:t>
      </w:r>
      <w:r>
        <w:t xml:space="preserve"> </w:t>
      </w:r>
      <w:r>
        <w:t xml:space="preserve">means the change needs review or renegotiation.</w:t>
      </w:r>
    </w:p>
    <w:p>
      <w:pPr>
        <w:pStyle w:val="Compact"/>
        <w:numPr>
          <w:ilvl w:val="0"/>
          <w:numId w:val="1009"/>
        </w:numPr>
      </w:pPr>
      <w:r>
        <w:rPr>
          <w:rStyle w:val="VerbatimChar"/>
        </w:rPr>
        <w:t xml:space="preserve">EXTENSION_REQUESTED</w:t>
      </w:r>
      <w:r>
        <w:t xml:space="preserve"> </w:t>
      </w:r>
      <w:r>
        <w:t xml:space="preserve">means the consumer accepts the direction but needs more time.</w:t>
      </w:r>
    </w:p>
    <w:p>
      <w:pPr>
        <w:pStyle w:val="FirstParagraph"/>
      </w:pPr>
      <w:r>
        <w:t xml:space="preserve">SEIP does not prescribe how teams negotiate. It records the result in Git and makes the current state enforceable by CI.</w:t>
      </w:r>
    </w:p>
    <w:p>
      <w:pPr>
        <w:pStyle w:val="CaptionedFigure"/>
      </w:pPr>
      <w:r>
        <w:drawing>
          <wp:inline>
            <wp:extent cx="5334000" cy="5334000"/>
            <wp:effectExtent b="0" l="0" r="0" t="0"/>
            <wp:docPr descr="Declaration lifecycle" title="" id="39" name="Picture"/>
            <a:graphic>
              <a:graphicData uri="http://schemas.openxmlformats.org/drawingml/2006/picture">
                <pic:pic>
                  <pic:nvPicPr>
                    <pic:cNvPr descr="./diagrams/lifecycle.png" id="40" name="Picture"/>
                    <pic:cNvPicPr>
                      <a:picLocks noChangeArrowheads="1" noChangeAspect="1"/>
                    </pic:cNvPicPr>
                  </pic:nvPicPr>
                  <pic:blipFill>
                    <a:blip r:embed="rId38"/>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Declaration lifecycle</w:t>
      </w:r>
    </w:p>
    <w:p>
      <w:pPr>
        <w:pStyle w:val="BodyText"/>
      </w:pPr>
      <w:r>
        <w:rPr>
          <w:i/>
          <w:iCs/>
        </w:rPr>
        <w:t xml:space="preserve">Figure 3. Consumer responses move declarations through review, enforcement, and closure states.</w:t>
      </w:r>
    </w:p>
    <w:bookmarkEnd w:id="41"/>
    <w:bookmarkStart w:id="48" w:name="reference-cli-workflow"/>
    <w:p>
      <w:pPr>
        <w:pStyle w:val="Heading2"/>
      </w:pPr>
      <w:r>
        <w:t xml:space="preserve">8. Reference CLI Workflow</w:t>
      </w:r>
    </w:p>
    <w:p>
      <w:pPr>
        <w:pStyle w:val="FirstParagraph"/>
      </w:pPr>
      <w:r>
        <w:t xml:space="preserve">The following example uses commands supported by the current reference CLI.</w:t>
      </w:r>
    </w:p>
    <w:bookmarkStart w:id="42" w:name="step-1-detect-a-lossy-type-change"/>
    <w:p>
      <w:pPr>
        <w:pStyle w:val="Heading3"/>
      </w:pPr>
      <w:r>
        <w:t xml:space="preserve">Step 1: Detect A Lossy Type Change</w:t>
      </w:r>
    </w:p>
    <w:p>
      <w:pPr>
        <w:pStyle w:val="FirstParagraph"/>
      </w:pPr>
      <w:r>
        <w:t xml:space="preserve">The</w:t>
      </w:r>
      <w:r>
        <w:t xml:space="preserve"> </w:t>
      </w:r>
      <w:r>
        <w:rPr>
          <w:rStyle w:val="VerbatimChar"/>
        </w:rPr>
        <w:t xml:space="preserve">ledger-api</w:t>
      </w:r>
      <w:r>
        <w:t xml:space="preserve"> </w:t>
      </w:r>
      <w:r>
        <w:t xml:space="preserve">team changes</w:t>
      </w:r>
      <w:r>
        <w:t xml:space="preserve"> </w:t>
      </w:r>
      <w:r>
        <w:rPr>
          <w:rStyle w:val="VerbatimChar"/>
        </w:rPr>
        <w:t xml:space="preserve">transaction.value</w:t>
      </w:r>
      <w:r>
        <w:t xml:space="preserve"> </w:t>
      </w:r>
      <w:r>
        <w:t xml:space="preserve">from</w:t>
      </w:r>
      <w:r>
        <w:t xml:space="preserve"> </w:t>
      </w:r>
      <w:r>
        <w:rPr>
          <w:rStyle w:val="VerbatimChar"/>
        </w:rPr>
        <w:t xml:space="preserve">float</w:t>
      </w:r>
      <w:r>
        <w:t xml:space="preserve"> </w:t>
      </w:r>
      <w:r>
        <w:t xml:space="preserve">to</w:t>
      </w:r>
      <w:r>
        <w:t xml:space="preserve"> </w:t>
      </w:r>
      <w:r>
        <w:rPr>
          <w:rStyle w:val="VerbatimChar"/>
        </w:rPr>
        <w:t xml:space="preserve">integer</w:t>
      </w:r>
      <w:r>
        <w:t xml:space="preserve">.</w:t>
      </w:r>
    </w:p>
    <w:p>
      <w:pPr>
        <w:pStyle w:val="SourceCode"/>
      </w:pPr>
      <w:r>
        <w:rPr>
          <w:rStyle w:val="ExtensionTok"/>
        </w:rPr>
        <w:t xml:space="preserve">npx</w:t>
      </w:r>
      <w:r>
        <w:rPr>
          <w:rStyle w:val="NormalTok"/>
        </w:rPr>
        <w:t xml:space="preserve"> seip diff schema-v1.json schema-v2.json </w:t>
      </w:r>
      <w:r>
        <w:rPr>
          <w:rStyle w:val="AttributeTok"/>
        </w:rPr>
        <w:t xml:space="preserve">--strict</w:t>
      </w:r>
    </w:p>
    <w:p>
      <w:pPr>
        <w:pStyle w:val="FirstParagraph"/>
      </w:pPr>
      <w:r>
        <w:t xml:space="preserve">The diff reports a lossy retype and marks the change as breaking.</w:t>
      </w:r>
    </w:p>
    <w:bookmarkEnd w:id="42"/>
    <w:bookmarkStart w:id="43" w:name="step-2-create-a-declaration"/>
    <w:p>
      <w:pPr>
        <w:pStyle w:val="Heading3"/>
      </w:pPr>
      <w:r>
        <w:t xml:space="preserve">Step 2: Create A Declaration</w:t>
      </w:r>
    </w:p>
    <w:p>
      <w:pPr>
        <w:pStyle w:val="SourceCode"/>
      </w:pPr>
      <w:r>
        <w:rPr>
          <w:rStyle w:val="ExtensionTok"/>
        </w:rPr>
        <w:t xml:space="preserve">npx</w:t>
      </w:r>
      <w:r>
        <w:rPr>
          <w:rStyle w:val="NormalTok"/>
        </w:rPr>
        <w:t xml:space="preserve"> seip create </w:t>
      </w:r>
      <w:r>
        <w:rPr>
          <w:rStyle w:val="DataTypeTok"/>
        </w:rPr>
        <w:t xml:space="preserve">\</w:t>
      </w:r>
      <w:r>
        <w:br/>
      </w:r>
      <w:r>
        <w:rPr>
          <w:rStyle w:val="NormalTok"/>
        </w:rPr>
        <w:t xml:space="preserve">  </w:t>
      </w:r>
      <w:r>
        <w:rPr>
          <w:rStyle w:val="AttributeTok"/>
        </w:rPr>
        <w:t xml:space="preserve">--id</w:t>
      </w:r>
      <w:r>
        <w:rPr>
          <w:rStyle w:val="NormalTok"/>
        </w:rPr>
        <w:t xml:space="preserve"> seip_retype_transaction_value </w:t>
      </w:r>
      <w:r>
        <w:rPr>
          <w:rStyle w:val="DataTypeTok"/>
        </w:rPr>
        <w:t xml:space="preserve">\</w:t>
      </w:r>
      <w:r>
        <w:br/>
      </w:r>
      <w:r>
        <w:rPr>
          <w:rStyle w:val="NormalTok"/>
        </w:rPr>
        <w:t xml:space="preserve">  </w:t>
      </w:r>
      <w:r>
        <w:rPr>
          <w:rStyle w:val="AttributeTok"/>
        </w:rPr>
        <w:t xml:space="preserve">--summary</w:t>
      </w:r>
      <w:r>
        <w:rPr>
          <w:rStyle w:val="NormalTok"/>
        </w:rPr>
        <w:t xml:space="preserve"> </w:t>
      </w:r>
      <w:r>
        <w:rPr>
          <w:rStyle w:val="StringTok"/>
        </w:rPr>
        <w:t xml:space="preserve">"Change transaction.value from float to integer"</w:t>
      </w:r>
      <w:r>
        <w:rPr>
          <w:rStyle w:val="NormalTok"/>
        </w:rPr>
        <w:t xml:space="preserve"> </w:t>
      </w:r>
      <w:r>
        <w:rPr>
          <w:rStyle w:val="DataTypeTok"/>
        </w:rPr>
        <w:t xml:space="preserve">\</w:t>
      </w:r>
      <w:r>
        <w:br/>
      </w:r>
      <w:r>
        <w:rPr>
          <w:rStyle w:val="NormalTok"/>
        </w:rPr>
        <w:t xml:space="preserve">  </w:t>
      </w:r>
      <w:r>
        <w:rPr>
          <w:rStyle w:val="AttributeTok"/>
        </w:rPr>
        <w:t xml:space="preserve">--type</w:t>
      </w:r>
      <w:r>
        <w:rPr>
          <w:rStyle w:val="NormalTok"/>
        </w:rPr>
        <w:t xml:space="preserve"> retype </w:t>
      </w:r>
      <w:r>
        <w:rPr>
          <w:rStyle w:val="DataTypeTok"/>
        </w:rPr>
        <w:t xml:space="preserve">\</w:t>
      </w:r>
      <w:r>
        <w:br/>
      </w:r>
      <w:r>
        <w:rPr>
          <w:rStyle w:val="NormalTok"/>
        </w:rPr>
        <w:t xml:space="preserve">  </w:t>
      </w:r>
      <w:r>
        <w:rPr>
          <w:rStyle w:val="AttributeTok"/>
        </w:rPr>
        <w:t xml:space="preserve">--breaking</w:t>
      </w:r>
      <w:r>
        <w:rPr>
          <w:rStyle w:val="NormalTok"/>
        </w:rPr>
        <w:t xml:space="preserve"> </w:t>
      </w:r>
      <w:r>
        <w:rPr>
          <w:rStyle w:val="DataTypeTok"/>
        </w:rPr>
        <w:t xml:space="preserve">\</w:t>
      </w:r>
      <w:r>
        <w:br/>
      </w:r>
      <w:r>
        <w:rPr>
          <w:rStyle w:val="NormalTok"/>
        </w:rPr>
        <w:t xml:space="preserve">  </w:t>
      </w:r>
      <w:r>
        <w:rPr>
          <w:rStyle w:val="AttributeTok"/>
        </w:rPr>
        <w:t xml:space="preserve">--strategy</w:t>
      </w:r>
      <w:r>
        <w:rPr>
          <w:rStyle w:val="NormalTok"/>
        </w:rPr>
        <w:t xml:space="preserve"> dual_write </w:t>
      </w:r>
      <w:r>
        <w:rPr>
          <w:rStyle w:val="DataTypeTok"/>
        </w:rPr>
        <w:t xml:space="preserve">\</w:t>
      </w:r>
      <w:r>
        <w:br/>
      </w:r>
      <w:r>
        <w:rPr>
          <w:rStyle w:val="NormalTok"/>
        </w:rPr>
        <w:t xml:space="preserve">  </w:t>
      </w:r>
      <w:r>
        <w:rPr>
          <w:rStyle w:val="AttributeTok"/>
        </w:rPr>
        <w:t xml:space="preserve">--producer</w:t>
      </w:r>
      <w:r>
        <w:rPr>
          <w:rStyle w:val="NormalTok"/>
        </w:rPr>
        <w:t xml:space="preserve"> ledger-api </w:t>
      </w:r>
      <w:r>
        <w:rPr>
          <w:rStyle w:val="DataTypeTok"/>
        </w:rPr>
        <w:t xml:space="preserve">\</w:t>
      </w:r>
      <w:r>
        <w:br/>
      </w:r>
      <w:r>
        <w:rPr>
          <w:rStyle w:val="NormalTok"/>
        </w:rPr>
        <w:t xml:space="preserve">  </w:t>
      </w:r>
      <w:r>
        <w:rPr>
          <w:rStyle w:val="AttributeTok"/>
        </w:rPr>
        <w:t xml:space="preserve">--consumer</w:t>
      </w:r>
      <w:r>
        <w:rPr>
          <w:rStyle w:val="NormalTok"/>
        </w:rPr>
        <w:t xml:space="preserve"> payments-api </w:t>
      </w:r>
      <w:r>
        <w:rPr>
          <w:rStyle w:val="DataTypeTok"/>
        </w:rPr>
        <w:t xml:space="preserve">\</w:t>
      </w:r>
      <w:r>
        <w:br/>
      </w:r>
      <w:r>
        <w:rPr>
          <w:rStyle w:val="NormalTok"/>
        </w:rPr>
        <w:t xml:space="preserve">  </w:t>
      </w:r>
      <w:r>
        <w:rPr>
          <w:rStyle w:val="AttributeTok"/>
        </w:rPr>
        <w:t xml:space="preserve">--consumer</w:t>
      </w:r>
      <w:r>
        <w:rPr>
          <w:rStyle w:val="NormalTok"/>
        </w:rPr>
        <w:t xml:space="preserve"> risk-service </w:t>
      </w:r>
      <w:r>
        <w:rPr>
          <w:rStyle w:val="DataTypeTok"/>
        </w:rPr>
        <w:t xml:space="preserve">\</w:t>
      </w:r>
      <w:r>
        <w:br/>
      </w:r>
      <w:r>
        <w:rPr>
          <w:rStyle w:val="NormalTok"/>
        </w:rPr>
        <w:t xml:space="preserve">  </w:t>
      </w:r>
      <w:r>
        <w:rPr>
          <w:rStyle w:val="AttributeTok"/>
        </w:rPr>
        <w:t xml:space="preserve">--from-diff</w:t>
      </w:r>
      <w:r>
        <w:rPr>
          <w:rStyle w:val="NormalTok"/>
        </w:rPr>
        <w:t xml:space="preserve"> schema-v1.json schema-v2.json</w:t>
      </w:r>
    </w:p>
    <w:p>
      <w:pPr>
        <w:pStyle w:val="FirstParagraph"/>
      </w:pPr>
      <w:r>
        <w:t xml:space="preserve">The declaration is written to</w:t>
      </w:r>
      <w:r>
        <w:t xml:space="preserve"> </w:t>
      </w:r>
      <w:r>
        <w:rPr>
          <w:rStyle w:val="VerbatimChar"/>
        </w:rPr>
        <w:t xml:space="preserve">.seip/declarations/seip_retype_transaction_value.json</w:t>
      </w:r>
      <w:r>
        <w:t xml:space="preserve">.</w:t>
      </w:r>
    </w:p>
    <w:bookmarkEnd w:id="43"/>
    <w:bookmarkStart w:id="44" w:name="step-3-propose-the-change"/>
    <w:p>
      <w:pPr>
        <w:pStyle w:val="Heading3"/>
      </w:pPr>
      <w:r>
        <w:t xml:space="preserve">Step 3: Propose The Change</w:t>
      </w:r>
    </w:p>
    <w:p>
      <w:pPr>
        <w:pStyle w:val="SourceCode"/>
      </w:pPr>
      <w:r>
        <w:rPr>
          <w:rStyle w:val="ExtensionTok"/>
        </w:rPr>
        <w:t xml:space="preserve">npx</w:t>
      </w:r>
      <w:r>
        <w:rPr>
          <w:rStyle w:val="NormalTok"/>
        </w:rPr>
        <w:t xml:space="preserve"> seip propose seip_retype_transaction_value </w:t>
      </w:r>
      <w:r>
        <w:rPr>
          <w:rStyle w:val="AttributeTok"/>
        </w:rPr>
        <w:t xml:space="preserve">--actor</w:t>
      </w:r>
      <w:r>
        <w:rPr>
          <w:rStyle w:val="NormalTok"/>
        </w:rPr>
        <w:t xml:space="preserve"> ledger-api</w:t>
      </w:r>
    </w:p>
    <w:p>
      <w:pPr>
        <w:pStyle w:val="FirstParagraph"/>
      </w:pPr>
      <w:r>
        <w:t xml:space="preserve">The declaration is now ready for consumer review.</w:t>
      </w:r>
    </w:p>
    <w:bookmarkEnd w:id="44"/>
    <w:bookmarkStart w:id="45" w:name="step-4-surface-the-declaration"/>
    <w:p>
      <w:pPr>
        <w:pStyle w:val="Heading3"/>
      </w:pPr>
      <w:r>
        <w:t xml:space="preserve">Step 4: Surface The Declaration</w:t>
      </w:r>
    </w:p>
    <w:p>
      <w:pPr>
        <w:pStyle w:val="FirstParagraph"/>
      </w:pPr>
      <w:r>
        <w:t xml:space="preserve">GitHub Markdown output can be posted to a PR comment or appended to</w:t>
      </w:r>
      <w:r>
        <w:t xml:space="preserve"> </w:t>
      </w:r>
      <w:r>
        <w:rPr>
          <w:rStyle w:val="VerbatimChar"/>
        </w:rPr>
        <w:t xml:space="preserve">$GITHUB_STEP_SUMMARY</w:t>
      </w:r>
      <w:r>
        <w:t xml:space="preserve">:</w:t>
      </w:r>
    </w:p>
    <w:p>
      <w:pPr>
        <w:pStyle w:val="SourceCode"/>
      </w:pPr>
      <w:r>
        <w:rPr>
          <w:rStyle w:val="ExtensionTok"/>
        </w:rPr>
        <w:t xml:space="preserve">npx</w:t>
      </w:r>
      <w:r>
        <w:rPr>
          <w:rStyle w:val="NormalTok"/>
        </w:rPr>
        <w:t xml:space="preserve"> seip notify seip_retype_transaction_value </w:t>
      </w:r>
      <w:r>
        <w:rPr>
          <w:rStyle w:val="DataTypeTok"/>
        </w:rPr>
        <w:t xml:space="preserve">\</w:t>
      </w:r>
      <w:r>
        <w:br/>
      </w:r>
      <w:r>
        <w:rPr>
          <w:rStyle w:val="NormalTok"/>
        </w:rPr>
        <w:t xml:space="preserve">  </w:t>
      </w:r>
      <w:r>
        <w:rPr>
          <w:rStyle w:val="AttributeTok"/>
        </w:rPr>
        <w:t xml:space="preserve">--adapter</w:t>
      </w:r>
      <w:r>
        <w:rPr>
          <w:rStyle w:val="NormalTok"/>
        </w:rPr>
        <w:t xml:space="preserve"> github </w:t>
      </w:r>
      <w:r>
        <w:rPr>
          <w:rStyle w:val="DataTypeTok"/>
        </w:rPr>
        <w:t xml:space="preserve">\</w:t>
      </w:r>
      <w:r>
        <w:br/>
      </w:r>
      <w:r>
        <w:rPr>
          <w:rStyle w:val="NormalTok"/>
        </w:rPr>
        <w:t xml:space="preserve">  </w:t>
      </w:r>
      <w:r>
        <w:rPr>
          <w:rStyle w:val="AttributeTok"/>
        </w:rPr>
        <w:t xml:space="preserve">--repo-url</w:t>
      </w:r>
      <w:r>
        <w:rPr>
          <w:rStyle w:val="NormalTok"/>
        </w:rPr>
        <w:t xml:space="preserve"> https://github.com/acme/ledger-api</w:t>
      </w:r>
    </w:p>
    <w:p>
      <w:pPr>
        <w:pStyle w:val="FirstParagraph"/>
      </w:pPr>
      <w:r>
        <w:t xml:space="preserve">Slack output can be posted to a team channel:</w:t>
      </w:r>
    </w:p>
    <w:p>
      <w:pPr>
        <w:pStyle w:val="SourceCode"/>
      </w:pPr>
      <w:r>
        <w:rPr>
          <w:rStyle w:val="ExtensionTok"/>
        </w:rPr>
        <w:t xml:space="preserve">npx</w:t>
      </w:r>
      <w:r>
        <w:rPr>
          <w:rStyle w:val="NormalTok"/>
        </w:rPr>
        <w:t xml:space="preserve"> seip notify seip_retype_transaction_value </w:t>
      </w:r>
      <w:r>
        <w:rPr>
          <w:rStyle w:val="DataTypeTok"/>
        </w:rPr>
        <w:t xml:space="preserve">\</w:t>
      </w:r>
      <w:r>
        <w:br/>
      </w:r>
      <w:r>
        <w:rPr>
          <w:rStyle w:val="NormalTok"/>
        </w:rPr>
        <w:t xml:space="preserve">  </w:t>
      </w:r>
      <w:r>
        <w:rPr>
          <w:rStyle w:val="AttributeTok"/>
        </w:rPr>
        <w:t xml:space="preserve">--adapter</w:t>
      </w:r>
      <w:r>
        <w:rPr>
          <w:rStyle w:val="NormalTok"/>
        </w:rPr>
        <w:t xml:space="preserve"> slack </w:t>
      </w:r>
      <w:r>
        <w:rPr>
          <w:rStyle w:val="DataTypeTok"/>
        </w:rPr>
        <w:t xml:space="preserve">\</w:t>
      </w:r>
      <w:r>
        <w:br/>
      </w:r>
      <w:r>
        <w:rPr>
          <w:rStyle w:val="NormalTok"/>
        </w:rPr>
        <w:t xml:space="preserve">  </w:t>
      </w:r>
      <w:r>
        <w:rPr>
          <w:rStyle w:val="AttributeTok"/>
        </w:rPr>
        <w:t xml:space="preserve">--webhook</w:t>
      </w:r>
      <w:r>
        <w:rPr>
          <w:rStyle w:val="NormalTok"/>
        </w:rPr>
        <w:t xml:space="preserve"> </w:t>
      </w:r>
      <w:r>
        <w:rPr>
          <w:rStyle w:val="StringTok"/>
        </w:rPr>
        <w:t xml:space="preserve">"</w:t>
      </w:r>
      <w:r>
        <w:rPr>
          <w:rStyle w:val="VariableTok"/>
        </w:rPr>
        <w:t xml:space="preserve">$SLACK_SCHEMA_WEBHOOK</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--repo-url</w:t>
      </w:r>
      <w:r>
        <w:rPr>
          <w:rStyle w:val="NormalTok"/>
        </w:rPr>
        <w:t xml:space="preserve"> https://github.com/acme/ledger-api</w:t>
      </w:r>
    </w:p>
    <w:p>
      <w:pPr>
        <w:pStyle w:val="FirstParagraph"/>
      </w:pPr>
      <w:r>
        <w:t xml:space="preserve">Both adapters are rendering the same declaration state.</w:t>
      </w:r>
    </w:p>
    <w:bookmarkEnd w:id="45"/>
    <w:bookmarkStart w:id="46" w:name="step-5-consumers-validate-and-respond"/>
    <w:p>
      <w:pPr>
        <w:pStyle w:val="Heading3"/>
      </w:pPr>
      <w:r>
        <w:t xml:space="preserve">Step 5: Consumers Validate And Respond</w:t>
      </w:r>
    </w:p>
    <w:p>
      <w:pPr>
        <w:pStyle w:val="FirstParagraph"/>
      </w:pPr>
      <w:r>
        <w:t xml:space="preserve">The</w:t>
      </w:r>
      <w:r>
        <w:t xml:space="preserve"> </w:t>
      </w:r>
      <w:r>
        <w:rPr>
          <w:rStyle w:val="VerbatimChar"/>
        </w:rPr>
        <w:t xml:space="preserve">payments-api</w:t>
      </w:r>
      <w:r>
        <w:t xml:space="preserve"> </w:t>
      </w:r>
      <w:r>
        <w:t xml:space="preserve">team validates its local query code and acknowledges:</w:t>
      </w:r>
    </w:p>
    <w:p>
      <w:pPr>
        <w:pStyle w:val="SourceCode"/>
      </w:pPr>
      <w:r>
        <w:rPr>
          <w:rStyle w:val="ExtensionTok"/>
        </w:rPr>
        <w:t xml:space="preserve">npx</w:t>
      </w:r>
      <w:r>
        <w:rPr>
          <w:rStyle w:val="NormalTok"/>
        </w:rPr>
        <w:t xml:space="preserve"> seip validate-consumer seip_retype_transaction_value </w:t>
      </w:r>
      <w:r>
        <w:rPr>
          <w:rStyle w:val="AttributeTok"/>
        </w:rPr>
        <w:t xml:space="preserve">--against</w:t>
      </w:r>
      <w:r>
        <w:rPr>
          <w:rStyle w:val="NormalTok"/>
        </w:rPr>
        <w:t xml:space="preserve"> ./src/queries/</w:t>
      </w:r>
      <w:r>
        <w:br/>
      </w:r>
      <w:r>
        <w:rPr>
          <w:rStyle w:val="ExtensionTok"/>
        </w:rPr>
        <w:t xml:space="preserve">npx</w:t>
      </w:r>
      <w:r>
        <w:rPr>
          <w:rStyle w:val="NormalTok"/>
        </w:rPr>
        <w:t xml:space="preserve"> seip respond seip_retype_transaction_value </w:t>
      </w:r>
      <w:r>
        <w:rPr>
          <w:rStyle w:val="DataTypeTok"/>
        </w:rPr>
        <w:t xml:space="preserve">\</w:t>
      </w:r>
      <w:r>
        <w:br/>
      </w:r>
      <w:r>
        <w:rPr>
          <w:rStyle w:val="NormalTok"/>
        </w:rPr>
        <w:t xml:space="preserve">  </w:t>
      </w:r>
      <w:r>
        <w:rPr>
          <w:rStyle w:val="AttributeTok"/>
        </w:rPr>
        <w:t xml:space="preserve">--team</w:t>
      </w:r>
      <w:r>
        <w:rPr>
          <w:rStyle w:val="NormalTok"/>
        </w:rPr>
        <w:t xml:space="preserve"> payments-api </w:t>
      </w:r>
      <w:r>
        <w:rPr>
          <w:rStyle w:val="DataTypeTok"/>
        </w:rPr>
        <w:t xml:space="preserve">\</w:t>
      </w:r>
      <w:r>
        <w:br/>
      </w:r>
      <w:r>
        <w:rPr>
          <w:rStyle w:val="NormalTok"/>
        </w:rPr>
        <w:t xml:space="preserve">  </w:t>
      </w:r>
      <w:r>
        <w:rPr>
          <w:rStyle w:val="AttributeTok"/>
        </w:rPr>
        <w:t xml:space="preserve">--status</w:t>
      </w:r>
      <w:r>
        <w:rPr>
          <w:rStyle w:val="NormalTok"/>
        </w:rPr>
        <w:t xml:space="preserve"> ACKNOWLEDGED </w:t>
      </w:r>
      <w:r>
        <w:rPr>
          <w:rStyle w:val="DataTypeTok"/>
        </w:rPr>
        <w:t xml:space="preserve">\</w:t>
      </w:r>
      <w:r>
        <w:br/>
      </w:r>
      <w:r>
        <w:rPr>
          <w:rStyle w:val="NormalTok"/>
        </w:rPr>
        <w:t xml:space="preserve">  </w:t>
      </w:r>
      <w:r>
        <w:rPr>
          <w:rStyle w:val="AttributeTok"/>
        </w:rPr>
        <w:t xml:space="preserve">--message</w:t>
      </w:r>
      <w:r>
        <w:rPr>
          <w:rStyle w:val="NormalTok"/>
        </w:rPr>
        <w:t xml:space="preserve"> </w:t>
      </w:r>
      <w:r>
        <w:rPr>
          <w:rStyle w:val="StringTok"/>
        </w:rPr>
        <w:t xml:space="preserve">"Validation passed; values are already truncated upstream."</w:t>
      </w:r>
    </w:p>
    <w:p>
      <w:pPr>
        <w:pStyle w:val="FirstParagraph"/>
      </w:pPr>
      <w:r>
        <w:t xml:space="preserve">The</w:t>
      </w:r>
      <w:r>
        <w:t xml:space="preserve"> </w:t>
      </w:r>
      <w:r>
        <w:rPr>
          <w:rStyle w:val="VerbatimChar"/>
        </w:rPr>
        <w:t xml:space="preserve">risk-service</w:t>
      </w:r>
      <w:r>
        <w:t xml:space="preserve"> </w:t>
      </w:r>
      <w:r>
        <w:t xml:space="preserve">team objects because fraud models require decimal precision:</w:t>
      </w:r>
    </w:p>
    <w:p>
      <w:pPr>
        <w:pStyle w:val="SourceCode"/>
      </w:pPr>
      <w:r>
        <w:rPr>
          <w:rStyle w:val="ExtensionTok"/>
        </w:rPr>
        <w:t xml:space="preserve">npx</w:t>
      </w:r>
      <w:r>
        <w:rPr>
          <w:rStyle w:val="NormalTok"/>
        </w:rPr>
        <w:t xml:space="preserve"> seip validate-consumer seip_retype_transaction_value </w:t>
      </w:r>
      <w:r>
        <w:rPr>
          <w:rStyle w:val="AttributeTok"/>
        </w:rPr>
        <w:t xml:space="preserve">--against</w:t>
      </w:r>
      <w:r>
        <w:rPr>
          <w:rStyle w:val="NormalTok"/>
        </w:rPr>
        <w:t xml:space="preserve"> ./models/</w:t>
      </w:r>
      <w:r>
        <w:br/>
      </w:r>
      <w:r>
        <w:rPr>
          <w:rStyle w:val="ExtensionTok"/>
        </w:rPr>
        <w:t xml:space="preserve">npx</w:t>
      </w:r>
      <w:r>
        <w:rPr>
          <w:rStyle w:val="NormalTok"/>
        </w:rPr>
        <w:t xml:space="preserve"> seip respond seip_retype_transaction_value </w:t>
      </w:r>
      <w:r>
        <w:rPr>
          <w:rStyle w:val="DataTypeTok"/>
        </w:rPr>
        <w:t xml:space="preserve">\</w:t>
      </w:r>
      <w:r>
        <w:br/>
      </w:r>
      <w:r>
        <w:rPr>
          <w:rStyle w:val="NormalTok"/>
        </w:rPr>
        <w:t xml:space="preserve">  </w:t>
      </w:r>
      <w:r>
        <w:rPr>
          <w:rStyle w:val="AttributeTok"/>
        </w:rPr>
        <w:t xml:space="preserve">--team</w:t>
      </w:r>
      <w:r>
        <w:rPr>
          <w:rStyle w:val="NormalTok"/>
        </w:rPr>
        <w:t xml:space="preserve"> risk-service </w:t>
      </w:r>
      <w:r>
        <w:rPr>
          <w:rStyle w:val="DataTypeTok"/>
        </w:rPr>
        <w:t xml:space="preserve">\</w:t>
      </w:r>
      <w:r>
        <w:br/>
      </w:r>
      <w:r>
        <w:rPr>
          <w:rStyle w:val="NormalTok"/>
        </w:rPr>
        <w:t xml:space="preserve">  </w:t>
      </w:r>
      <w:r>
        <w:rPr>
          <w:rStyle w:val="AttributeTok"/>
        </w:rPr>
        <w:t xml:space="preserve">--status</w:t>
      </w:r>
      <w:r>
        <w:rPr>
          <w:rStyle w:val="NormalTok"/>
        </w:rPr>
        <w:t xml:space="preserve"> OBJECTED </w:t>
      </w:r>
      <w:r>
        <w:rPr>
          <w:rStyle w:val="DataTypeTok"/>
        </w:rPr>
        <w:t xml:space="preserve">\</w:t>
      </w:r>
      <w:r>
        <w:br/>
      </w:r>
      <w:r>
        <w:rPr>
          <w:rStyle w:val="NormalTok"/>
        </w:rPr>
        <w:t xml:space="preserve">  </w:t>
      </w:r>
      <w:r>
        <w:rPr>
          <w:rStyle w:val="AttributeTok"/>
        </w:rPr>
        <w:t xml:space="preserve">--message</w:t>
      </w:r>
      <w:r>
        <w:rPr>
          <w:rStyle w:val="NormalTok"/>
        </w:rPr>
        <w:t xml:space="preserve"> </w:t>
      </w:r>
      <w:r>
        <w:rPr>
          <w:rStyle w:val="StringTok"/>
        </w:rPr>
        <w:t xml:space="preserve">"Fraud models require decimal precision."</w:t>
      </w:r>
    </w:p>
    <w:p>
      <w:pPr>
        <w:pStyle w:val="FirstParagraph"/>
      </w:pPr>
      <w:r>
        <w:t xml:space="preserve">Because a consumer objected, the declaration moves to</w:t>
      </w:r>
      <w:r>
        <w:t xml:space="preserve"> </w:t>
      </w:r>
      <w:r>
        <w:rPr>
          <w:rStyle w:val="VerbatimChar"/>
        </w:rPr>
        <w:t xml:space="preserve">UNDER_REVIEW</w:t>
      </w:r>
      <w:r>
        <w:t xml:space="preserve">.</w:t>
      </w:r>
    </w:p>
    <w:bookmarkEnd w:id="46"/>
    <w:bookmarkStart w:id="47" w:name="step-6-resolve-or-withdraw"/>
    <w:p>
      <w:pPr>
        <w:pStyle w:val="Heading3"/>
      </w:pPr>
      <w:r>
        <w:t xml:space="preserve">Step 6: Resolve Or Withdraw</w:t>
      </w:r>
    </w:p>
    <w:p>
      <w:pPr>
        <w:pStyle w:val="FirstParagraph"/>
      </w:pPr>
      <w:r>
        <w:t xml:space="preserve">If the producer withdraws the change, the current CLI records that through</w:t>
      </w:r>
      <w:r>
        <w:t xml:space="preserve"> </w:t>
      </w:r>
      <w:r>
        <w:rPr>
          <w:rStyle w:val="VerbatimChar"/>
        </w:rPr>
        <w:t xml:space="preserve">close</w:t>
      </w:r>
      <w:r>
        <w:t xml:space="preserve">:</w:t>
      </w:r>
    </w:p>
    <w:p>
      <w:pPr>
        <w:pStyle w:val="SourceCode"/>
      </w:pPr>
      <w:r>
        <w:rPr>
          <w:rStyle w:val="ExtensionTok"/>
        </w:rPr>
        <w:t xml:space="preserve">npx</w:t>
      </w:r>
      <w:r>
        <w:rPr>
          <w:rStyle w:val="NormalTok"/>
        </w:rPr>
        <w:t xml:space="preserve"> seip close seip_retype_transaction_value </w:t>
      </w:r>
      <w:r>
        <w:rPr>
          <w:rStyle w:val="DataTypeTok"/>
        </w:rPr>
        <w:t xml:space="preserve">\</w:t>
      </w:r>
      <w:r>
        <w:br/>
      </w:r>
      <w:r>
        <w:rPr>
          <w:rStyle w:val="NormalTok"/>
        </w:rPr>
        <w:t xml:space="preserve">  </w:t>
      </w:r>
      <w:r>
        <w:rPr>
          <w:rStyle w:val="AttributeTok"/>
        </w:rPr>
        <w:t xml:space="preserve">--status</w:t>
      </w:r>
      <w:r>
        <w:rPr>
          <w:rStyle w:val="NormalTok"/>
        </w:rPr>
        <w:t xml:space="preserve"> WITHDRAWN </w:t>
      </w:r>
      <w:r>
        <w:rPr>
          <w:rStyle w:val="DataTypeTok"/>
        </w:rPr>
        <w:t xml:space="preserve">\</w:t>
      </w:r>
      <w:r>
        <w:br/>
      </w:r>
      <w:r>
        <w:rPr>
          <w:rStyle w:val="NormalTok"/>
        </w:rPr>
        <w:t xml:space="preserve">  </w:t>
      </w:r>
      <w:r>
        <w:rPr>
          <w:rStyle w:val="AttributeTok"/>
        </w:rPr>
        <w:t xml:space="preserve">--reason</w:t>
      </w:r>
      <w:r>
        <w:rPr>
          <w:rStyle w:val="NormalTok"/>
        </w:rPr>
        <w:t xml:space="preserve"> </w:t>
      </w:r>
      <w:r>
        <w:rPr>
          <w:rStyle w:val="StringTok"/>
        </w:rPr>
        <w:t xml:space="preserve">"Retaining decimal precision for risk-service."</w:t>
      </w:r>
    </w:p>
    <w:p>
      <w:pPr>
        <w:pStyle w:val="FirstParagraph"/>
      </w:pPr>
      <w:r>
        <w:t xml:space="preserve">The audit trail remains in Git.</w:t>
      </w:r>
    </w:p>
    <w:bookmarkEnd w:id="47"/>
    <w:bookmarkEnd w:id="48"/>
    <w:bookmarkStart w:id="52" w:name="ci-first-adoption-path"/>
    <w:p>
      <w:pPr>
        <w:pStyle w:val="Heading2"/>
      </w:pPr>
      <w:r>
        <w:t xml:space="preserve">9. CI-First Adoption Path</w:t>
      </w:r>
    </w:p>
    <w:p>
      <w:pPr>
        <w:pStyle w:val="FirstParagraph"/>
      </w:pPr>
      <w:r>
        <w:t xml:space="preserve">The smallest useful adoption wedge is a CI gate. Teams can add SEIP without rolling out a new platform:</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Validate schema changes</w:t>
      </w:r>
      <w:r>
        <w:br/>
      </w:r>
      <w:r>
        <w:rPr>
          <w:rStyle w:val="AttributeTok"/>
        </w:rPr>
        <w:t xml:space="preserve">  </w:t>
      </w:r>
      <w:r>
        <w:rPr>
          <w:rStyle w:val="FunctionTok"/>
        </w:rPr>
        <w:t xml:space="preserve">run</w:t>
      </w:r>
      <w:r>
        <w:rPr>
          <w:rStyle w:val="KeywordTok"/>
        </w:rPr>
        <w:t xml:space="preserve">:</w:t>
      </w:r>
      <w:r>
        <w:rPr>
          <w:rStyle w:val="AttributeTok"/>
        </w:rPr>
        <w:t xml:space="preserve"> npx seip validate schema-v1.json schema-v2.json --strict</w:t>
      </w:r>
    </w:p>
    <w:p>
      <w:pPr>
        <w:pStyle w:val="FirstParagraph"/>
      </w:pPr>
      <w:r>
        <w:t xml:space="preserve">This immediately gives one important property: CI can fail undeclared breaking changes before merge.</w:t>
      </w:r>
    </w:p>
    <w:p>
      <w:pPr>
        <w:pStyle w:val="BodyText"/>
      </w:pPr>
      <w:r>
        <w:t xml:space="preserve">A practical rollout is:</w:t>
      </w:r>
    </w:p>
    <w:p>
      <w:pPr>
        <w:pStyle w:val="Compact"/>
        <w:numPr>
          <w:ilvl w:val="0"/>
          <w:numId w:val="1010"/>
        </w:numPr>
      </w:pPr>
      <w:r>
        <w:t xml:space="preserve">Add</w:t>
      </w:r>
      <w:r>
        <w:t xml:space="preserve"> </w:t>
      </w:r>
      <w:r>
        <w:rPr>
          <w:rStyle w:val="VerbatimChar"/>
        </w:rPr>
        <w:t xml:space="preserve">seip validate</w:t>
      </w:r>
      <w:r>
        <w:t xml:space="preserve"> </w:t>
      </w:r>
      <w:r>
        <w:t xml:space="preserve">to CI.</w:t>
      </w:r>
    </w:p>
    <w:p>
      <w:pPr>
        <w:pStyle w:val="Compact"/>
        <w:numPr>
          <w:ilvl w:val="0"/>
          <w:numId w:val="1010"/>
        </w:numPr>
      </w:pPr>
      <w:r>
        <w:t xml:space="preserve">Create declarations for breaking changes.</w:t>
      </w:r>
    </w:p>
    <w:p>
      <w:pPr>
        <w:pStyle w:val="Compact"/>
        <w:numPr>
          <w:ilvl w:val="0"/>
          <w:numId w:val="1010"/>
        </w:numPr>
      </w:pPr>
      <w:r>
        <w:t xml:space="preserve">Request reviews from affected consumers.</w:t>
      </w:r>
    </w:p>
    <w:p>
      <w:pPr>
        <w:pStyle w:val="Compact"/>
        <w:numPr>
          <w:ilvl w:val="0"/>
          <w:numId w:val="1010"/>
        </w:numPr>
      </w:pPr>
      <w:r>
        <w:t xml:space="preserve">Emit GitHub or Slack notification payloads if useful.</w:t>
      </w:r>
    </w:p>
    <w:p>
      <w:pPr>
        <w:pStyle w:val="Compact"/>
        <w:numPr>
          <w:ilvl w:val="0"/>
          <w:numId w:val="1010"/>
        </w:numPr>
      </w:pPr>
      <w:r>
        <w:t xml:space="preserve">Tighten policy to require minimum statuses or required consumer acknowledgements.</w:t>
      </w:r>
    </w:p>
    <w:p>
      <w:pPr>
        <w:pStyle w:val="CaptionedFigure"/>
      </w:pPr>
      <w:r>
        <w:drawing>
          <wp:inline>
            <wp:extent cx="5334000" cy="5334000"/>
            <wp:effectExtent b="0" l="0" r="0" t="0"/>
            <wp:docPr descr="Adoption wedge" title="" id="50" name="Picture"/>
            <a:graphic>
              <a:graphicData uri="http://schemas.openxmlformats.org/drawingml/2006/picture">
                <pic:pic>
                  <pic:nvPicPr>
                    <pic:cNvPr descr="./diagrams/adoption-wedge.png" id="51" name="Picture"/>
                    <pic:cNvPicPr>
                      <a:picLocks noChangeArrowheads="1" noChangeAspect="1"/>
                    </pic:cNvPicPr>
                  </pic:nvPicPr>
                  <pic:blipFill>
                    <a:blip r:embed="rId4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Adoption wedge</w:t>
      </w:r>
    </w:p>
    <w:p>
      <w:pPr>
        <w:pStyle w:val="BodyText"/>
      </w:pPr>
      <w:r>
        <w:rPr>
          <w:i/>
          <w:iCs/>
        </w:rPr>
        <w:t xml:space="preserve">Figure 4. Teams can start with a CI gate and add richer review or notification surfaces later.</w:t>
      </w:r>
    </w:p>
    <w:bookmarkEnd w:id="52"/>
    <w:bookmarkStart w:id="53" w:name="automation-interface"/>
    <w:p>
      <w:pPr>
        <w:pStyle w:val="Heading2"/>
      </w:pPr>
      <w:r>
        <w:t xml:space="preserve">10. Automation Interface</w:t>
      </w:r>
    </w:p>
    <w:p>
      <w:pPr>
        <w:pStyle w:val="FirstParagraph"/>
      </w:pPr>
      <w:r>
        <w:t xml:space="preserve">The CLI exposes machine-readable output for automation:</w:t>
      </w:r>
    </w:p>
    <w:p>
      <w:pPr>
        <w:pStyle w:val="SourceCode"/>
      </w:pPr>
      <w:r>
        <w:rPr>
          <w:rStyle w:val="ExtensionTok"/>
        </w:rPr>
        <w:t xml:space="preserve">npx</w:t>
      </w:r>
      <w:r>
        <w:rPr>
          <w:rStyle w:val="NormalTok"/>
        </w:rPr>
        <w:t xml:space="preserve"> seip diff schema-v1.json schema-v2.json </w:t>
      </w:r>
      <w:r>
        <w:rPr>
          <w:rStyle w:val="AttributeTok"/>
        </w:rPr>
        <w:t xml:space="preserve">--json</w:t>
      </w:r>
      <w:r>
        <w:br/>
      </w:r>
      <w:r>
        <w:rPr>
          <w:rStyle w:val="ExtensionTok"/>
        </w:rPr>
        <w:t xml:space="preserve">npx</w:t>
      </w:r>
      <w:r>
        <w:rPr>
          <w:rStyle w:val="NormalTok"/>
        </w:rPr>
        <w:t xml:space="preserve"> seip validate schema-v1.json schema-v2.json </w:t>
      </w:r>
      <w:r>
        <w:rPr>
          <w:rStyle w:val="AttributeTok"/>
        </w:rPr>
        <w:t xml:space="preserve">--json</w:t>
      </w:r>
      <w:r>
        <w:br/>
      </w:r>
      <w:r>
        <w:rPr>
          <w:rStyle w:val="ExtensionTok"/>
        </w:rPr>
        <w:t xml:space="preserve">npx</w:t>
      </w:r>
      <w:r>
        <w:rPr>
          <w:rStyle w:val="NormalTok"/>
        </w:rPr>
        <w:t xml:space="preserve"> seip status seip_retype_transaction_value </w:t>
      </w:r>
      <w:r>
        <w:rPr>
          <w:rStyle w:val="AttributeTok"/>
        </w:rPr>
        <w:t xml:space="preserve">--json</w:t>
      </w:r>
      <w:r>
        <w:br/>
      </w:r>
      <w:r>
        <w:rPr>
          <w:rStyle w:val="ExtensionTok"/>
        </w:rPr>
        <w:t xml:space="preserve">npx</w:t>
      </w:r>
      <w:r>
        <w:rPr>
          <w:rStyle w:val="NormalTok"/>
        </w:rPr>
        <w:t xml:space="preserve"> seip log seip_retype_transaction_value </w:t>
      </w:r>
      <w:r>
        <w:rPr>
          <w:rStyle w:val="AttributeTok"/>
        </w:rPr>
        <w:t xml:space="preserve">--json</w:t>
      </w:r>
      <w:r>
        <w:br/>
      </w:r>
      <w:r>
        <w:rPr>
          <w:rStyle w:val="ExtensionTok"/>
        </w:rPr>
        <w:t xml:space="preserve">npx</w:t>
      </w:r>
      <w:r>
        <w:rPr>
          <w:rStyle w:val="NormalTok"/>
        </w:rPr>
        <w:t xml:space="preserve"> seip notify seip_retype_transaction_value </w:t>
      </w:r>
      <w:r>
        <w:rPr>
          <w:rStyle w:val="AttributeTok"/>
        </w:rPr>
        <w:t xml:space="preserve">--adapter</w:t>
      </w:r>
      <w:r>
        <w:rPr>
          <w:rStyle w:val="NormalTok"/>
        </w:rPr>
        <w:t xml:space="preserve"> github </w:t>
      </w:r>
      <w:r>
        <w:rPr>
          <w:rStyle w:val="AttributeTok"/>
        </w:rPr>
        <w:t xml:space="preserve">--json</w:t>
      </w:r>
    </w:p>
    <w:p>
      <w:pPr>
        <w:pStyle w:val="FirstParagraph"/>
      </w:pPr>
      <w:r>
        <w:t xml:space="preserve">This lets CI jobs, internal portals, and agents consume the same state humans review in Git.</w:t>
      </w:r>
    </w:p>
    <w:bookmarkEnd w:id="53"/>
    <w:bookmarkStart w:id="54" w:name="migration-scope"/>
    <w:p>
      <w:pPr>
        <w:pStyle w:val="Heading2"/>
      </w:pPr>
      <w:r>
        <w:t xml:space="preserve">11. Migration Scope</w:t>
      </w:r>
    </w:p>
    <w:p>
      <w:pPr>
        <w:pStyle w:val="FirstParagraph"/>
      </w:pPr>
      <w:r>
        <w:t xml:space="preserve">SEIP records migration intent; it does not own every migration detail.</w:t>
      </w:r>
    </w:p>
    <w:p>
      <w:pPr>
        <w:pStyle w:val="BodyText"/>
      </w:pPr>
      <w:r>
        <w:t xml:space="preserve">The producer can declare:</w:t>
      </w:r>
    </w:p>
    <w:p>
      <w:pPr>
        <w:pStyle w:val="Compact"/>
        <w:numPr>
          <w:ilvl w:val="0"/>
          <w:numId w:val="1011"/>
        </w:numPr>
      </w:pPr>
      <w:r>
        <w:t xml:space="preserve">compatibility strategy</w:t>
      </w:r>
    </w:p>
    <w:p>
      <w:pPr>
        <w:pStyle w:val="Compact"/>
        <w:numPr>
          <w:ilvl w:val="0"/>
          <w:numId w:val="1011"/>
        </w:numPr>
      </w:pPr>
      <w:r>
        <w:t xml:space="preserve">affected objects and fields</w:t>
      </w:r>
    </w:p>
    <w:p>
      <w:pPr>
        <w:pStyle w:val="Compact"/>
        <w:numPr>
          <w:ilvl w:val="0"/>
          <w:numId w:val="1011"/>
        </w:numPr>
      </w:pPr>
      <w:r>
        <w:t xml:space="preserve">proposed review, deprecation, and removal dates</w:t>
      </w:r>
    </w:p>
    <w:p>
      <w:pPr>
        <w:pStyle w:val="Compact"/>
        <w:numPr>
          <w:ilvl w:val="0"/>
          <w:numId w:val="1011"/>
        </w:numPr>
      </w:pPr>
      <w:r>
        <w:t xml:space="preserve">consumer response state</w:t>
      </w:r>
    </w:p>
    <w:p>
      <w:pPr>
        <w:pStyle w:val="FirstParagraph"/>
      </w:pPr>
      <w:r>
        <w:t xml:space="preserve">Consumers still own their local migration work. One consumer may need a simple field rename. Another may need a backfill, reindex, parser change, or model retraining. SEIP gives those consumers a durable place to respond and gives CI a durable state to enforce.</w:t>
      </w:r>
    </w:p>
    <w:bookmarkEnd w:id="54"/>
    <w:bookmarkStart w:id="55" w:name="current-limitations"/>
    <w:p>
      <w:pPr>
        <w:pStyle w:val="Heading2"/>
      </w:pPr>
      <w:r>
        <w:t xml:space="preserve">12. Current Limitations</w:t>
      </w:r>
    </w:p>
    <w:p>
      <w:pPr>
        <w:pStyle w:val="FirstParagraph"/>
      </w:pPr>
      <w:r>
        <w:t xml:space="preserve">The reference implementation is intentionally small.</w:t>
      </w:r>
    </w:p>
    <w:p>
      <w:pPr>
        <w:pStyle w:val="BodyText"/>
      </w:pPr>
      <w:r>
        <w:t xml:space="preserve">Current limits include:</w:t>
      </w:r>
    </w:p>
    <w:p>
      <w:pPr>
        <w:pStyle w:val="Compact"/>
        <w:numPr>
          <w:ilvl w:val="0"/>
          <w:numId w:val="1012"/>
        </w:numPr>
      </w:pPr>
      <w:r>
        <w:t xml:space="preserve">Diffing is generic and not source-system-specific.</w:t>
      </w:r>
    </w:p>
    <w:p>
      <w:pPr>
        <w:pStyle w:val="Compact"/>
        <w:numPr>
          <w:ilvl w:val="0"/>
          <w:numId w:val="1012"/>
        </w:numPr>
      </w:pPr>
      <w:r>
        <w:t xml:space="preserve">Rename detection is heuristic unless explicit rename mappings are supplied.</w:t>
      </w:r>
    </w:p>
    <w:p>
      <w:pPr>
        <w:pStyle w:val="Compact"/>
        <w:numPr>
          <w:ilvl w:val="0"/>
          <w:numId w:val="1012"/>
        </w:numPr>
      </w:pPr>
      <w:r>
        <w:rPr>
          <w:rStyle w:val="VerbatimChar"/>
        </w:rPr>
        <w:t xml:space="preserve">validate-consumer</w:t>
      </w:r>
      <w:r>
        <w:t xml:space="preserve"> </w:t>
      </w:r>
      <w:r>
        <w:t xml:space="preserve">is a reference hook rather than a universal contract testing engine.</w:t>
      </w:r>
    </w:p>
    <w:p>
      <w:pPr>
        <w:pStyle w:val="Compact"/>
        <w:numPr>
          <w:ilvl w:val="0"/>
          <w:numId w:val="1012"/>
        </w:numPr>
      </w:pPr>
      <w:r>
        <w:t xml:space="preserve">Notification adapters emit payloads; the GitHub adapter does not call the GitHub API directly.</w:t>
      </w:r>
    </w:p>
    <w:p>
      <w:pPr>
        <w:pStyle w:val="Compact"/>
        <w:numPr>
          <w:ilvl w:val="0"/>
          <w:numId w:val="1012"/>
        </w:numPr>
      </w:pPr>
      <w:r>
        <w:t xml:space="preserve">Cross-repository authorization and state synchronization remain organization-specific.</w:t>
      </w:r>
    </w:p>
    <w:p>
      <w:pPr>
        <w:pStyle w:val="Compact"/>
        <w:numPr>
          <w:ilvl w:val="0"/>
          <w:numId w:val="1012"/>
        </w:numPr>
      </w:pPr>
      <w:r>
        <w:t xml:space="preserve">Review deadline behavior is policy-driven; SEIP does not auto-accept or auto-reject missed responses.</w:t>
      </w:r>
    </w:p>
    <w:p>
      <w:pPr>
        <w:pStyle w:val="FirstParagraph"/>
      </w:pPr>
      <w:r>
        <w:t xml:space="preserve">These limits are appropriate for a protocol that aims to be adopted incrementally rather than introduced as a heavyweight platform.</w:t>
      </w:r>
    </w:p>
    <w:bookmarkEnd w:id="55"/>
    <w:bookmarkStart w:id="56" w:name="conclusion"/>
    <w:p>
      <w:pPr>
        <w:pStyle w:val="Heading2"/>
      </w:pPr>
      <w:r>
        <w:t xml:space="preserve">13. Conclusion</w:t>
      </w:r>
    </w:p>
    <w:p>
      <w:pPr>
        <w:pStyle w:val="FirstParagraph"/>
      </w:pPr>
      <w:r>
        <w:t xml:space="preserve">SEIP is a narrow proposal: a schema change declaration format and reference CLI for coordinating breaking changes before rollout.</w:t>
      </w:r>
    </w:p>
    <w:p>
      <w:pPr>
        <w:pStyle w:val="BodyText"/>
      </w:pPr>
      <w:r>
        <w:t xml:space="preserve">Its immediate value is operational. CI can distinguish declared breaking changes from undeclared ones. Its broader value is organizational. Producer and consumer teams gain a shared artifact, a reviewable lifecycle, notification hooks for existing collaboration systems, and an audit trail that persists beyond transient coordination channels.</w:t>
      </w:r>
    </w:p>
    <w:p>
      <w:pPr>
        <w:pStyle w:val="BodyText"/>
      </w:pPr>
      <w:r>
        <w:t xml:space="preserve">The robust version of SEIP is not</w:t>
      </w:r>
      <w:r>
        <w:t xml:space="preserve"> </w:t>
      </w:r>
      <w:r>
        <w:t xml:space="preserve">“Git plus Slack.”</w:t>
      </w:r>
      <w:r>
        <w:t xml:space="preserve"> </w:t>
      </w:r>
      <w:r>
        <w:t xml:space="preserve">It is Git as canonical state, CI as enforcement, GitHub as the natural review and notification surface for many teams, Slack as a useful pluggable channel, and declarations as the durable contract between producers and consumers.</w:t>
      </w:r>
    </w:p>
    <w:bookmarkEnd w:id="56"/>
    <w:bookmarkStart w:id="57" w:name="appendix-diagram-sources"/>
    <w:p>
      <w:pPr>
        <w:pStyle w:val="Heading2"/>
      </w:pPr>
      <w:r>
        <w:t xml:space="preserve">Appendix: Diagram Sources</w:t>
      </w:r>
    </w:p>
    <w:p>
      <w:pPr>
        <w:pStyle w:val="Compact"/>
        <w:numPr>
          <w:ilvl w:val="0"/>
          <w:numId w:val="1013"/>
        </w:numPr>
      </w:pPr>
      <w:r>
        <w:rPr>
          <w:rStyle w:val="VerbatimChar"/>
        </w:rPr>
        <w:t xml:space="preserve">docs/diagrams/hero-overview.d2</w:t>
      </w:r>
    </w:p>
    <w:p>
      <w:pPr>
        <w:pStyle w:val="Compact"/>
        <w:numPr>
          <w:ilvl w:val="0"/>
          <w:numId w:val="1013"/>
        </w:numPr>
      </w:pPr>
      <w:r>
        <w:rPr>
          <w:rStyle w:val="VerbatimChar"/>
        </w:rPr>
        <w:t xml:space="preserve">docs/diagrams/problem-framing.d2</w:t>
      </w:r>
    </w:p>
    <w:p>
      <w:pPr>
        <w:pStyle w:val="Compact"/>
        <w:numPr>
          <w:ilvl w:val="0"/>
          <w:numId w:val="1013"/>
        </w:numPr>
      </w:pPr>
      <w:r>
        <w:rPr>
          <w:rStyle w:val="VerbatimChar"/>
        </w:rPr>
        <w:t xml:space="preserve">docs/diagrams/roles.d2</w:t>
      </w:r>
    </w:p>
    <w:p>
      <w:pPr>
        <w:pStyle w:val="Compact"/>
        <w:numPr>
          <w:ilvl w:val="0"/>
          <w:numId w:val="1013"/>
        </w:numPr>
      </w:pPr>
      <w:r>
        <w:rPr>
          <w:rStyle w:val="VerbatimChar"/>
        </w:rPr>
        <w:t xml:space="preserve">docs/diagrams/canonical-model.d2</w:t>
      </w:r>
    </w:p>
    <w:p>
      <w:pPr>
        <w:pStyle w:val="Compact"/>
        <w:numPr>
          <w:ilvl w:val="0"/>
          <w:numId w:val="1013"/>
        </w:numPr>
      </w:pPr>
      <w:r>
        <w:rPr>
          <w:rStyle w:val="VerbatimChar"/>
        </w:rPr>
        <w:t xml:space="preserve">docs/diagrams/lifecycle.d2</w:t>
      </w:r>
    </w:p>
    <w:p>
      <w:pPr>
        <w:pStyle w:val="Compact"/>
        <w:numPr>
          <w:ilvl w:val="0"/>
          <w:numId w:val="1013"/>
        </w:numPr>
      </w:pPr>
      <w:r>
        <w:rPr>
          <w:rStyle w:val="VerbatimChar"/>
        </w:rPr>
        <w:t xml:space="preserve">docs/diagrams/adoption-wedge.d2</w:t>
      </w:r>
    </w:p>
    <w:bookmarkEnd w:id="57"/>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9" Target="media/rId49.png" /><Relationship Type="http://schemas.openxmlformats.org/officeDocument/2006/relationships/image" Id="rId27" Target="media/rId27.png" /><Relationship Type="http://schemas.openxmlformats.org/officeDocument/2006/relationships/image" Id="rId10" Target="media/rId10.png" /><Relationship Type="http://schemas.openxmlformats.org/officeDocument/2006/relationships/image" Id="rId38" Target="media/rId38.png" /><Relationship Type="http://schemas.openxmlformats.org/officeDocument/2006/relationships/image" Id="rId14" Target="media/rId14.png" /><Relationship Type="http://schemas.openxmlformats.org/officeDocument/2006/relationships/hyperlink" Id="rId35" Target="https://docs.github.com/en/integrations/how-tos/slack/customize-notifications" TargetMode="External" /><Relationship Type="http://schemas.openxmlformats.org/officeDocument/2006/relationships/hyperlink" Id="rId34" Target="https://docs.github.com/en/integrations/how-tos/slack/integrate-github-with-slack" TargetMode="External" /><Relationship Type="http://schemas.openxmlformats.org/officeDocument/2006/relationships/hyperlink" Id="rId31" Target="https://docs.github.com/en/subscriptions-and-notifications/concepts/about-notifications" TargetMode="External" /><Relationship Type="http://schemas.openxmlformats.org/officeDocument/2006/relationships/hyperlink" Id="rId32" Target="https://docs.github.com/en/subscriptions-and-notifications/how-tos/managing-github-actions-notifications" TargetMode="External" /></Relationships>
</file>

<file path=word/_rels/footnotes.xml.rels><?xml version="1.0" encoding="UTF-8"?><Relationships xmlns="http://schemas.openxmlformats.org/package/2006/relationships"><Relationship Type="http://schemas.openxmlformats.org/officeDocument/2006/relationships/hyperlink" Id="rId35" Target="https://docs.github.com/en/integrations/how-tos/slack/customize-notifications" TargetMode="External" /><Relationship Type="http://schemas.openxmlformats.org/officeDocument/2006/relationships/hyperlink" Id="rId34" Target="https://docs.github.com/en/integrations/how-tos/slack/integrate-github-with-slack" TargetMode="External" /><Relationship Type="http://schemas.openxmlformats.org/officeDocument/2006/relationships/hyperlink" Id="rId31" Target="https://docs.github.com/en/subscriptions-and-notifications/concepts/about-notifications" TargetMode="External" /><Relationship Type="http://schemas.openxmlformats.org/officeDocument/2006/relationships/hyperlink" Id="rId32" Target="https://docs.github.com/en/subscriptions-and-notifications/how-tos/managing-github-actions-notificatio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2026-04-23T10:52:39Z</dcterms:created>
  <dcterms:modified xsi:type="dcterms:W3CDTF">2026-04-23T10:52:39Z</dcterms:modified>
</cp:coreProperties>
</file>

<file path=docProps/custom.xml><?xml version="1.0" encoding="utf-8"?>
<Properties xmlns="http://schemas.openxmlformats.org/officeDocument/2006/custom-properties" xmlns:vt="http://schemas.openxmlformats.org/officeDocument/2006/docPropsVTypes"/>
</file>