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Space Grotesk" w:cs="Space Grotesk" w:eastAsia="Space Grotesk" w:hAnsi="Space Grotesk"/>
          <w:b/>
          <w:bCs/>
          <w:color w:val="1F1B16"/>
          <w:sz w:val="44"/>
          <w:szCs w:val="44"/>
        </w:rPr>
        <w:t xml:space="preserve">Pricing Schedule</w:t>
      </w:r>
    </w:p>
    <w:p>
      <w:pPr>
        <w:spacing w:after="200"/>
      </w:pPr>
      <w:r>
        <w:rPr>
          <w:rFonts w:ascii="IBM Plex Mono" w:cs="IBM Plex Mono" w:eastAsia="IBM Plex Mono" w:hAnsi="IBM Plex Mono"/>
          <w:color w:val="7A5C43"/>
          <w:sz w:val="18"/>
          <w:szCs w:val="18"/>
        </w:rPr>
        <w:t xml:space="preserve">Internal reference</w:t>
      </w:r>
    </w:p>
    <w:p>
      <w:pPr>
        <w:spacing w:after="260"/>
      </w:pPr>
      <w:r>
        <w:rPr>
          <w:rFonts w:ascii="Inter" w:cs="Inter" w:eastAsia="Inter" w:hAnsi="Inter"/>
          <w:b/>
          <w:bCs/>
          <w:color w:val="1F1B16"/>
          <w:sz w:val="21"/>
          <w:szCs w:val="21"/>
        </w:rPr>
        <w:t xml:space="preserve">Internal reference. Not for client distribution.</w:t>
      </w:r>
    </w:p>
    <w:p>
      <w:pPr>
        <w:spacing w:after="100" w:before="260"/>
      </w:pPr>
      <w:r>
        <w:rPr>
          <w:rFonts w:ascii="Space Grotesk" w:cs="Space Grotesk" w:eastAsia="Space Grotesk" w:hAnsi="Space Grotesk"/>
          <w:b/>
          <w:bCs/>
          <w:color w:val="1F1B16"/>
          <w:sz w:val="24"/>
          <w:szCs w:val="24"/>
        </w:rPr>
        <w:t xml:space="preserve">Setup fees, by tier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030"/>
      </w:tblGrid>
      <w:tr>
        <w:trPr>
          <w:tblHeader/>
        </w:trPr>
        <w:tc>
          <w:tcPr>
            <w:tcW w:type="dxa" w:w="3020"/>
            <w:shd w:fill="F2E9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1F1B16"/>
                <w:sz w:val="16"/>
                <w:szCs w:val="16"/>
              </w:rPr>
              <w:t xml:space="preserve">Tier</w:t>
            </w:r>
          </w:p>
        </w:tc>
        <w:tc>
          <w:tcPr>
            <w:tcW w:type="dxa" w:w="3020"/>
            <w:shd w:fill="F2E9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1F1B16"/>
                <w:sz w:val="16"/>
                <w:szCs w:val="16"/>
              </w:rPr>
              <w:t xml:space="preserve">Staff range</w:t>
            </w:r>
          </w:p>
        </w:tc>
        <w:tc>
          <w:tcPr>
            <w:tcW w:type="dxa" w:w="3030"/>
            <w:shd w:fill="F2E9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1F1B16"/>
                <w:sz w:val="16"/>
                <w:szCs w:val="16"/>
              </w:rPr>
              <w:t xml:space="preserve">Setup fee</w:t>
            </w:r>
          </w:p>
        </w:tc>
      </w:tr>
      <w:tr>
        <w:tc>
          <w:tcPr>
            <w:tcW w:type="dxa" w:w="3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LDR-XS — Micro</w:t>
            </w:r>
          </w:p>
        </w:tc>
        <w:tc>
          <w:tcPr>
            <w:tcW w:type="dxa" w:w="3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1–5 staff</w:t>
            </w:r>
          </w:p>
        </w:tc>
        <w:tc>
          <w:tcPr>
            <w:tcW w:type="dxa" w:w="30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$799 AUD</w:t>
            </w:r>
          </w:p>
        </w:tc>
      </w:tr>
      <w:tr>
        <w:tc>
          <w:tcPr>
            <w:tcW w:type="dxa" w:w="3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LDR-S — Small</w:t>
            </w:r>
          </w:p>
        </w:tc>
        <w:tc>
          <w:tcPr>
            <w:tcW w:type="dxa" w:w="3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6–15 staff</w:t>
            </w:r>
          </w:p>
        </w:tc>
        <w:tc>
          <w:tcPr>
            <w:tcW w:type="dxa" w:w="30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$1,299 AUD</w:t>
            </w:r>
          </w:p>
        </w:tc>
      </w:tr>
      <w:tr>
        <w:tc>
          <w:tcPr>
            <w:tcW w:type="dxa" w:w="3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LDR-M — Medium</w:t>
            </w:r>
          </w:p>
        </w:tc>
        <w:tc>
          <w:tcPr>
            <w:tcW w:type="dxa" w:w="3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16–25 staff</w:t>
            </w:r>
          </w:p>
        </w:tc>
        <w:tc>
          <w:tcPr>
            <w:tcW w:type="dxa" w:w="30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$1,999 AUD</w:t>
            </w:r>
          </w:p>
        </w:tc>
      </w:tr>
      <w:tr>
        <w:tc>
          <w:tcPr>
            <w:tcW w:type="dxa" w:w="3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LDR-L — Large</w:t>
            </w:r>
          </w:p>
        </w:tc>
        <w:tc>
          <w:tcPr>
            <w:tcW w:type="dxa" w:w="3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26+ staff</w:t>
            </w:r>
          </w:p>
        </w:tc>
        <w:tc>
          <w:tcPr>
            <w:tcW w:type="dxa" w:w="30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Custom quote</w:t>
            </w:r>
          </w:p>
        </w:tc>
      </w:tr>
      <w:tr>
        <w:tc>
          <w:tcPr>
            <w:tcW w:type="dxa" w:w="3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Founder's rate</w:t>
            </w:r>
          </w:p>
        </w:tc>
        <w:tc>
          <w:tcPr>
            <w:tcW w:type="dxa" w:w="3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Coachman's Arms only</w:t>
            </w:r>
          </w:p>
        </w:tc>
        <w:tc>
          <w:tcPr>
            <w:tcW w:type="dxa" w:w="30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$750 AUD</w:t>
            </w:r>
          </w:p>
        </w:tc>
      </w:tr>
    </w:tbl>
    <w:p>
      <w:pPr>
        <w:spacing w:after="100" w:before="260"/>
      </w:pPr>
      <w:r>
        <w:rPr>
          <w:rFonts w:ascii="Space Grotesk" w:cs="Space Grotesk" w:eastAsia="Space Grotesk" w:hAnsi="Space Grotesk"/>
          <w:b/>
          <w:bCs/>
          <w:color w:val="1F1B16"/>
          <w:sz w:val="24"/>
          <w:szCs w:val="24"/>
        </w:rPr>
        <w:t xml:space="preserve">Monthly retainer</w:t>
      </w:r>
    </w:p>
    <w:p>
      <w:pPr>
        <w:spacing w:after="100"/>
      </w:pPr>
      <w:r>
        <w:rPr>
          <w:rFonts w:ascii="Inter" w:cs="Inter" w:eastAsia="Inter" w:hAnsi="Inter"/>
          <w:b w:val="false"/>
          <w:bCs w:val="false"/>
          <w:color w:val="1F1B16"/>
          <w:sz w:val="21"/>
          <w:szCs w:val="21"/>
        </w:rPr>
        <w:t xml:space="preserve">$100 AUD per month, invoiced in advance. Includes: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Administrator dashboard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Staff completion tracking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Certificate-expiry tracking and notifications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Weekly staff-activity digest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Five (5) free content edit requests per month</w:t>
      </w:r>
    </w:p>
    <w:p>
      <w:pPr>
        <w:spacing w:after="100" w:before="260"/>
      </w:pPr>
      <w:r>
        <w:rPr>
          <w:rFonts w:ascii="Space Grotesk" w:cs="Space Grotesk" w:eastAsia="Space Grotesk" w:hAnsi="Space Grotesk"/>
          <w:b/>
          <w:bCs/>
          <w:color w:val="1F1B16"/>
          <w:sz w:val="24"/>
          <w:szCs w:val="24"/>
        </w:rPr>
        <w:t xml:space="preserve">Additional services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Additional edits beyond the five included: $15 AUD each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Comprehension quiz add-on: complimentary, on request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SOP generation for undocumented procedures: itemised, quoted after an initial walkthrough</w:t>
      </w:r>
    </w:p>
    <w:sectPr>
      <w:headerReference w:type="default" r:id="rId7"/>
      <w:footerReference w:type="default" r:id="rId8"/>
      <w:pgSz w:w="11906" w:h="16838" w:orient="portrait"/>
      <w:pgMar w:top="2350" w:right="1418" w:bottom="1550" w:left="1418" w:header="320" w:footer="3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</w:pPr>
    <w:r>
      <w:drawing>
        <wp:inline distT="0" distB="0" distL="0" distR="0">
          <wp:extent cx="5762625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2625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070"/>
      </w:tabs>
    </w:pPr>
    <w:r>
      <w:rPr>
        <w:rFonts w:ascii="IBM Plex Mono" w:cs="IBM Plex Mono" w:eastAsia="IBM Plex Mono" w:hAnsi="IBM Plex Mono"/>
        <w:color w:val="7A5C43"/>
        <w:sz w:val="14"/>
        <w:szCs w:val="14"/>
      </w:rPr>
      <w:t xml:space="preserve">Larder — Pricing Schedule (internal)</w:t>
    </w:r>
    <w:r>
      <w:rPr>
        <w:rFonts w:ascii="IBM Plex Mono" w:cs="IBM Plex Mono" w:eastAsia="IBM Plex Mono" w:hAnsi="IBM Plex Mono"/>
        <w:sz w:val="14"/>
        <w:szCs w:val="14"/>
      </w:rPr>
      <w:t xml:space="preserve">	</w:t>
    </w:r>
    <w:r>
      <w:rPr>
        <w:rFonts w:ascii="IBM Plex Mono" w:cs="IBM Plex Mono" w:eastAsia="IBM Plex Mono" w:hAnsi="IBM Plex Mono"/>
        <w:color w:val="7A5C43"/>
        <w:sz w:val="14"/>
        <w:szCs w:val="14"/>
      </w:rPr>
      <w:t xml:space="preserve">Page </w:t>
    </w:r>
    <w:r>
      <w:rPr>
        <w:rFonts w:ascii="IBM Plex Mono" w:cs="IBM Plex Mono" w:eastAsia="IBM Plex Mono" w:hAnsi="IBM Plex Mono"/>
        <w:color w:val="7A5C43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Mono" w:cs="IBM Plex Mono" w:eastAsia="IBM Plex Mono" w:hAnsi="IBM Plex Mono"/>
        <w:color w:val="7A5C43"/>
        <w:sz w:val="14"/>
        <w:szCs w:val="14"/>
      </w:rPr>
      <w:t xml:space="preserve"> of </w:t>
    </w:r>
    <w:r>
      <w:rPr>
        <w:rFonts w:ascii="IBM Plex Mono" w:cs="IBM Plex Mono" w:eastAsia="IBM Plex Mono" w:hAnsi="IBM Plex Mono"/>
        <w:color w:val="7A5C43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5762625" cy="11620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2625" cy="1162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  <w:rPr>
        <w:color w:val="B23A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1B1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1c7638783f7a5e4cfbe0648865ffbdce66a5e8e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4e0b3479f53063baa102ed46126075acbbd431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2026-09-11T16:57:42.940Z</dcterms:created>
  <dcterms:modified xsi:type="dcterms:W3CDTF">2026-09-11T16:57:42.942Z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