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ACF35" w14:textId="36E715F2" w:rsidR="007E0EFB" w:rsidRDefault="00BA34A3" w:rsidP="007E0EFB">
      <w:pPr>
        <w:jc w:val="center"/>
        <w:rPr>
          <w:rFonts w:ascii="Tahoma" w:eastAsia="Times New Roman" w:hAnsi="Tahoma" w:cs="Tahoma"/>
          <w:b/>
          <w:bCs/>
          <w:kern w:val="0"/>
          <w:sz w:val="36"/>
          <w:szCs w:val="36"/>
          <w:u w:val="single"/>
          <w:lang w:eastAsia="en-AE"/>
          <w14:ligatures w14:val="none"/>
        </w:rPr>
      </w:pPr>
      <w:r>
        <w:rPr>
          <w:rFonts w:ascii="Tahoma" w:eastAsia="Times New Roman" w:hAnsi="Tahoma" w:cs="Tahoma"/>
          <w:b/>
          <w:bCs/>
          <w:kern w:val="0"/>
          <w:sz w:val="36"/>
          <w:szCs w:val="36"/>
          <w:u w:val="single"/>
          <w:lang w:eastAsia="en-AE"/>
          <w14:ligatures w14:val="none"/>
        </w:rPr>
        <w:t xml:space="preserve"> </w:t>
      </w:r>
      <w:proofErr w:type="spellStart"/>
      <w:r w:rsidR="007E0EFB" w:rsidRPr="009446B4">
        <w:rPr>
          <w:rFonts w:ascii="Tahoma" w:eastAsia="Times New Roman" w:hAnsi="Tahoma" w:cs="Tahoma"/>
          <w:b/>
          <w:bCs/>
          <w:kern w:val="0"/>
          <w:sz w:val="36"/>
          <w:szCs w:val="36"/>
          <w:u w:val="single"/>
          <w:lang w:eastAsia="en-AE"/>
          <w14:ligatures w14:val="none"/>
        </w:rPr>
        <w:t>Analy</w:t>
      </w:r>
      <w:r w:rsidR="007E0EFB">
        <w:rPr>
          <w:rFonts w:ascii="Tahoma" w:eastAsia="Times New Roman" w:hAnsi="Tahoma" w:cs="Tahoma"/>
          <w:b/>
          <w:bCs/>
          <w:kern w:val="0"/>
          <w:sz w:val="36"/>
          <w:szCs w:val="36"/>
          <w:u w:val="single"/>
          <w:lang w:eastAsia="en-AE"/>
          <w14:ligatures w14:val="none"/>
        </w:rPr>
        <w:t>z</w:t>
      </w:r>
      <w:r w:rsidR="007E0EFB" w:rsidRPr="009446B4">
        <w:rPr>
          <w:rFonts w:ascii="Tahoma" w:eastAsia="Times New Roman" w:hAnsi="Tahoma" w:cs="Tahoma"/>
          <w:b/>
          <w:bCs/>
          <w:kern w:val="0"/>
          <w:sz w:val="36"/>
          <w:szCs w:val="36"/>
          <w:u w:val="single"/>
          <w:lang w:eastAsia="en-AE"/>
          <w14:ligatures w14:val="none"/>
        </w:rPr>
        <w:t>ing</w:t>
      </w:r>
      <w:proofErr w:type="spellEnd"/>
      <w:r w:rsidR="007E0EFB" w:rsidRPr="009446B4">
        <w:rPr>
          <w:rFonts w:ascii="Tahoma" w:eastAsia="Times New Roman" w:hAnsi="Tahoma" w:cs="Tahoma"/>
          <w:b/>
          <w:bCs/>
          <w:kern w:val="0"/>
          <w:sz w:val="36"/>
          <w:szCs w:val="36"/>
          <w:u w:val="single"/>
          <w:lang w:eastAsia="en-AE"/>
          <w14:ligatures w14:val="none"/>
        </w:rPr>
        <w:t xml:space="preserve"> the </w:t>
      </w:r>
      <w:r w:rsidR="007E0EFB">
        <w:rPr>
          <w:rFonts w:ascii="Tahoma" w:eastAsia="Times New Roman" w:hAnsi="Tahoma" w:cs="Tahoma"/>
          <w:b/>
          <w:bCs/>
          <w:kern w:val="0"/>
          <w:sz w:val="36"/>
          <w:szCs w:val="36"/>
          <w:u w:val="single"/>
          <w:lang w:eastAsia="en-AE"/>
          <w14:ligatures w14:val="none"/>
        </w:rPr>
        <w:t>Real Estate</w:t>
      </w:r>
    </w:p>
    <w:p w14:paraId="3FA4ECBC" w14:textId="77777777" w:rsidR="007E0EFB" w:rsidRDefault="007E0EFB" w:rsidP="007E0EFB">
      <w:pPr>
        <w:jc w:val="center"/>
        <w:rPr>
          <w:rFonts w:ascii="Tahoma" w:eastAsia="Times New Roman" w:hAnsi="Tahoma" w:cs="Tahoma"/>
          <w:b/>
          <w:bCs/>
          <w:kern w:val="0"/>
          <w:sz w:val="36"/>
          <w:szCs w:val="36"/>
          <w:u w:val="single"/>
          <w:lang w:eastAsia="en-AE"/>
          <w14:ligatures w14:val="none"/>
        </w:rPr>
      </w:pPr>
    </w:p>
    <w:p w14:paraId="3982F209" w14:textId="31F51648" w:rsidR="007E0EFB" w:rsidRDefault="00DD28DA" w:rsidP="007E0EFB">
      <w:pPr>
        <w:spacing w:after="0" w:line="240" w:lineRule="auto"/>
        <w:rPr>
          <w:rFonts w:ascii="Times New Roman" w:eastAsia="Times New Roman" w:hAnsi="Times New Roman" w:cs="Times New Roman"/>
          <w:kern w:val="0"/>
          <w:sz w:val="24"/>
          <w:szCs w:val="24"/>
          <w:lang w:eastAsia="en-AE"/>
          <w14:ligatures w14:val="none"/>
        </w:rPr>
      </w:pPr>
      <w:r>
        <w:rPr>
          <w:rFonts w:ascii="Trebuchet MS" w:eastAsia="Times New Roman" w:hAnsi="Trebuchet MS" w:cs="Times New Roman"/>
          <w:kern w:val="0"/>
          <w:sz w:val="24"/>
          <w:szCs w:val="24"/>
          <w:lang w:eastAsia="en-AE"/>
          <w14:ligatures w14:val="none"/>
        </w:rPr>
        <w:t>I</w:t>
      </w:r>
      <w:r w:rsidR="007E0EFB" w:rsidRPr="007E0EFB">
        <w:rPr>
          <w:rFonts w:ascii="Trebuchet MS" w:eastAsia="Times New Roman" w:hAnsi="Trebuchet MS" w:cs="Times New Roman"/>
          <w:kern w:val="0"/>
          <w:sz w:val="24"/>
          <w:szCs w:val="24"/>
          <w:lang w:eastAsia="en-AE"/>
          <w14:ligatures w14:val="none"/>
        </w:rPr>
        <w:t>nvestig</w:t>
      </w:r>
      <w:r>
        <w:rPr>
          <w:rFonts w:ascii="Trebuchet MS" w:eastAsia="Times New Roman" w:hAnsi="Trebuchet MS" w:cs="Times New Roman"/>
          <w:kern w:val="0"/>
          <w:sz w:val="24"/>
          <w:szCs w:val="24"/>
          <w:lang w:eastAsia="en-AE"/>
          <w14:ligatures w14:val="none"/>
        </w:rPr>
        <w:t>ation of</w:t>
      </w:r>
      <w:r w:rsidR="007E0EFB" w:rsidRPr="007E0EFB">
        <w:rPr>
          <w:rFonts w:ascii="Trebuchet MS" w:eastAsia="Times New Roman" w:hAnsi="Trebuchet MS" w:cs="Times New Roman"/>
          <w:kern w:val="0"/>
          <w:sz w:val="24"/>
          <w:szCs w:val="24"/>
          <w:lang w:eastAsia="en-AE"/>
          <w14:ligatures w14:val="none"/>
        </w:rPr>
        <w:t xml:space="preserve"> the complexities of real estate transactions in various towns, assess patterns in property values, and examine the historical performance of various types of properties. </w:t>
      </w:r>
      <w:r w:rsidR="007E0EFB" w:rsidRPr="007E0EFB">
        <w:rPr>
          <w:rFonts w:ascii="Trebuchet MS" w:eastAsia="Times New Roman" w:hAnsi="Trebuchet MS" w:cs="Times New Roman"/>
          <w:kern w:val="0"/>
          <w:sz w:val="24"/>
          <w:szCs w:val="24"/>
          <w:lang w:eastAsia="en-AE"/>
          <w14:ligatures w14:val="none"/>
        </w:rPr>
        <w:br/>
      </w:r>
      <w:r w:rsidR="007E0EFB" w:rsidRPr="007E0EFB">
        <w:rPr>
          <w:rFonts w:ascii="Times New Roman" w:eastAsia="Times New Roman" w:hAnsi="Times New Roman" w:cs="Times New Roman"/>
          <w:kern w:val="0"/>
          <w:sz w:val="24"/>
          <w:szCs w:val="24"/>
          <w:lang w:eastAsia="en-AE"/>
          <w14:ligatures w14:val="none"/>
        </w:rPr>
        <w:br/>
      </w:r>
      <w:r w:rsidR="007E0EFB" w:rsidRPr="007E0EFB">
        <w:rPr>
          <w:rFonts w:ascii="Times New Roman" w:eastAsia="Times New Roman" w:hAnsi="Times New Roman" w:cs="Times New Roman"/>
          <w:b/>
          <w:bCs/>
          <w:kern w:val="0"/>
          <w:sz w:val="28"/>
          <w:szCs w:val="28"/>
          <w:lang w:eastAsia="en-AE"/>
          <w14:ligatures w14:val="none"/>
        </w:rPr>
        <w:t xml:space="preserve">Analysis of the Real Estate Market From 2001 To 2021 </w:t>
      </w:r>
      <w:r w:rsidR="007E0EFB" w:rsidRPr="007E0EFB">
        <w:rPr>
          <w:rFonts w:ascii="Times New Roman" w:eastAsia="Times New Roman" w:hAnsi="Times New Roman" w:cs="Times New Roman"/>
          <w:b/>
          <w:bCs/>
          <w:kern w:val="0"/>
          <w:sz w:val="28"/>
          <w:szCs w:val="28"/>
          <w:lang w:eastAsia="en-AE"/>
          <w14:ligatures w14:val="none"/>
        </w:rPr>
        <w:br/>
      </w:r>
      <w:r w:rsidR="007E0EFB" w:rsidRPr="007E0EFB">
        <w:rPr>
          <w:rFonts w:ascii="Times New Roman" w:eastAsia="Times New Roman" w:hAnsi="Times New Roman" w:cs="Times New Roman"/>
          <w:kern w:val="0"/>
          <w:sz w:val="24"/>
          <w:szCs w:val="24"/>
          <w:lang w:eastAsia="en-AE"/>
          <w14:ligatures w14:val="none"/>
        </w:rPr>
        <w:br/>
      </w:r>
      <w:r w:rsidR="007E0EFB" w:rsidRPr="007E0EFB">
        <w:rPr>
          <w:rFonts w:ascii="Times New Roman" w:eastAsia="Times New Roman" w:hAnsi="Times New Roman" w:cs="Times New Roman"/>
          <w:b/>
          <w:bCs/>
          <w:kern w:val="0"/>
          <w:sz w:val="24"/>
          <w:szCs w:val="24"/>
          <w:lang w:eastAsia="en-AE"/>
          <w14:ligatures w14:val="none"/>
        </w:rPr>
        <w:t>Economic Context</w:t>
      </w:r>
    </w:p>
    <w:p w14:paraId="715C8F41" w14:textId="77777777"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p>
    <w:p w14:paraId="024EE0B3" w14:textId="2AD898F0"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kern w:val="0"/>
          <w:sz w:val="24"/>
          <w:szCs w:val="24"/>
          <w:lang w:eastAsia="en-AE"/>
          <w14:ligatures w14:val="none"/>
        </w:rPr>
        <w:t xml:space="preserve">The real estate market often reflects the overall state of the economy. The period from 2001 to 2021 includes several significant economic events, such as the collapse of the dot-com bubble, the 2008 financial crisis, and the economic upheavals caused by the COVID-19 pandemic. These events had a significant impact on real estate values as well as sales activity.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r>
      <w:r w:rsidR="001C43D4">
        <w:rPr>
          <w:rFonts w:ascii="Times New Roman" w:eastAsia="Times New Roman" w:hAnsi="Times New Roman" w:cs="Times New Roman"/>
          <w:b/>
          <w:bCs/>
          <w:kern w:val="0"/>
          <w:sz w:val="28"/>
          <w:szCs w:val="28"/>
          <w:lang w:eastAsia="en-AE"/>
          <w14:ligatures w14:val="none"/>
        </w:rPr>
        <w:t xml:space="preserve">Analysis </w:t>
      </w:r>
      <w:r w:rsidR="001C43D4" w:rsidRPr="007E0EFB">
        <w:rPr>
          <w:rFonts w:ascii="Times New Roman" w:eastAsia="Times New Roman" w:hAnsi="Times New Roman" w:cs="Times New Roman"/>
          <w:b/>
          <w:bCs/>
          <w:kern w:val="0"/>
          <w:sz w:val="28"/>
          <w:szCs w:val="28"/>
          <w:lang w:eastAsia="en-AE"/>
          <w14:ligatures w14:val="none"/>
        </w:rPr>
        <w:t>of</w:t>
      </w:r>
      <w:r w:rsidRPr="007E0EFB">
        <w:rPr>
          <w:rFonts w:ascii="Times New Roman" w:eastAsia="Times New Roman" w:hAnsi="Times New Roman" w:cs="Times New Roman"/>
          <w:b/>
          <w:bCs/>
          <w:kern w:val="0"/>
          <w:sz w:val="28"/>
          <w:szCs w:val="28"/>
          <w:lang w:eastAsia="en-AE"/>
          <w14:ligatures w14:val="none"/>
        </w:rPr>
        <w:t xml:space="preserve"> Median Sales Ratio by Town</w:t>
      </w:r>
      <w:r w:rsidRPr="007E0EFB">
        <w:rPr>
          <w:rFonts w:ascii="Times New Roman" w:eastAsia="Times New Roman" w:hAnsi="Times New Roman" w:cs="Times New Roman"/>
          <w:kern w:val="0"/>
          <w:sz w:val="28"/>
          <w:szCs w:val="28"/>
          <w:lang w:eastAsia="en-AE"/>
          <w14:ligatures w14:val="none"/>
        </w:rPr>
        <w:t xml:space="preserve">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b/>
          <w:bCs/>
          <w:kern w:val="0"/>
          <w:sz w:val="24"/>
          <w:szCs w:val="24"/>
          <w:lang w:eastAsia="en-AE"/>
          <w14:ligatures w14:val="none"/>
        </w:rPr>
        <w:t>Geographic Variations:</w:t>
      </w:r>
      <w:r w:rsidRPr="007E0EFB">
        <w:rPr>
          <w:rFonts w:ascii="Times New Roman" w:eastAsia="Times New Roman" w:hAnsi="Times New Roman" w:cs="Times New Roman"/>
          <w:kern w:val="0"/>
          <w:sz w:val="24"/>
          <w:szCs w:val="24"/>
          <w:lang w:eastAsia="en-AE"/>
          <w14:ligatures w14:val="none"/>
        </w:rPr>
        <w:t xml:space="preserve"> </w:t>
      </w:r>
    </w:p>
    <w:p w14:paraId="040C3941" w14:textId="77777777"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p>
    <w:p w14:paraId="7AE67474" w14:textId="77777777" w:rsidR="001B5A77" w:rsidRDefault="007E0EFB" w:rsidP="001B5A77">
      <w:pPr>
        <w:spacing w:after="24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The visualization "Median of Sales Ratio by Town" provides a concise representation of how different towns perform in terms of real estate sales. </w:t>
      </w:r>
    </w:p>
    <w:p w14:paraId="707BBFCE" w14:textId="554A178B" w:rsidR="001B5A77" w:rsidRPr="001B5A77" w:rsidRDefault="001B5A77" w:rsidP="001B5A77">
      <w:pPr>
        <w:spacing w:after="0"/>
        <w:rPr>
          <w:rFonts w:ascii="Times New Roman" w:eastAsia="Times New Roman" w:hAnsi="Times New Roman" w:cs="Times New Roman"/>
          <w:kern w:val="0"/>
          <w:sz w:val="24"/>
          <w:szCs w:val="24"/>
          <w:u w:val="single"/>
          <w:lang w:eastAsia="en-AE"/>
          <w14:ligatures w14:val="none"/>
        </w:rPr>
      </w:pPr>
      <w:r w:rsidRPr="001B5A77">
        <w:rPr>
          <w:rFonts w:ascii="Times New Roman" w:eastAsia="Times New Roman" w:hAnsi="Times New Roman" w:cs="Times New Roman"/>
          <w:kern w:val="0"/>
          <w:sz w:val="24"/>
          <w:szCs w:val="24"/>
          <w:u w:val="single"/>
          <w:lang w:eastAsia="en-AE"/>
          <w14:ligatures w14:val="none"/>
        </w:rPr>
        <w:t xml:space="preserve">Higher median sales ratio </w:t>
      </w:r>
    </w:p>
    <w:p w14:paraId="77A37F58" w14:textId="00EF1EC3" w:rsidR="001B5A77" w:rsidRDefault="001B5A77" w:rsidP="001B5A77">
      <w:p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Towns like Cornwall, Stafford, and North Canaan have higher median sales ratios, which can indicate a few things: </w:t>
      </w:r>
    </w:p>
    <w:p w14:paraId="3A4A7016" w14:textId="77777777" w:rsidR="001B5A77" w:rsidRDefault="001B5A77" w:rsidP="001B5A77">
      <w:pPr>
        <w:pStyle w:val="ListParagraph"/>
        <w:numPr>
          <w:ilvl w:val="0"/>
          <w:numId w:val="2"/>
        </w:num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Properties frequently sell for prices near or above their assessed values. </w:t>
      </w:r>
    </w:p>
    <w:p w14:paraId="5BDC85E4" w14:textId="77777777" w:rsidR="001B5A77" w:rsidRDefault="001B5A77" w:rsidP="001B5A77">
      <w:pPr>
        <w:pStyle w:val="ListParagraph"/>
        <w:numPr>
          <w:ilvl w:val="0"/>
          <w:numId w:val="2"/>
        </w:num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A high ratio may indicate that the assessment system undervalues properties, or that the real estate market is highly dynamic and competitive, resulting in higher sales prices. </w:t>
      </w:r>
    </w:p>
    <w:p w14:paraId="09A17A5C" w14:textId="77777777" w:rsidR="001B5A77" w:rsidRDefault="001B5A77" w:rsidP="001B5A77">
      <w:pPr>
        <w:pStyle w:val="ListParagraph"/>
        <w:numPr>
          <w:ilvl w:val="0"/>
          <w:numId w:val="2"/>
        </w:num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Furthermore, this could indicate a strong buyer's market in these areas, as evidenced by high demand for properties. </w:t>
      </w:r>
    </w:p>
    <w:p w14:paraId="49767DA8" w14:textId="77777777" w:rsidR="001B5A77" w:rsidRDefault="001B5A77" w:rsidP="001B5A77">
      <w:pPr>
        <w:pStyle w:val="ListParagraph"/>
        <w:spacing w:after="0"/>
        <w:rPr>
          <w:rFonts w:ascii="Times New Roman" w:eastAsia="Times New Roman" w:hAnsi="Times New Roman" w:cs="Times New Roman"/>
          <w:kern w:val="0"/>
          <w:sz w:val="24"/>
          <w:szCs w:val="24"/>
          <w:lang w:eastAsia="en-AE"/>
          <w14:ligatures w14:val="none"/>
        </w:rPr>
      </w:pPr>
    </w:p>
    <w:p w14:paraId="0E58AC10" w14:textId="77777777" w:rsidR="001B5A77" w:rsidRPr="001B5A77" w:rsidRDefault="001B5A77" w:rsidP="001B5A77">
      <w:pPr>
        <w:spacing w:after="0"/>
        <w:rPr>
          <w:rFonts w:ascii="Times New Roman" w:eastAsia="Times New Roman" w:hAnsi="Times New Roman" w:cs="Times New Roman"/>
          <w:kern w:val="0"/>
          <w:sz w:val="24"/>
          <w:szCs w:val="24"/>
          <w:u w:val="single"/>
          <w:lang w:eastAsia="en-AE"/>
          <w14:ligatures w14:val="none"/>
        </w:rPr>
      </w:pPr>
      <w:r w:rsidRPr="001B5A77">
        <w:rPr>
          <w:rFonts w:ascii="Times New Roman" w:eastAsia="Times New Roman" w:hAnsi="Times New Roman" w:cs="Times New Roman"/>
          <w:kern w:val="0"/>
          <w:sz w:val="24"/>
          <w:szCs w:val="24"/>
          <w:u w:val="single"/>
          <w:lang w:eastAsia="en-AE"/>
          <w14:ligatures w14:val="none"/>
        </w:rPr>
        <w:t xml:space="preserve">Lower median sales ratio </w:t>
      </w:r>
    </w:p>
    <w:p w14:paraId="0A1F1993" w14:textId="77777777" w:rsidR="001B5A77" w:rsidRDefault="001B5A77" w:rsidP="001B5A77">
      <w:p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 </w:t>
      </w:r>
      <w:r w:rsidRPr="001B5A77">
        <w:rPr>
          <w:rFonts w:ascii="Times New Roman" w:eastAsia="Times New Roman" w:hAnsi="Times New Roman" w:cs="Times New Roman"/>
          <w:kern w:val="0"/>
          <w:sz w:val="24"/>
          <w:szCs w:val="24"/>
          <w:lang w:eastAsia="en-AE"/>
          <w14:ligatures w14:val="none"/>
        </w:rPr>
        <w:br/>
        <w:t xml:space="preserve">Towns with lower median sales ratios include Hartford, Warren, and Sterling, indicating that properties are being sold for less than their assessed value. </w:t>
      </w:r>
    </w:p>
    <w:p w14:paraId="6B466329" w14:textId="77777777" w:rsidR="001B5A77" w:rsidRDefault="001B5A77" w:rsidP="001B5A77">
      <w:pPr>
        <w:pStyle w:val="ListParagraph"/>
        <w:numPr>
          <w:ilvl w:val="0"/>
          <w:numId w:val="3"/>
        </w:num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This could indicate a weaker market or over-assessment by the local government. </w:t>
      </w:r>
    </w:p>
    <w:p w14:paraId="52929797" w14:textId="53A7A1D1" w:rsidR="001B5A77" w:rsidRPr="001B5A77" w:rsidRDefault="001B5A77" w:rsidP="001B5A77">
      <w:pPr>
        <w:pStyle w:val="ListParagraph"/>
        <w:numPr>
          <w:ilvl w:val="0"/>
          <w:numId w:val="3"/>
        </w:num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These areas may be experiencing decreased demand, economic challenges, or other factors that reduce property values. </w:t>
      </w:r>
    </w:p>
    <w:p w14:paraId="453FD87D" w14:textId="5CCE7011" w:rsidR="00FB7AD3" w:rsidRDefault="00FB7AD3" w:rsidP="007E0EFB">
      <w:pPr>
        <w:spacing w:after="0" w:line="240" w:lineRule="auto"/>
        <w:rPr>
          <w:rFonts w:ascii="Times New Roman" w:eastAsia="Times New Roman" w:hAnsi="Times New Roman" w:cs="Times New Roman"/>
          <w:kern w:val="0"/>
          <w:sz w:val="24"/>
          <w:szCs w:val="24"/>
          <w:lang w:eastAsia="en-AE"/>
          <w14:ligatures w14:val="none"/>
        </w:rPr>
      </w:pPr>
    </w:p>
    <w:p w14:paraId="51516163" w14:textId="23561AA7" w:rsidR="00FB7AD3" w:rsidRDefault="00291C5F">
      <w:pPr>
        <w:rPr>
          <w:rFonts w:ascii="Times New Roman" w:eastAsia="Times New Roman" w:hAnsi="Times New Roman" w:cs="Times New Roman"/>
          <w:kern w:val="0"/>
          <w:sz w:val="24"/>
          <w:szCs w:val="24"/>
          <w:lang w:eastAsia="en-AE"/>
          <w14:ligatures w14:val="none"/>
        </w:rPr>
      </w:pPr>
      <w:r w:rsidRPr="00291C5F">
        <w:rPr>
          <w:rFonts w:ascii="Times New Roman" w:eastAsia="Times New Roman" w:hAnsi="Times New Roman" w:cs="Times New Roman"/>
          <w:noProof/>
          <w:kern w:val="0"/>
          <w:sz w:val="24"/>
          <w:szCs w:val="24"/>
          <w:lang w:eastAsia="en-AE"/>
          <w14:ligatures w14:val="none"/>
        </w:rPr>
        <w:lastRenderedPageBreak/>
        <w:drawing>
          <wp:inline distT="0" distB="0" distL="0" distR="0" wp14:anchorId="0F724992" wp14:editId="243B20CA">
            <wp:extent cx="6393659" cy="2387600"/>
            <wp:effectExtent l="0" t="0" r="7620" b="0"/>
            <wp:docPr id="651203959" name="Picture 1" descr="A bar cod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3959" name="Picture 1" descr="A bar code with blue lines&#10;&#10;Description automatically generated"/>
                    <pic:cNvPicPr/>
                  </pic:nvPicPr>
                  <pic:blipFill>
                    <a:blip r:embed="rId5"/>
                    <a:stretch>
                      <a:fillRect/>
                    </a:stretch>
                  </pic:blipFill>
                  <pic:spPr>
                    <a:xfrm>
                      <a:off x="0" y="0"/>
                      <a:ext cx="6437181" cy="2403853"/>
                    </a:xfrm>
                    <a:prstGeom prst="rect">
                      <a:avLst/>
                    </a:prstGeom>
                  </pic:spPr>
                </pic:pic>
              </a:graphicData>
            </a:graphic>
          </wp:inline>
        </w:drawing>
      </w:r>
    </w:p>
    <w:p w14:paraId="760A69AD" w14:textId="77777777" w:rsidR="005E37E0" w:rsidRDefault="005E37E0" w:rsidP="005E37E0">
      <w:pPr>
        <w:rPr>
          <w:rFonts w:ascii="Times New Roman" w:eastAsia="Times New Roman" w:hAnsi="Times New Roman" w:cs="Times New Roman"/>
          <w:kern w:val="0"/>
          <w:sz w:val="24"/>
          <w:szCs w:val="24"/>
          <w:lang w:eastAsia="en-AE"/>
          <w14:ligatures w14:val="none"/>
        </w:rPr>
      </w:pPr>
      <w:r w:rsidRPr="005E37E0">
        <w:rPr>
          <w:rFonts w:ascii="Times New Roman" w:eastAsia="Times New Roman" w:hAnsi="Times New Roman" w:cs="Times New Roman"/>
          <w:noProof/>
          <w:kern w:val="0"/>
          <w:sz w:val="24"/>
          <w:szCs w:val="24"/>
          <w:lang w:eastAsia="en-AE"/>
          <w14:ligatures w14:val="none"/>
        </w:rPr>
        <w:drawing>
          <wp:inline distT="0" distB="0" distL="0" distR="0" wp14:anchorId="25CC61DF" wp14:editId="7F35FB7F">
            <wp:extent cx="6280407" cy="3124200"/>
            <wp:effectExtent l="0" t="0" r="6350" b="0"/>
            <wp:docPr id="1644716264" name="Picture 1" descr="A green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16264" name="Picture 1" descr="A green and red bars&#10;&#10;Description automatically generated"/>
                    <pic:cNvPicPr/>
                  </pic:nvPicPr>
                  <pic:blipFill>
                    <a:blip r:embed="rId6"/>
                    <a:stretch>
                      <a:fillRect/>
                    </a:stretch>
                  </pic:blipFill>
                  <pic:spPr>
                    <a:xfrm>
                      <a:off x="0" y="0"/>
                      <a:ext cx="6286982" cy="3127471"/>
                    </a:xfrm>
                    <a:prstGeom prst="rect">
                      <a:avLst/>
                    </a:prstGeom>
                  </pic:spPr>
                </pic:pic>
              </a:graphicData>
            </a:graphic>
          </wp:inline>
        </w:drawing>
      </w:r>
    </w:p>
    <w:p w14:paraId="1DC0F4DF" w14:textId="77777777" w:rsidR="00742C33" w:rsidRDefault="00742C33" w:rsidP="00742C33">
      <w:pPr>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b/>
          <w:bCs/>
          <w:kern w:val="0"/>
          <w:sz w:val="28"/>
          <w:szCs w:val="28"/>
          <w:lang w:eastAsia="en-AE"/>
          <w14:ligatures w14:val="none"/>
        </w:rPr>
        <w:t>Sales Ratio by Year and Property Type</w:t>
      </w:r>
    </w:p>
    <w:p w14:paraId="0E7ED513" w14:textId="77777777" w:rsidR="00742C33" w:rsidRDefault="00742C33" w:rsidP="00742C33">
      <w:pPr>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b/>
          <w:bCs/>
          <w:kern w:val="0"/>
          <w:sz w:val="24"/>
          <w:szCs w:val="24"/>
          <w:lang w:eastAsia="en-AE"/>
          <w14:ligatures w14:val="none"/>
        </w:rPr>
        <w:t>Variations in Property Dynamics:</w:t>
      </w:r>
    </w:p>
    <w:p w14:paraId="32C0E703" w14:textId="77777777" w:rsidR="00742C33" w:rsidRDefault="00742C33" w:rsidP="00742C33">
      <w:pPr>
        <w:spacing w:after="240" w:line="240" w:lineRule="auto"/>
        <w:rPr>
          <w:rFonts w:ascii="Times New Roman" w:eastAsia="Times New Roman" w:hAnsi="Times New Roman" w:cs="Times New Roman"/>
          <w:kern w:val="0"/>
          <w:sz w:val="24"/>
          <w:szCs w:val="24"/>
          <w:lang w:eastAsia="en-AE"/>
          <w14:ligatures w14:val="none"/>
        </w:rPr>
      </w:pPr>
      <w:r w:rsidRPr="00AE12E4">
        <w:rPr>
          <w:rFonts w:ascii="Times New Roman" w:eastAsia="Times New Roman" w:hAnsi="Times New Roman" w:cs="Times New Roman"/>
          <w:kern w:val="0"/>
          <w:sz w:val="24"/>
          <w:szCs w:val="24"/>
          <w:lang w:eastAsia="en-AE"/>
          <w14:ligatures w14:val="none"/>
        </w:rPr>
        <w:t>During the late 2000s, the median sales ratio for most property types fell, most likely due to the housing market crisis.</w:t>
      </w:r>
      <w:r>
        <w:rPr>
          <w:rFonts w:ascii="Times New Roman" w:eastAsia="Times New Roman" w:hAnsi="Times New Roman" w:cs="Times New Roman"/>
          <w:kern w:val="0"/>
          <w:sz w:val="24"/>
          <w:szCs w:val="24"/>
          <w:lang w:eastAsia="en-AE"/>
          <w14:ligatures w14:val="none"/>
        </w:rPr>
        <w:t xml:space="preserve"> </w:t>
      </w:r>
      <w:r w:rsidRPr="00AE12E4">
        <w:rPr>
          <w:rFonts w:ascii="Times New Roman" w:eastAsia="Times New Roman" w:hAnsi="Times New Roman" w:cs="Times New Roman"/>
          <w:kern w:val="0"/>
          <w:sz w:val="24"/>
          <w:szCs w:val="24"/>
          <w:lang w:eastAsia="en-AE"/>
          <w14:ligatures w14:val="none"/>
        </w:rPr>
        <w:t xml:space="preserve">In recent years, the median sales ratio of Vacant Land and Public Utility properties has increased significantly, surpassing that of other types of properties. </w:t>
      </w:r>
      <w:r w:rsidRPr="00AE12E4">
        <w:rPr>
          <w:rFonts w:ascii="Times New Roman" w:eastAsia="Times New Roman" w:hAnsi="Times New Roman" w:cs="Times New Roman"/>
          <w:kern w:val="0"/>
          <w:sz w:val="24"/>
          <w:szCs w:val="24"/>
          <w:lang w:eastAsia="en-AE"/>
          <w14:ligatures w14:val="none"/>
        </w:rPr>
        <w:br/>
        <w:t xml:space="preserve">Residential, industrial, and commercial properties usually have a consistent median sales ratio over time, with only minor variations. Condos, single-family homes, two-family homes, four-family homes, and three-family homes all show a similar trend, with a noticeable decline around 2010 followed by a gradual resurgence. Apartments follow a fluctuating pattern, with multiple crests and troughs over the years. </w:t>
      </w:r>
    </w:p>
    <w:p w14:paraId="13BF610C" w14:textId="350C070F" w:rsidR="00742C33" w:rsidRDefault="00967F2E" w:rsidP="00967F2E">
      <w:pPr>
        <w:spacing w:after="240" w:line="240" w:lineRule="auto"/>
        <w:rPr>
          <w:rFonts w:ascii="Times New Roman" w:eastAsia="Times New Roman" w:hAnsi="Times New Roman" w:cs="Times New Roman"/>
          <w:kern w:val="0"/>
          <w:sz w:val="24"/>
          <w:szCs w:val="24"/>
          <w:lang w:eastAsia="en-AE"/>
          <w14:ligatures w14:val="none"/>
        </w:rPr>
      </w:pPr>
      <w:r w:rsidRPr="00AE12E4">
        <w:rPr>
          <w:rFonts w:ascii="Times New Roman" w:eastAsia="Times New Roman" w:hAnsi="Times New Roman" w:cs="Times New Roman"/>
          <w:b/>
          <w:bCs/>
          <w:noProof/>
          <w:kern w:val="0"/>
          <w:sz w:val="28"/>
          <w:szCs w:val="28"/>
          <w:lang w:eastAsia="en-AE"/>
          <w14:ligatures w14:val="none"/>
        </w:rPr>
        <w:lastRenderedPageBreak/>
        <w:drawing>
          <wp:inline distT="0" distB="0" distL="0" distR="0" wp14:anchorId="425B15B2" wp14:editId="037A45E2">
            <wp:extent cx="5731510" cy="2631536"/>
            <wp:effectExtent l="0" t="0" r="2540" b="0"/>
            <wp:docPr id="62586785"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785" name="Picture 1" descr="A graph with colored lines&#10;&#10;Description automatically generated"/>
                    <pic:cNvPicPr/>
                  </pic:nvPicPr>
                  <pic:blipFill>
                    <a:blip r:embed="rId7"/>
                    <a:stretch>
                      <a:fillRect/>
                    </a:stretch>
                  </pic:blipFill>
                  <pic:spPr>
                    <a:xfrm>
                      <a:off x="0" y="0"/>
                      <a:ext cx="5731510" cy="2631536"/>
                    </a:xfrm>
                    <a:prstGeom prst="rect">
                      <a:avLst/>
                    </a:prstGeom>
                  </pic:spPr>
                </pic:pic>
              </a:graphicData>
            </a:graphic>
          </wp:inline>
        </w:drawing>
      </w:r>
    </w:p>
    <w:p w14:paraId="2FFAD111" w14:textId="77777777" w:rsidR="00742C33" w:rsidRDefault="00742C33" w:rsidP="00742C33">
      <w:pPr>
        <w:spacing w:after="0" w:line="240" w:lineRule="auto"/>
        <w:rPr>
          <w:rFonts w:ascii="Times New Roman" w:eastAsia="Times New Roman" w:hAnsi="Times New Roman" w:cs="Times New Roman"/>
          <w:kern w:val="0"/>
          <w:sz w:val="24"/>
          <w:szCs w:val="24"/>
          <w:lang w:eastAsia="en-AE"/>
          <w14:ligatures w14:val="none"/>
        </w:rPr>
      </w:pPr>
    </w:p>
    <w:p w14:paraId="44334C7F" w14:textId="77777777" w:rsidR="00742C33" w:rsidRDefault="00742C33" w:rsidP="00742C33">
      <w:pPr>
        <w:spacing w:after="0" w:line="240" w:lineRule="auto"/>
        <w:rPr>
          <w:rFonts w:ascii="Times New Roman" w:eastAsia="Times New Roman" w:hAnsi="Times New Roman" w:cs="Times New Roman"/>
          <w:kern w:val="0"/>
          <w:sz w:val="24"/>
          <w:szCs w:val="24"/>
          <w:lang w:eastAsia="en-AE"/>
          <w14:ligatures w14:val="none"/>
        </w:rPr>
      </w:pPr>
      <w:r w:rsidRPr="00AD4FD9">
        <w:rPr>
          <w:rFonts w:ascii="Times New Roman" w:eastAsia="Times New Roman" w:hAnsi="Times New Roman" w:cs="Times New Roman"/>
          <w:kern w:val="0"/>
          <w:sz w:val="24"/>
          <w:szCs w:val="24"/>
          <w:lang w:eastAsia="en-AE"/>
          <w14:ligatures w14:val="none"/>
        </w:rPr>
        <w:t xml:space="preserve">Cornwall and East Haven have lower median two-family home sales ratios. This suggests that two-family property prices in these areas are significantly higher than their assessed value. This phenomenon could be caused by a variety of factors, including high demand for rentals, a scarcity of available properties, and desirable locations that make these properties extremely appealing to buyers. </w:t>
      </w:r>
      <w:r w:rsidRPr="00AD4FD9">
        <w:rPr>
          <w:rFonts w:ascii="Times New Roman" w:eastAsia="Times New Roman" w:hAnsi="Times New Roman" w:cs="Times New Roman"/>
          <w:kern w:val="0"/>
          <w:sz w:val="24"/>
          <w:szCs w:val="24"/>
          <w:lang w:eastAsia="en-AE"/>
          <w14:ligatures w14:val="none"/>
        </w:rPr>
        <w:br/>
      </w:r>
    </w:p>
    <w:p w14:paraId="7F0A7D5F" w14:textId="77777777" w:rsidR="00742C33" w:rsidRDefault="00742C33" w:rsidP="00742C33">
      <w:pPr>
        <w:spacing w:after="0" w:line="240" w:lineRule="auto"/>
        <w:rPr>
          <w:rFonts w:ascii="Times New Roman" w:eastAsia="Times New Roman" w:hAnsi="Times New Roman" w:cs="Times New Roman"/>
          <w:kern w:val="0"/>
          <w:sz w:val="24"/>
          <w:szCs w:val="24"/>
          <w:lang w:eastAsia="en-AE"/>
          <w14:ligatures w14:val="none"/>
        </w:rPr>
      </w:pPr>
      <w:r w:rsidRPr="00AD4FD9">
        <w:rPr>
          <w:rFonts w:ascii="Times New Roman" w:eastAsia="Times New Roman" w:hAnsi="Times New Roman" w:cs="Times New Roman"/>
          <w:kern w:val="0"/>
          <w:sz w:val="24"/>
          <w:szCs w:val="24"/>
          <w:lang w:eastAsia="en-AE"/>
          <w14:ligatures w14:val="none"/>
        </w:rPr>
        <w:t xml:space="preserve">Four-family properties in North Branford have a relatively low median sales ratio, implying that buyers are paying significantly more than assessed values for multi-family homes. This could indicate a strong market for investors, with buyers willing to pay higher prices in exchange for the possibility of future development opportunities or rental income. </w:t>
      </w:r>
      <w:r w:rsidRPr="00AD4FD9">
        <w:rPr>
          <w:rFonts w:ascii="Times New Roman" w:eastAsia="Times New Roman" w:hAnsi="Times New Roman" w:cs="Times New Roman"/>
          <w:kern w:val="0"/>
          <w:sz w:val="24"/>
          <w:szCs w:val="24"/>
          <w:lang w:eastAsia="en-AE"/>
          <w14:ligatures w14:val="none"/>
        </w:rPr>
        <w:br/>
        <w:t xml:space="preserve">Properties designed to house three different families. </w:t>
      </w:r>
      <w:r w:rsidRPr="00AD4FD9">
        <w:rPr>
          <w:rFonts w:ascii="Times New Roman" w:eastAsia="Times New Roman" w:hAnsi="Times New Roman" w:cs="Times New Roman"/>
          <w:kern w:val="0"/>
          <w:sz w:val="24"/>
          <w:szCs w:val="24"/>
          <w:lang w:eastAsia="en-AE"/>
          <w14:ligatures w14:val="none"/>
        </w:rPr>
        <w:br/>
      </w:r>
    </w:p>
    <w:p w14:paraId="5078B287" w14:textId="775ED489" w:rsidR="00742C33" w:rsidRDefault="00742C33" w:rsidP="00742C33">
      <w:pPr>
        <w:spacing w:after="0" w:line="240" w:lineRule="auto"/>
        <w:rPr>
          <w:rFonts w:ascii="Times New Roman" w:eastAsia="Times New Roman" w:hAnsi="Times New Roman" w:cs="Times New Roman"/>
          <w:kern w:val="0"/>
          <w:sz w:val="24"/>
          <w:szCs w:val="24"/>
          <w:lang w:eastAsia="en-AE"/>
          <w14:ligatures w14:val="none"/>
        </w:rPr>
      </w:pPr>
      <w:r w:rsidRPr="00AD4FD9">
        <w:rPr>
          <w:rFonts w:ascii="Times New Roman" w:eastAsia="Times New Roman" w:hAnsi="Times New Roman" w:cs="Times New Roman"/>
          <w:kern w:val="0"/>
          <w:sz w:val="24"/>
          <w:szCs w:val="24"/>
          <w:lang w:eastAsia="en-AE"/>
          <w14:ligatures w14:val="none"/>
        </w:rPr>
        <w:t xml:space="preserve">Three-family homes have higher median sales ratios in towns such as Guilford, East Lyme, and Mansfield. Three-family homes in these </w:t>
      </w:r>
      <w:r w:rsidR="00967F2E" w:rsidRPr="00AD4FD9">
        <w:rPr>
          <w:rFonts w:ascii="Times New Roman" w:eastAsia="Times New Roman" w:hAnsi="Times New Roman" w:cs="Times New Roman"/>
          <w:kern w:val="0"/>
          <w:sz w:val="24"/>
          <w:szCs w:val="24"/>
          <w:lang w:eastAsia="en-AE"/>
          <w14:ligatures w14:val="none"/>
        </w:rPr>
        <w:t>neighbourhoods</w:t>
      </w:r>
      <w:r w:rsidRPr="00AD4FD9">
        <w:rPr>
          <w:rFonts w:ascii="Times New Roman" w:eastAsia="Times New Roman" w:hAnsi="Times New Roman" w:cs="Times New Roman"/>
          <w:kern w:val="0"/>
          <w:sz w:val="24"/>
          <w:szCs w:val="24"/>
          <w:lang w:eastAsia="en-AE"/>
          <w14:ligatures w14:val="none"/>
        </w:rPr>
        <w:t xml:space="preserve"> are listed for sale at prices that are less than or equal to their assessed values. Reduced demand, zoning restrictions, or a mismatch between assessed property values and current market conditions are all possible contributors to this outcome. </w:t>
      </w:r>
      <w:r w:rsidRPr="00AD4FD9">
        <w:rPr>
          <w:rFonts w:ascii="Times New Roman" w:eastAsia="Times New Roman" w:hAnsi="Times New Roman" w:cs="Times New Roman"/>
          <w:kern w:val="0"/>
          <w:sz w:val="24"/>
          <w:szCs w:val="24"/>
          <w:lang w:eastAsia="en-AE"/>
          <w14:ligatures w14:val="none"/>
        </w:rPr>
        <w:br/>
      </w:r>
    </w:p>
    <w:p w14:paraId="4165B930" w14:textId="77777777" w:rsidR="00742C33" w:rsidRDefault="00742C33" w:rsidP="00742C33">
      <w:pPr>
        <w:spacing w:after="0" w:line="240" w:lineRule="auto"/>
        <w:rPr>
          <w:rFonts w:ascii="Times New Roman" w:eastAsia="Times New Roman" w:hAnsi="Times New Roman" w:cs="Times New Roman"/>
          <w:kern w:val="0"/>
          <w:sz w:val="24"/>
          <w:szCs w:val="24"/>
          <w:lang w:eastAsia="en-AE"/>
          <w14:ligatures w14:val="none"/>
        </w:rPr>
      </w:pPr>
      <w:r w:rsidRPr="00AD4FD9">
        <w:rPr>
          <w:rFonts w:ascii="Times New Roman" w:eastAsia="Times New Roman" w:hAnsi="Times New Roman" w:cs="Times New Roman"/>
          <w:kern w:val="0"/>
          <w:sz w:val="24"/>
          <w:szCs w:val="24"/>
          <w:lang w:eastAsia="en-AE"/>
          <w14:ligatures w14:val="none"/>
        </w:rPr>
        <w:t xml:space="preserve">The disparities in sales ratios among different types of properties in the same town highlight the intricate dynamics of various market segments. For example, while North Branford charges a premium for its four-family properties, the two- and three-family home sales ratios may match or exceed assessed values. This implies that demand for different types of residential properties exhibits distinct patterns. </w:t>
      </w:r>
    </w:p>
    <w:p w14:paraId="46125440" w14:textId="77777777" w:rsidR="00742C33" w:rsidRPr="00AD4FD9" w:rsidRDefault="00742C33" w:rsidP="00742C33">
      <w:pPr>
        <w:spacing w:after="0" w:line="240" w:lineRule="auto"/>
        <w:rPr>
          <w:rFonts w:ascii="Times New Roman" w:eastAsia="Times New Roman" w:hAnsi="Times New Roman" w:cs="Times New Roman"/>
          <w:kern w:val="0"/>
          <w:sz w:val="24"/>
          <w:szCs w:val="24"/>
          <w:lang w:eastAsia="en-AE"/>
          <w14:ligatures w14:val="none"/>
        </w:rPr>
      </w:pPr>
    </w:p>
    <w:p w14:paraId="5D5DAD6B" w14:textId="7F5C7576" w:rsidR="001B5A77" w:rsidRDefault="00967F2E" w:rsidP="00742C33">
      <w:pPr>
        <w:rPr>
          <w:rFonts w:ascii="Times New Roman" w:eastAsia="Times New Roman" w:hAnsi="Times New Roman" w:cs="Times New Roman"/>
          <w:b/>
          <w:bCs/>
          <w:kern w:val="0"/>
          <w:sz w:val="28"/>
          <w:szCs w:val="28"/>
          <w:lang w:eastAsia="en-AE"/>
          <w14:ligatures w14:val="none"/>
        </w:rPr>
      </w:pPr>
      <w:r w:rsidRPr="00791A2E">
        <w:rPr>
          <w:rFonts w:ascii="Times New Roman" w:eastAsia="Times New Roman" w:hAnsi="Times New Roman" w:cs="Times New Roman"/>
          <w:noProof/>
          <w:kern w:val="0"/>
          <w:sz w:val="24"/>
          <w:szCs w:val="24"/>
          <w:lang w:eastAsia="en-AE"/>
          <w14:ligatures w14:val="none"/>
        </w:rPr>
        <w:drawing>
          <wp:inline distT="0" distB="0" distL="0" distR="0" wp14:anchorId="19133159" wp14:editId="38731F15">
            <wp:extent cx="5731510" cy="1542749"/>
            <wp:effectExtent l="0" t="0" r="2540" b="635"/>
            <wp:docPr id="715420433" name="Picture 1" descr="A graph of 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0433" name="Picture 1" descr="A graph of a graph of a person&#10;&#10;Description automatically generated with medium confidence"/>
                    <pic:cNvPicPr/>
                  </pic:nvPicPr>
                  <pic:blipFill>
                    <a:blip r:embed="rId8"/>
                    <a:stretch>
                      <a:fillRect/>
                    </a:stretch>
                  </pic:blipFill>
                  <pic:spPr>
                    <a:xfrm>
                      <a:off x="0" y="0"/>
                      <a:ext cx="5731510" cy="1542749"/>
                    </a:xfrm>
                    <a:prstGeom prst="rect">
                      <a:avLst/>
                    </a:prstGeom>
                  </pic:spPr>
                </pic:pic>
              </a:graphicData>
            </a:graphic>
          </wp:inline>
        </w:drawing>
      </w:r>
    </w:p>
    <w:p w14:paraId="3A2F4481" w14:textId="4B036C47" w:rsidR="007E0EFB" w:rsidRPr="001B5A77" w:rsidRDefault="007E0EFB" w:rsidP="007E0EFB">
      <w:pPr>
        <w:spacing w:after="0" w:line="240" w:lineRule="auto"/>
        <w:rPr>
          <w:rFonts w:ascii="Times New Roman" w:eastAsia="Times New Roman" w:hAnsi="Times New Roman" w:cs="Times New Roman"/>
          <w:b/>
          <w:bCs/>
          <w:kern w:val="0"/>
          <w:sz w:val="28"/>
          <w:szCs w:val="28"/>
          <w:lang w:eastAsia="en-AE"/>
          <w14:ligatures w14:val="none"/>
        </w:rPr>
      </w:pPr>
      <w:r w:rsidRPr="007E0EFB">
        <w:rPr>
          <w:rFonts w:ascii="Times New Roman" w:eastAsia="Times New Roman" w:hAnsi="Times New Roman" w:cs="Times New Roman"/>
          <w:b/>
          <w:bCs/>
          <w:kern w:val="0"/>
          <w:sz w:val="28"/>
          <w:szCs w:val="28"/>
          <w:lang w:eastAsia="en-AE"/>
          <w14:ligatures w14:val="none"/>
        </w:rPr>
        <w:lastRenderedPageBreak/>
        <w:t>Comparison of Sales Volume and Average Sale Price</w:t>
      </w:r>
      <w:r w:rsidRPr="007E0EFB">
        <w:rPr>
          <w:rFonts w:ascii="Times New Roman" w:eastAsia="Times New Roman" w:hAnsi="Times New Roman" w:cs="Times New Roman"/>
          <w:kern w:val="0"/>
          <w:sz w:val="28"/>
          <w:szCs w:val="28"/>
          <w:lang w:eastAsia="en-AE"/>
          <w14:ligatures w14:val="none"/>
        </w:rPr>
        <w:t xml:space="preserve">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b/>
          <w:bCs/>
          <w:kern w:val="0"/>
          <w:sz w:val="24"/>
          <w:szCs w:val="24"/>
          <w:lang w:eastAsia="en-AE"/>
          <w14:ligatures w14:val="none"/>
        </w:rPr>
        <w:t>Market Activity &amp; Pricing:</w:t>
      </w:r>
      <w:r w:rsidRPr="007E0EFB">
        <w:rPr>
          <w:rFonts w:ascii="Times New Roman" w:eastAsia="Times New Roman" w:hAnsi="Times New Roman" w:cs="Times New Roman"/>
          <w:kern w:val="0"/>
          <w:sz w:val="24"/>
          <w:szCs w:val="24"/>
          <w:lang w:eastAsia="en-AE"/>
          <w14:ligatures w14:val="none"/>
        </w:rPr>
        <w:t xml:space="preserve"> </w:t>
      </w:r>
    </w:p>
    <w:p w14:paraId="0A73424B" w14:textId="77777777"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p>
    <w:p w14:paraId="6A76B0C5" w14:textId="77777777" w:rsidR="005E37E0" w:rsidRDefault="007E0EFB" w:rsidP="007E0EFB">
      <w:pPr>
        <w:spacing w:after="0" w:line="240" w:lineRule="auto"/>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kern w:val="0"/>
          <w:sz w:val="24"/>
          <w:szCs w:val="24"/>
          <w:lang w:eastAsia="en-AE"/>
          <w14:ligatures w14:val="none"/>
        </w:rPr>
        <w:t xml:space="preserve">The "Count of Sale Amount and Average of Sale Amount by Year" graph depicts the real estate market's overall activity, including average sale prices. The significant drop in sales around 2008 reflects the impact of the financial crisis, whereas the market's subsequent recovery demonstrates its ability to withstand challenges. The consistent upward trend in average sale prices since 2015 suggests a strong market recovery and increased property value. </w:t>
      </w:r>
    </w:p>
    <w:p w14:paraId="4B5093BA" w14:textId="77777777" w:rsidR="005E37E0" w:rsidRDefault="005E37E0" w:rsidP="007E0EFB">
      <w:pPr>
        <w:spacing w:after="0" w:line="240" w:lineRule="auto"/>
        <w:rPr>
          <w:rFonts w:ascii="Times New Roman" w:eastAsia="Times New Roman" w:hAnsi="Times New Roman" w:cs="Times New Roman"/>
          <w:kern w:val="0"/>
          <w:sz w:val="24"/>
          <w:szCs w:val="24"/>
          <w:lang w:eastAsia="en-AE"/>
          <w14:ligatures w14:val="none"/>
        </w:rPr>
      </w:pPr>
    </w:p>
    <w:p w14:paraId="798CF8FE" w14:textId="77777777" w:rsidR="00742C33" w:rsidRDefault="007D115B" w:rsidP="007E0EFB">
      <w:pPr>
        <w:spacing w:after="0" w:line="240" w:lineRule="auto"/>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noProof/>
          <w:kern w:val="0"/>
          <w:sz w:val="24"/>
          <w:szCs w:val="24"/>
          <w:lang w:eastAsia="en-AE"/>
          <w14:ligatures w14:val="none"/>
        </w:rPr>
        <w:t>r</w:t>
      </w:r>
      <w:r w:rsidR="005E37E0" w:rsidRPr="005E37E0">
        <w:rPr>
          <w:rFonts w:ascii="Times New Roman" w:eastAsia="Times New Roman" w:hAnsi="Times New Roman" w:cs="Times New Roman"/>
          <w:noProof/>
          <w:kern w:val="0"/>
          <w:sz w:val="24"/>
          <w:szCs w:val="24"/>
          <w:lang w:eastAsia="en-AE"/>
          <w14:ligatures w14:val="none"/>
        </w:rPr>
        <w:drawing>
          <wp:inline distT="0" distB="0" distL="0" distR="0" wp14:anchorId="199A8FB2" wp14:editId="4CA08925">
            <wp:extent cx="6324600" cy="3130768"/>
            <wp:effectExtent l="0" t="0" r="0" b="0"/>
            <wp:docPr id="344034943" name="Picture 1" descr="A graph with a red line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34943" name="Picture 1" descr="A graph with a red line and a graph&#10;&#10;Description automatically generated"/>
                    <pic:cNvPicPr/>
                  </pic:nvPicPr>
                  <pic:blipFill>
                    <a:blip r:embed="rId9"/>
                    <a:stretch>
                      <a:fillRect/>
                    </a:stretch>
                  </pic:blipFill>
                  <pic:spPr>
                    <a:xfrm>
                      <a:off x="0" y="0"/>
                      <a:ext cx="6333130" cy="3134990"/>
                    </a:xfrm>
                    <a:prstGeom prst="rect">
                      <a:avLst/>
                    </a:prstGeom>
                  </pic:spPr>
                </pic:pic>
              </a:graphicData>
            </a:graphic>
          </wp:inline>
        </w:drawing>
      </w:r>
    </w:p>
    <w:p w14:paraId="0B7595D6" w14:textId="24C375DA"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b/>
          <w:bCs/>
          <w:kern w:val="0"/>
          <w:sz w:val="28"/>
          <w:szCs w:val="28"/>
          <w:lang w:eastAsia="en-AE"/>
          <w14:ligatures w14:val="none"/>
        </w:rPr>
        <w:t>Summary:</w:t>
      </w:r>
      <w:r w:rsidRPr="007E0EFB">
        <w:rPr>
          <w:rFonts w:ascii="Times New Roman" w:eastAsia="Times New Roman" w:hAnsi="Times New Roman" w:cs="Times New Roman"/>
          <w:kern w:val="0"/>
          <w:sz w:val="28"/>
          <w:szCs w:val="28"/>
          <w:lang w:eastAsia="en-AE"/>
          <w14:ligatures w14:val="none"/>
        </w:rPr>
        <w:t xml:space="preserve"> </w:t>
      </w:r>
    </w:p>
    <w:p w14:paraId="1A70B26E" w14:textId="77777777"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p>
    <w:p w14:paraId="64EF555B" w14:textId="337C2A7E" w:rsidR="007E0EFB" w:rsidRP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b/>
          <w:bCs/>
          <w:kern w:val="0"/>
          <w:sz w:val="24"/>
          <w:szCs w:val="24"/>
          <w:lang w:eastAsia="en-AE"/>
          <w14:ligatures w14:val="none"/>
        </w:rPr>
        <w:t>A Dynamic Period in the Real Estate Industry</w:t>
      </w:r>
      <w:r w:rsidRPr="007E0EFB">
        <w:rPr>
          <w:rFonts w:ascii="Times New Roman" w:eastAsia="Times New Roman" w:hAnsi="Times New Roman" w:cs="Times New Roman"/>
          <w:kern w:val="0"/>
          <w:sz w:val="24"/>
          <w:szCs w:val="24"/>
          <w:lang w:eastAsia="en-AE"/>
          <w14:ligatures w14:val="none"/>
        </w:rPr>
        <w:t xml:space="preserve">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t xml:space="preserve">The data, which ranges from 2001 to 2021, shows a constantly changing real estate environment influenced by economic fluctuations, geographical factors, and shifting consumer tastes. During this time, property prices have increased significantly, particularly in single-family homes and specific regions. The real estate market's </w:t>
      </w:r>
      <w:r w:rsidR="00116B7F">
        <w:rPr>
          <w:rFonts w:ascii="Times New Roman" w:eastAsia="Times New Roman" w:hAnsi="Times New Roman" w:cs="Times New Roman"/>
          <w:kern w:val="0"/>
          <w:sz w:val="24"/>
          <w:szCs w:val="24"/>
          <w:lang w:eastAsia="en-AE"/>
          <w14:ligatures w14:val="none"/>
        </w:rPr>
        <w:t>stability</w:t>
      </w:r>
      <w:r w:rsidRPr="007E0EFB">
        <w:rPr>
          <w:rFonts w:ascii="Times New Roman" w:eastAsia="Times New Roman" w:hAnsi="Times New Roman" w:cs="Times New Roman"/>
          <w:kern w:val="0"/>
          <w:sz w:val="24"/>
          <w:szCs w:val="24"/>
          <w:lang w:eastAsia="en-AE"/>
          <w14:ligatures w14:val="none"/>
        </w:rPr>
        <w:t xml:space="preserve">, even during economic downturns, demonstrates its critical role in the region's economic structure. </w:t>
      </w:r>
      <w:r w:rsidRPr="007E0EFB">
        <w:rPr>
          <w:rFonts w:ascii="Times New Roman" w:eastAsia="Times New Roman" w:hAnsi="Times New Roman" w:cs="Times New Roman"/>
          <w:kern w:val="0"/>
          <w:sz w:val="24"/>
          <w:szCs w:val="24"/>
          <w:lang w:eastAsia="en-AE"/>
          <w14:ligatures w14:val="none"/>
        </w:rPr>
        <w:br/>
        <w:t>This narrative provides a comprehensive overview of the changes that have occurred in the real estate market over the past two decades</w:t>
      </w:r>
      <w:r w:rsidR="00116B7F">
        <w:rPr>
          <w:rFonts w:ascii="Times New Roman" w:eastAsia="Times New Roman" w:hAnsi="Times New Roman" w:cs="Times New Roman"/>
          <w:kern w:val="0"/>
          <w:sz w:val="24"/>
          <w:szCs w:val="24"/>
          <w:lang w:eastAsia="en-AE"/>
          <w14:ligatures w14:val="none"/>
        </w:rPr>
        <w:t xml:space="preserve"> using </w:t>
      </w:r>
      <w:r w:rsidRPr="007E0EFB">
        <w:rPr>
          <w:rFonts w:ascii="Times New Roman" w:eastAsia="Times New Roman" w:hAnsi="Times New Roman" w:cs="Times New Roman"/>
          <w:kern w:val="0"/>
          <w:sz w:val="24"/>
          <w:szCs w:val="24"/>
          <w:lang w:eastAsia="en-AE"/>
          <w14:ligatures w14:val="none"/>
        </w:rPr>
        <w:t xml:space="preserve">complex data visualizations to highlight patterns, challenges, and potential opportunities. </w:t>
      </w:r>
    </w:p>
    <w:p w14:paraId="5BB98B5D" w14:textId="77777777" w:rsidR="007E0EFB" w:rsidRDefault="007E0EFB" w:rsidP="007E0EFB"/>
    <w:p w14:paraId="7E6CD60A" w14:textId="77777777" w:rsidR="00AD4FD9" w:rsidRDefault="00AD4FD9" w:rsidP="007E0EFB"/>
    <w:p w14:paraId="5B55E82A" w14:textId="77777777" w:rsidR="00AD4FD9" w:rsidRDefault="00AD4FD9" w:rsidP="007E0EFB"/>
    <w:p w14:paraId="0426FF48" w14:textId="77777777" w:rsidR="00AD4FD9" w:rsidRDefault="00AD4FD9" w:rsidP="007E0EFB"/>
    <w:sectPr w:rsidR="00AD4FD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6863AA"/>
    <w:multiLevelType w:val="hybridMultilevel"/>
    <w:tmpl w:val="6018130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616C304E"/>
    <w:multiLevelType w:val="hybridMultilevel"/>
    <w:tmpl w:val="C95ECA4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7EE73A7D"/>
    <w:multiLevelType w:val="hybridMultilevel"/>
    <w:tmpl w:val="0A42C26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1168980781">
    <w:abstractNumId w:val="2"/>
  </w:num>
  <w:num w:numId="2" w16cid:durableId="1229146445">
    <w:abstractNumId w:val="1"/>
  </w:num>
  <w:num w:numId="3" w16cid:durableId="1277180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AF8"/>
    <w:rsid w:val="000945EB"/>
    <w:rsid w:val="000A1833"/>
    <w:rsid w:val="00102C23"/>
    <w:rsid w:val="00116B7F"/>
    <w:rsid w:val="001B5A77"/>
    <w:rsid w:val="001C43D4"/>
    <w:rsid w:val="00251186"/>
    <w:rsid w:val="00291C5F"/>
    <w:rsid w:val="005E37E0"/>
    <w:rsid w:val="00742C33"/>
    <w:rsid w:val="00791A2E"/>
    <w:rsid w:val="00791E2D"/>
    <w:rsid w:val="007D115B"/>
    <w:rsid w:val="007E0EFB"/>
    <w:rsid w:val="00810511"/>
    <w:rsid w:val="00967F2E"/>
    <w:rsid w:val="00970BB0"/>
    <w:rsid w:val="00AB6C4D"/>
    <w:rsid w:val="00AD4FD9"/>
    <w:rsid w:val="00AE12E4"/>
    <w:rsid w:val="00B77AF8"/>
    <w:rsid w:val="00BA34A3"/>
    <w:rsid w:val="00CA1C85"/>
    <w:rsid w:val="00DD28DA"/>
    <w:rsid w:val="00E7352E"/>
    <w:rsid w:val="00FB7AD3"/>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C6251"/>
  <w15:chartTrackingRefBased/>
  <w15:docId w15:val="{FAFCC98B-0520-4E8B-837E-57037A86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A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7A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7A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7A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7A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7A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7A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7A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7A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A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7A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7A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7A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7A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7A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7A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7A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7AF8"/>
    <w:rPr>
      <w:rFonts w:eastAsiaTheme="majorEastAsia" w:cstheme="majorBidi"/>
      <w:color w:val="272727" w:themeColor="text1" w:themeTint="D8"/>
    </w:rPr>
  </w:style>
  <w:style w:type="paragraph" w:styleId="Title">
    <w:name w:val="Title"/>
    <w:basedOn w:val="Normal"/>
    <w:next w:val="Normal"/>
    <w:link w:val="TitleChar"/>
    <w:uiPriority w:val="10"/>
    <w:qFormat/>
    <w:rsid w:val="00B77A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A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7A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7A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7AF8"/>
    <w:pPr>
      <w:spacing w:before="160"/>
      <w:jc w:val="center"/>
    </w:pPr>
    <w:rPr>
      <w:i/>
      <w:iCs/>
      <w:color w:val="404040" w:themeColor="text1" w:themeTint="BF"/>
    </w:rPr>
  </w:style>
  <w:style w:type="character" w:customStyle="1" w:styleId="QuoteChar">
    <w:name w:val="Quote Char"/>
    <w:basedOn w:val="DefaultParagraphFont"/>
    <w:link w:val="Quote"/>
    <w:uiPriority w:val="29"/>
    <w:rsid w:val="00B77AF8"/>
    <w:rPr>
      <w:i/>
      <w:iCs/>
      <w:color w:val="404040" w:themeColor="text1" w:themeTint="BF"/>
    </w:rPr>
  </w:style>
  <w:style w:type="paragraph" w:styleId="ListParagraph">
    <w:name w:val="List Paragraph"/>
    <w:basedOn w:val="Normal"/>
    <w:uiPriority w:val="34"/>
    <w:qFormat/>
    <w:rsid w:val="00B77AF8"/>
    <w:pPr>
      <w:ind w:left="720"/>
      <w:contextualSpacing/>
    </w:pPr>
  </w:style>
  <w:style w:type="character" w:styleId="IntenseEmphasis">
    <w:name w:val="Intense Emphasis"/>
    <w:basedOn w:val="DefaultParagraphFont"/>
    <w:uiPriority w:val="21"/>
    <w:qFormat/>
    <w:rsid w:val="00B77AF8"/>
    <w:rPr>
      <w:i/>
      <w:iCs/>
      <w:color w:val="0F4761" w:themeColor="accent1" w:themeShade="BF"/>
    </w:rPr>
  </w:style>
  <w:style w:type="paragraph" w:styleId="IntenseQuote">
    <w:name w:val="Intense Quote"/>
    <w:basedOn w:val="Normal"/>
    <w:next w:val="Normal"/>
    <w:link w:val="IntenseQuoteChar"/>
    <w:uiPriority w:val="30"/>
    <w:qFormat/>
    <w:rsid w:val="00B77A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7AF8"/>
    <w:rPr>
      <w:i/>
      <w:iCs/>
      <w:color w:val="0F4761" w:themeColor="accent1" w:themeShade="BF"/>
    </w:rPr>
  </w:style>
  <w:style w:type="character" w:styleId="IntenseReference">
    <w:name w:val="Intense Reference"/>
    <w:basedOn w:val="DefaultParagraphFont"/>
    <w:uiPriority w:val="32"/>
    <w:qFormat/>
    <w:rsid w:val="00B77A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14257">
      <w:bodyDiv w:val="1"/>
      <w:marLeft w:val="0"/>
      <w:marRight w:val="0"/>
      <w:marTop w:val="0"/>
      <w:marBottom w:val="0"/>
      <w:divBdr>
        <w:top w:val="none" w:sz="0" w:space="0" w:color="auto"/>
        <w:left w:val="none" w:sz="0" w:space="0" w:color="auto"/>
        <w:bottom w:val="none" w:sz="0" w:space="0" w:color="auto"/>
        <w:right w:val="none" w:sz="0" w:space="0" w:color="auto"/>
      </w:divBdr>
    </w:div>
    <w:div w:id="65693856">
      <w:bodyDiv w:val="1"/>
      <w:marLeft w:val="0"/>
      <w:marRight w:val="0"/>
      <w:marTop w:val="0"/>
      <w:marBottom w:val="0"/>
      <w:divBdr>
        <w:top w:val="none" w:sz="0" w:space="0" w:color="auto"/>
        <w:left w:val="none" w:sz="0" w:space="0" w:color="auto"/>
        <w:bottom w:val="none" w:sz="0" w:space="0" w:color="auto"/>
        <w:right w:val="none" w:sz="0" w:space="0" w:color="auto"/>
      </w:divBdr>
    </w:div>
    <w:div w:id="210073718">
      <w:bodyDiv w:val="1"/>
      <w:marLeft w:val="0"/>
      <w:marRight w:val="0"/>
      <w:marTop w:val="0"/>
      <w:marBottom w:val="0"/>
      <w:divBdr>
        <w:top w:val="none" w:sz="0" w:space="0" w:color="auto"/>
        <w:left w:val="none" w:sz="0" w:space="0" w:color="auto"/>
        <w:bottom w:val="none" w:sz="0" w:space="0" w:color="auto"/>
        <w:right w:val="none" w:sz="0" w:space="0" w:color="auto"/>
      </w:divBdr>
    </w:div>
    <w:div w:id="1721904631">
      <w:bodyDiv w:val="1"/>
      <w:marLeft w:val="0"/>
      <w:marRight w:val="0"/>
      <w:marTop w:val="0"/>
      <w:marBottom w:val="0"/>
      <w:divBdr>
        <w:top w:val="none" w:sz="0" w:space="0" w:color="auto"/>
        <w:left w:val="none" w:sz="0" w:space="0" w:color="auto"/>
        <w:bottom w:val="none" w:sz="0" w:space="0" w:color="auto"/>
        <w:right w:val="none" w:sz="0" w:space="0" w:color="auto"/>
      </w:divBdr>
    </w:div>
    <w:div w:id="1746949223">
      <w:bodyDiv w:val="1"/>
      <w:marLeft w:val="0"/>
      <w:marRight w:val="0"/>
      <w:marTop w:val="0"/>
      <w:marBottom w:val="0"/>
      <w:divBdr>
        <w:top w:val="none" w:sz="0" w:space="0" w:color="auto"/>
        <w:left w:val="none" w:sz="0" w:space="0" w:color="auto"/>
        <w:bottom w:val="none" w:sz="0" w:space="0" w:color="auto"/>
        <w:right w:val="none" w:sz="0" w:space="0" w:color="auto"/>
      </w:divBdr>
    </w:div>
    <w:div w:id="187337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1454</TotalTime>
  <Pages>4</Pages>
  <Words>812</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Biju Varghese, John</dc:creator>
  <cp:keywords/>
  <dc:description/>
  <cp:lastModifiedBy>Biju Varghese, John</cp:lastModifiedBy>
  <cp:revision>11</cp:revision>
  <dcterms:created xsi:type="dcterms:W3CDTF">2024-04-28T13:59:00Z</dcterms:created>
  <dcterms:modified xsi:type="dcterms:W3CDTF">2024-05-11T20:56:00Z</dcterms:modified>
</cp:coreProperties>
</file>