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A178E" w14:textId="0C2ADAD8" w:rsidR="001027EF" w:rsidRDefault="001027EF" w:rsidP="001027EF">
      <w:r>
        <w:t>Johnny Alexander Davila-Sandoval</w:t>
      </w:r>
    </w:p>
    <w:p w14:paraId="631A5759" w14:textId="3B059F2F" w:rsidR="001027EF" w:rsidRDefault="001027EF" w:rsidP="001027EF">
      <w:r>
        <w:t>2</w:t>
      </w:r>
      <w:r w:rsidRPr="001027EF">
        <w:rPr>
          <w:vertAlign w:val="superscript"/>
        </w:rPr>
        <w:t>nd</w:t>
      </w:r>
      <w:r>
        <w:t xml:space="preserve"> year PhD student</w:t>
      </w:r>
    </w:p>
    <w:p w14:paraId="0B378570" w14:textId="77777777" w:rsidR="001027EF" w:rsidRDefault="001027EF" w:rsidP="001027EF"/>
    <w:p w14:paraId="4BF3E662" w14:textId="67E3859F" w:rsidR="00E208C8" w:rsidRDefault="00332E8B" w:rsidP="00332E8B">
      <w:pPr>
        <w:pStyle w:val="ListParagraph"/>
        <w:numPr>
          <w:ilvl w:val="0"/>
          <w:numId w:val="1"/>
        </w:numPr>
      </w:pPr>
      <w:r>
        <w:t xml:space="preserve">Title: </w:t>
      </w:r>
      <w:r w:rsidR="00BA4197" w:rsidRPr="001027EF">
        <w:rPr>
          <w:b/>
          <w:bCs/>
        </w:rPr>
        <w:t>TCF-b</w:t>
      </w:r>
      <w:r w:rsidRPr="001027EF">
        <w:rPr>
          <w:b/>
          <w:bCs/>
        </w:rPr>
        <w:t>inding sites in coding sequences of annelid genomes</w:t>
      </w:r>
    </w:p>
    <w:p w14:paraId="7E90A2F1" w14:textId="0DC7F968" w:rsidR="00332E8B" w:rsidRDefault="00332E8B"/>
    <w:p w14:paraId="4BB7CCF1" w14:textId="39519F6F" w:rsidR="00332E8B" w:rsidRDefault="00941366" w:rsidP="00332E8B">
      <w:pPr>
        <w:pStyle w:val="ListParagraph"/>
        <w:numPr>
          <w:ilvl w:val="0"/>
          <w:numId w:val="1"/>
        </w:numPr>
      </w:pPr>
      <w:r>
        <w:t xml:space="preserve">Biological problem: Presence and number of </w:t>
      </w:r>
      <w:r w:rsidR="00BA4197">
        <w:t>TCF</w:t>
      </w:r>
      <w:r>
        <w:t xml:space="preserve"> binding sites seem to be associated with activation</w:t>
      </w:r>
      <w:r w:rsidR="00BA4197">
        <w:t xml:space="preserve"> of genes</w:t>
      </w:r>
      <w:r>
        <w:t xml:space="preserve"> by </w:t>
      </w:r>
      <w:r w:rsidR="00BA4197">
        <w:t xml:space="preserve">the canonical </w:t>
      </w:r>
      <w:proofErr w:type="spellStart"/>
      <w:r w:rsidR="00BA4197">
        <w:t>Wnt</w:t>
      </w:r>
      <w:proofErr w:type="spellEnd"/>
      <w:r w:rsidR="00BA4197">
        <w:t xml:space="preserve"> pathway</w:t>
      </w:r>
    </w:p>
    <w:p w14:paraId="4D4D4C53" w14:textId="51866025" w:rsidR="00941366" w:rsidRDefault="00941366" w:rsidP="006B348F">
      <w:pPr>
        <w:ind w:left="360"/>
      </w:pPr>
    </w:p>
    <w:p w14:paraId="2B23553E" w14:textId="4FA4FFF4" w:rsidR="006B348F" w:rsidRDefault="006B348F" w:rsidP="006B348F">
      <w:pPr>
        <w:pStyle w:val="ListParagraph"/>
        <w:numPr>
          <w:ilvl w:val="0"/>
          <w:numId w:val="1"/>
        </w:numPr>
      </w:pPr>
      <w:r>
        <w:t>Biological background:</w:t>
      </w:r>
    </w:p>
    <w:p w14:paraId="07FC0B16" w14:textId="5C879CD5" w:rsidR="006B348F" w:rsidRDefault="006B348F" w:rsidP="006B348F"/>
    <w:p w14:paraId="599876D6" w14:textId="1B562280" w:rsidR="00C04A13" w:rsidRDefault="00085CD0" w:rsidP="006B348F">
      <w:r>
        <w:t xml:space="preserve">Cell-cell communication is pivotal for cell-fate patterning and morphogenesis in the embryo </w:t>
      </w:r>
      <w:r>
        <w:fldChar w:fldCharType="begin" w:fldLock="1"/>
      </w:r>
      <w:r w:rsidR="008B2086">
        <w:instrText>ADDIN CSL_CITATION {"citationItems":[{"id":"ITEM-1","itemData":{"author":[{"dropping-particle":"","family":"Gilbert","given":"Scott F.","non-dropping-particle":"","parse-names":false,"suffix":""},{"dropping-particle":"","family":"Barresi","given":"Michael J. F.","non-dropping-particle":"","parse-names":false,"suffix":""}],"edition":"11th editi","id":"ITEM-1","issued":{"date-parts":[["2018"]]},"number-of-pages":"1-810","publisher":"Sinauer Associates, Inc.","publisher-place":"Sunderland, USA","title":"Developmental biology","type":"book"},"uris":["http://www.mendeley.com/documents/?uuid=93c673bf-46ee-4f0d-83b9-e3e822c29ad7"]}],"mendeley":{"formattedCitation":"(Gilbert &amp; Barresi, 2018)","plainTextFormattedCitation":"(Gilbert &amp; Barresi, 2018)","previouslyFormattedCitation":"(Gilbert &amp; Barresi, 2018)"},"properties":{"noteIndex":0},"schema":"https://github.com/citation-style-language/schema/raw/master/csl-citation.json"}</w:instrText>
      </w:r>
      <w:r>
        <w:fldChar w:fldCharType="separate"/>
      </w:r>
      <w:r w:rsidRPr="00085CD0">
        <w:rPr>
          <w:noProof/>
        </w:rPr>
        <w:t>(Gilbert &amp; Barresi, 2018)</w:t>
      </w:r>
      <w:r>
        <w:fldChar w:fldCharType="end"/>
      </w:r>
      <w:r w:rsidR="00C04A13">
        <w:t xml:space="preserve">. In spite of an existing vast diversity of animals, a handful of pathways have been conserved across the kingdom, redeployed during different stages of animal development. Among them, the </w:t>
      </w:r>
      <w:proofErr w:type="spellStart"/>
      <w:r w:rsidR="00C04A13">
        <w:t>Wnt</w:t>
      </w:r>
      <w:proofErr w:type="spellEnd"/>
      <w:r w:rsidR="00C04A13">
        <w:t xml:space="preserve"> signaling pathway is one of the most well-studied </w:t>
      </w:r>
      <w:r>
        <w:t xml:space="preserve">due to its role in disease, patterning, cell fate determination, etc. </w:t>
      </w:r>
      <w:proofErr w:type="spellStart"/>
      <w:r>
        <w:t>Wnts</w:t>
      </w:r>
      <w:proofErr w:type="spellEnd"/>
      <w:r>
        <w:t xml:space="preserve"> are secreted signaling proteins that act as mor</w:t>
      </w:r>
      <w:r w:rsidR="008B2086">
        <w:t xml:space="preserve">phogens, inducing changes in gene expression depending on their concentration </w:t>
      </w:r>
      <w:r w:rsidR="008B2086">
        <w:fldChar w:fldCharType="begin" w:fldLock="1"/>
      </w:r>
      <w:r w:rsidR="001027EF">
        <w:instrText>ADDIN CSL_CITATION {"citationItems":[{"id":"ITEM-1","itemData":{"author":[{"dropping-particle":"","family":"Gilbert","given":"Scott F.","non-dropping-particle":"","parse-names":false,"suffix":""},{"dropping-particle":"","family":"Barresi","given":"Michael J. F.","non-dropping-particle":"","parse-names":false,"suffix":""}],"edition":"11th editi","id":"ITEM-1","issued":{"date-parts":[["2018"]]},"number-of-pages":"1-810","publisher":"Sinauer Associates, Inc.","publisher-place":"Sunderland, USA","title":"Developmental biology","type":"book"},"uris":["http://www.mendeley.com/documents/?uuid=93c673bf-46ee-4f0d-83b9-e3e822c29ad7"]}],"mendeley":{"formattedCitation":"(Gilbert &amp; Barresi, 2018)","plainTextFormattedCitation":"(Gilbert &amp; Barresi, 2018)","previouslyFormattedCitation":"(Gilbert &amp; Barresi, 2018)"},"properties":{"noteIndex":0},"schema":"https://github.com/citation-style-language/schema/raw/master/csl-citation.json"}</w:instrText>
      </w:r>
      <w:r w:rsidR="008B2086">
        <w:fldChar w:fldCharType="separate"/>
      </w:r>
      <w:r w:rsidR="008B2086" w:rsidRPr="008B2086">
        <w:rPr>
          <w:noProof/>
        </w:rPr>
        <w:t>(Gilbert &amp; Barresi, 2018)</w:t>
      </w:r>
      <w:r w:rsidR="008B2086">
        <w:fldChar w:fldCharType="end"/>
      </w:r>
      <w:r w:rsidR="008B2086">
        <w:t>.</w:t>
      </w:r>
    </w:p>
    <w:p w14:paraId="26350EDB" w14:textId="77777777" w:rsidR="00C04A13" w:rsidRDefault="00C04A13" w:rsidP="006B348F"/>
    <w:p w14:paraId="11DA9155" w14:textId="612D33D5" w:rsidR="00D624EF" w:rsidRDefault="00D233AA" w:rsidP="006B348F">
      <w:r>
        <w:t xml:space="preserve">One of the best characterized </w:t>
      </w:r>
      <w:proofErr w:type="spellStart"/>
      <w:r>
        <w:t>Wnt</w:t>
      </w:r>
      <w:proofErr w:type="spellEnd"/>
      <w:r>
        <w:t xml:space="preserve">-based signaling pathways is </w:t>
      </w:r>
      <w:proofErr w:type="spellStart"/>
      <w:r>
        <w:t>Wnt</w:t>
      </w:r>
      <w:proofErr w:type="spellEnd"/>
      <w:r>
        <w:t>-</w:t>
      </w:r>
      <w:r>
        <w:sym w:font="Symbol" w:char="F062"/>
      </w:r>
      <w:r>
        <w:t>-catenin</w:t>
      </w:r>
      <w:r w:rsidR="00ED49B9">
        <w:t xml:space="preserve"> (‘canonical’)</w:t>
      </w:r>
      <w:r>
        <w:t xml:space="preserve">. The </w:t>
      </w:r>
      <w:proofErr w:type="spellStart"/>
      <w:r>
        <w:t>Wnt</w:t>
      </w:r>
      <w:proofErr w:type="spellEnd"/>
      <w:r>
        <w:t xml:space="preserve"> signal is transduced via binding of </w:t>
      </w:r>
      <w:proofErr w:type="spellStart"/>
      <w:r>
        <w:t>Wnt</w:t>
      </w:r>
      <w:proofErr w:type="spellEnd"/>
      <w:r>
        <w:t xml:space="preserve"> to a heterodimer of a Frizzled and </w:t>
      </w:r>
      <w:proofErr w:type="spellStart"/>
      <w:r>
        <w:t>Wnt</w:t>
      </w:r>
      <w:proofErr w:type="spellEnd"/>
      <w:r>
        <w:t xml:space="preserve"> co-receptor</w:t>
      </w:r>
      <w:r w:rsidR="00E35181">
        <w:t xml:space="preserve"> (LRP5/6)</w:t>
      </w:r>
      <w:r w:rsidR="00ED49B9">
        <w:t xml:space="preserve"> </w:t>
      </w:r>
      <w:r w:rsidR="00ED49B9">
        <w:fldChar w:fldCharType="begin" w:fldLock="1"/>
      </w:r>
      <w:r w:rsidR="00ED49B9">
        <w:instrText>ADDIN CSL_CITATION {"citationItems":[{"id":"ITEM-1","itemData":{"ISSN":"14779129","abstract":"The Wnt-β-catenin signaling pathway is an evolutionarily conserved cell-cell communication system that is important for stem cell renewal, cell proliferation and cell differentiation both during embryogenesis and during adult tissue homeostasis. Genetic or epigenetic events leading to hypo- or hyper-activation of the Wnt-β-catenin signaling cascade have also been associated with human diseases such as cancer. Understanding how this pathway functions is thus integral for developing therapies to treat diseases or for regenerative medicine approaches. Here, and in the accompanying poster, we provide an overview of Wnt-β-catenin signaling and briefly highlight its key functions during development and adult tissue homeostasis.","author":[{"dropping-particle":"","family":"Steinhart","given":"Zachary","non-dropping-particle":"","parse-names":false,"suffix":""},{"dropping-particle":"","family":"Angers","given":"Stephane","non-dropping-particle":"","parse-names":false,"suffix":""}],"container-title":"Development","id":"ITEM-1","issue":"11","issued":{"date-parts":[["2018"]]},"page":"1-8","title":"Wnt signaling in development and tissue homeostasis","type":"article-journal","volume":"145"},"uris":["http://www.mendeley.com/documents/?uuid=88ef6382-bbe4-4550-836b-b64e5f5a4c88"]}],"mendeley":{"formattedCitation":"(Steinhart &amp; Angers, 2018)","plainTextFormattedCitation":"(Steinhart &amp; Angers, 2018)","previouslyFormattedCitation":"(Steinhart &amp; Angers, 2018)"},"properties":{"noteIndex":0},"schema":"https://github.com/citation-style-language/schema/raw/master/csl-citation.json"}</w:instrText>
      </w:r>
      <w:r w:rsidR="00ED49B9">
        <w:fldChar w:fldCharType="separate"/>
      </w:r>
      <w:r w:rsidR="00ED49B9" w:rsidRPr="00ED49B9">
        <w:rPr>
          <w:noProof/>
        </w:rPr>
        <w:t>(Steinhart &amp; Angers, 2018)</w:t>
      </w:r>
      <w:r w:rsidR="00ED49B9">
        <w:fldChar w:fldCharType="end"/>
      </w:r>
      <w:r>
        <w:t xml:space="preserve">. This results in the recruitment of the cytoplasmic protein </w:t>
      </w:r>
      <w:proofErr w:type="spellStart"/>
      <w:r>
        <w:t>Dishevelled</w:t>
      </w:r>
      <w:proofErr w:type="spellEnd"/>
      <w:r w:rsidR="00E35181">
        <w:t xml:space="preserve"> and Axin-GSK3 via interaction with </w:t>
      </w:r>
      <w:proofErr w:type="spellStart"/>
      <w:r w:rsidR="00E35181">
        <w:t>Dishevelled</w:t>
      </w:r>
      <w:proofErr w:type="spellEnd"/>
      <w:r w:rsidR="00E35181">
        <w:t>.</w:t>
      </w:r>
      <w:r>
        <w:t xml:space="preserve"> </w:t>
      </w:r>
      <w:r w:rsidR="00E35181">
        <w:t xml:space="preserve">GSK3 then phosphorylates LRP5/6, which becomes more </w:t>
      </w:r>
      <w:proofErr w:type="spellStart"/>
      <w:r w:rsidR="00E35181">
        <w:t>affin</w:t>
      </w:r>
      <w:proofErr w:type="spellEnd"/>
      <w:r w:rsidR="00E35181">
        <w:t xml:space="preserve"> with </w:t>
      </w:r>
      <w:proofErr w:type="spellStart"/>
      <w:r w:rsidR="00E35181">
        <w:t>Axin</w:t>
      </w:r>
      <w:proofErr w:type="spellEnd"/>
      <w:r w:rsidR="00E35181">
        <w:t xml:space="preserve"> and in turn, titrates active destruction complex molecules. This causes the accumulation of </w:t>
      </w:r>
      <w:r w:rsidR="00E35181">
        <w:sym w:font="Symbol" w:char="F062"/>
      </w:r>
      <w:r w:rsidR="00E35181">
        <w:t>-catenin and its subsequent translocation into the nucleus.</w:t>
      </w:r>
      <w:r w:rsidR="00ED49B9">
        <w:t xml:space="preserve"> </w:t>
      </w:r>
      <w:proofErr w:type="gramStart"/>
      <w:r w:rsidR="00E35181">
        <w:t>There</w:t>
      </w:r>
      <w:proofErr w:type="gramEnd"/>
      <w:r w:rsidR="00E35181">
        <w:t>, it acts as a transcriptional co-activator by binding TCF/LEF proteins.</w:t>
      </w:r>
    </w:p>
    <w:p w14:paraId="249E0895" w14:textId="6F4BBF8E" w:rsidR="00D624EF" w:rsidRDefault="00D624EF" w:rsidP="006B348F"/>
    <w:p w14:paraId="48009E20" w14:textId="192629AD" w:rsidR="00E35181" w:rsidRDefault="00742FF9" w:rsidP="006B348F">
      <w:r>
        <w:t>Most invertebrates carry a single ortholog of TCF(T-cell factor)/LEF(Lymphoid enhancer factor)</w:t>
      </w:r>
      <w:r w:rsidR="00ED49B9">
        <w:t xml:space="preserve"> </w:t>
      </w:r>
      <w:r w:rsidR="00ED49B9">
        <w:fldChar w:fldCharType="begin" w:fldLock="1"/>
      </w:r>
      <w:r w:rsidR="00085CD0">
        <w:instrText>ADDIN CSL_CITATION {"citationItems":[{"id":"ITEM-1","itemData":{"ISSN":"17481708","abstract":"Wnt/β-catenin signalling is known to play many roles in metazoan development and tissue homeostasis. Misregulation of the pathway has also been linked to many human diseases. In this review, specific aspects of the pathway's involvement in these processes are discussed, with an emphasis on how Wnt/β-catenin signalling regulates gene expression in a cell and temporally specific manner. The T-cell factor (TCF) family of transcription factors, which mediate a large portion of Wnt/β-catenin signalling, will be discussed in detail. Invertebrates contain a single TCF gene that contains two DNA-binding domains, the high mobility group (HMG) domain and the C-clamp, which increases the specificity of DNA binding. In vertebrates, the situation is more complex, with four TCF genes producing many isoforms that contain the HMG domain, but only some of which possess a C-clamp. Vertebrate TCFs have been reported to act in concert with many other transcription factors, which may explain how they obtain sufficient specificity for specific DNA sequences, as well as how they achieve a wide diversity of transcriptional outputs in different cells. © 2011 The Authors. Acta Physiologica © 2011 Scandinavian Physiological Society.","author":[{"dropping-particle":"","family":"Archbold","given":"H. C.","non-dropping-particle":"","parse-names":false,"suffix":""},{"dropping-particle":"","family":"Yang","given":"Y. X.","non-dropping-particle":"","parse-names":false,"suffix":""},{"dropping-particle":"","family":"Chen","given":"L.","non-dropping-particle":"","parse-names":false,"suffix":""},{"dropping-particle":"","family":"Cadigan","given":"K. M.","non-dropping-particle":"","parse-names":false,"suffix":""}],"container-title":"Acta Physiologica","id":"ITEM-1","issue":"1","issued":{"date-parts":[["2012"]]},"page":"74-109","title":"How do they do Wnt they do?: Regulation of transcription by the Wnt/β-catenin pathway","type":"article-journal","volume":"204"},"uris":["http://www.mendeley.com/documents/?uuid=32f645e9-5dee-4cd6-b2df-d5654e6656ad"]}],"mendeley":{"formattedCitation":"(Archbold et al., 2012)","plainTextFormattedCitation":"(Archbold et al., 2012)","previouslyFormattedCitation":"(Archbold et al., 2012)"},"properties":{"noteIndex":0},"schema":"https://github.com/citation-style-language/schema/raw/master/csl-citation.json"}</w:instrText>
      </w:r>
      <w:r w:rsidR="00ED49B9">
        <w:fldChar w:fldCharType="separate"/>
      </w:r>
      <w:r w:rsidR="00ED49B9" w:rsidRPr="00ED49B9">
        <w:rPr>
          <w:noProof/>
        </w:rPr>
        <w:t>(Archbold et al., 2012)</w:t>
      </w:r>
      <w:r w:rsidR="00ED49B9">
        <w:fldChar w:fldCharType="end"/>
      </w:r>
      <w:r>
        <w:t xml:space="preserve">. All TCF/LEF proteins contain a highly conserved HMG (high-mobility group) box and a small </w:t>
      </w:r>
      <w:proofErr w:type="spellStart"/>
      <w:r>
        <w:t>peptid</w:t>
      </w:r>
      <w:proofErr w:type="spellEnd"/>
      <w:r>
        <w:t xml:space="preserve"> motif of basic residues (basic tail)</w:t>
      </w:r>
      <w:r w:rsidR="00ED49B9">
        <w:t xml:space="preserve"> </w:t>
      </w:r>
      <w:r w:rsidR="00ED49B9">
        <w:fldChar w:fldCharType="begin" w:fldLock="1"/>
      </w:r>
      <w:r w:rsidR="00ED49B9">
        <w:instrText>ADDIN CSL_CITATION {"citationItems":[{"id":"ITEM-1","itemData":{"author":[{"dropping-particle":"","family":"Cadigan","given":"Ken M.","non-dropping-particle":"","parse-names":false,"suffix":""},{"dropping-particle":"","family":"Waterman","given":"Marian L.","non-dropping-particle":"","parse-names":false,"suffix":""}],"container-title":"Cold Spring Harbor Perspectives in Biology","id":"ITEM-1","issue":"11","issued":{"date-parts":[["2012"]]},"page":"1-22","title":"TCF/LEFs and Wnt signaling in the nucleus","type":"article-journal","volume":"4"},"uris":["http://www.mendeley.com/documents/?uuid=7f2b0c85-41c8-4eb7-bbff-745391509dbe"]}],"mendeley":{"formattedCitation":"(Cadigan &amp; Waterman, 2012)","plainTextFormattedCitation":"(Cadigan &amp; Waterman, 2012)","previouslyFormattedCitation":"(Cadigan &amp; Waterman, 2012)"},"properties":{"noteIndex":0},"schema":"https://github.com/citation-style-language/schema/raw/master/csl-citation.json"}</w:instrText>
      </w:r>
      <w:r w:rsidR="00ED49B9">
        <w:fldChar w:fldCharType="separate"/>
      </w:r>
      <w:r w:rsidR="00ED49B9" w:rsidRPr="00ED49B9">
        <w:rPr>
          <w:noProof/>
        </w:rPr>
        <w:t>(Cadigan &amp; Waterman, 2012)</w:t>
      </w:r>
      <w:r w:rsidR="00ED49B9">
        <w:fldChar w:fldCharType="end"/>
      </w:r>
      <w:r>
        <w:t xml:space="preserve">. </w:t>
      </w:r>
      <w:r w:rsidR="00ED49B9">
        <w:t xml:space="preserve">The </w:t>
      </w:r>
      <w:r>
        <w:t xml:space="preserve">consensus sequence that binds to the HMG box is 5’-YCTTTGATS-3’ </w:t>
      </w:r>
      <w:r w:rsidR="00ED49B9">
        <w:fldChar w:fldCharType="begin" w:fldLock="1"/>
      </w:r>
      <w:r w:rsidR="00ED49B9">
        <w:instrText>ADDIN CSL_CITATION {"citationItems":[{"id":"ITEM-1","itemData":{"abstract":"Wnt regulation of gene expression requires binding of LEF/T-cell factor (LEF/TCF) transcription factors to Wnt response elements (WREs) and recruitment of the activator β-catenin. There are significant differences in the abilities of LEF/TCF family members to regulate Wnt target genes. For example, alternatively spliced isoforms of TCF-1 and TCF-4 with a C-terminal “E” tail are uniquely potent in their activation of LEF1 and CDX1 . Here we report that the mechanism responsible for this unique activity is an auxiliary 30-amino-acid DNA interaction motif referred to here as the “cysteine clamp” (or C-clamp). The C-clamp contains invariant cysteine, aromatic, and basic residues, and surface plasmon resonance (SPR) studies with recombinant C-clamp protein showed that it binds double-stranded DNA but not single-stranded DNA or RNA (equilibrium dissociation constant = 16 nM). CASTing (Cyclic Amplification and Selection of Targets) experiments were used to test whether this motif influences WRE recognition. Full-length LEF-1, TCF-1E, and TCF-1E with a mutated C-clamp all bind nearly identical WREs (TYYCTTTGATSTT), showing that the C-clamp does not alter WRE specificity. However, a GC element downstream of the WRE (RCCG) is enriched in wild-type TCF-1E binding sites but not in mutant TCF-1E binding sites. We conclude that the C-clamp is a sequence-specific DNA binding motif. C-clamp mutations destroy the ability of β-catenin to regulate the LEF1 promoter, and they severely impair the ability of TCF-1 to regulate growth in colon cancer cells. Thus, E-tail isoforms of TCFs utilize two DNA binding activities to access a subset of Wnt targets important for cell growth.","author":[{"dropping-particle":"","family":"Atcha","given":"Fawzia A.","non-dropping-particle":"","parse-names":false,"suffix":""},{"dropping-particle":"","family":"Syed","given":"Adeela","non-dropping-particle":"","parse-names":false,"suffix":""},{"dropping-particle":"","family":"Wu","given":"Beibei","non-dropping-particle":"","parse-names":false,"suffix":""},{"dropping-particle":"","family":"Hoverter","given":"Nate P.","non-dropping-particle":"","parse-names":false,"suffix":""},{"dropping-particle":"","family":"Yokoyama","given":"Noriko N.","non-dropping-particle":"","parse-names":false,"suffix":""},{"dropping-particle":"","family":"Ting","given":"Ju-Hui T.","non-dropping-particle":"","parse-names":false,"suffix":""},{"dropping-particle":"","family":"Munguia","given":"Jesus E.","non-dropping-particle":"","parse-names":false,"suffix":""},{"dropping-particle":"","family":"Mangalam","given":"Harry J.","non-dropping-particle":"","parse-names":false,"suffix":""},{"dropping-particle":"","family":"Marsh","given":"J. Lawrence","non-dropping-particle":"","parse-names":false,"suffix":""},{"dropping-particle":"","family":"Waterman","given":"Marian L.","non-dropping-particle":"","parse-names":false,"suffix":""}],"container-title":"Molecular and Cellular Biology","id":"ITEM-1","issue":"23","issued":{"date-parts":[["2007"]]},"page":"8352-8363","title":"A unique DNA binding domain converts T-cell factors into strong Wnt effectors","type":"article-journal","volume":"27"},"uris":["http://www.mendeley.com/documents/?uuid=f05e6a19-369a-4952-9b8c-0f1d36559049"]}],"mendeley":{"formattedCitation":"(Atcha et al., 2007)","plainTextFormattedCitation":"(Atcha et al., 2007)","previouslyFormattedCitation":"(Atcha et al., 2007)"},"properties":{"noteIndex":0},"schema":"https://github.com/citation-style-language/schema/raw/master/csl-citation.json"}</w:instrText>
      </w:r>
      <w:r w:rsidR="00ED49B9">
        <w:fldChar w:fldCharType="separate"/>
      </w:r>
      <w:r w:rsidR="00ED49B9" w:rsidRPr="00ED49B9">
        <w:rPr>
          <w:noProof/>
        </w:rPr>
        <w:t>(Atcha et al., 2007)</w:t>
      </w:r>
      <w:r w:rsidR="00ED49B9">
        <w:fldChar w:fldCharType="end"/>
      </w:r>
      <w:r w:rsidR="00ED49B9">
        <w:t xml:space="preserve">. </w:t>
      </w:r>
    </w:p>
    <w:p w14:paraId="6EB19FB1" w14:textId="77777777" w:rsidR="00E35181" w:rsidRDefault="00E35181" w:rsidP="006B348F"/>
    <w:p w14:paraId="3ED5DD7E" w14:textId="3E2F561B" w:rsidR="006B348F" w:rsidRDefault="006B348F" w:rsidP="006B348F">
      <w:pPr>
        <w:pStyle w:val="ListParagraph"/>
        <w:numPr>
          <w:ilvl w:val="0"/>
          <w:numId w:val="1"/>
        </w:numPr>
      </w:pPr>
      <w:r>
        <w:t>Data required to test the hypothesis:</w:t>
      </w:r>
    </w:p>
    <w:p w14:paraId="61DE29C0" w14:textId="2746419F" w:rsidR="006B348F" w:rsidRDefault="006B348F" w:rsidP="006B348F">
      <w:pPr>
        <w:pStyle w:val="ListParagraph"/>
      </w:pPr>
    </w:p>
    <w:p w14:paraId="4D5039AB" w14:textId="7B171005" w:rsidR="006B348F" w:rsidRDefault="006B348F" w:rsidP="006B348F">
      <w:pPr>
        <w:pStyle w:val="ListParagraph"/>
      </w:pPr>
      <w:r>
        <w:t>-</w:t>
      </w:r>
      <w:proofErr w:type="spellStart"/>
      <w:r>
        <w:t>Multifasta</w:t>
      </w:r>
      <w:proofErr w:type="spellEnd"/>
      <w:r>
        <w:t xml:space="preserve"> file containing coding sequences</w:t>
      </w:r>
      <w:r w:rsidR="001814E6">
        <w:t xml:space="preserve"> (</w:t>
      </w:r>
      <w:proofErr w:type="spellStart"/>
      <w:r>
        <w:t>btained</w:t>
      </w:r>
      <w:proofErr w:type="spellEnd"/>
      <w:r>
        <w:t xml:space="preserve"> from NCBI</w:t>
      </w:r>
      <w:r w:rsidR="001814E6">
        <w:t>)</w:t>
      </w:r>
    </w:p>
    <w:p w14:paraId="3ECE8B86" w14:textId="61256272" w:rsidR="001814E6" w:rsidRDefault="001814E6" w:rsidP="001814E6"/>
    <w:p w14:paraId="723EA187" w14:textId="1EA66032" w:rsidR="001814E6" w:rsidRDefault="001814E6" w:rsidP="001814E6">
      <w:pPr>
        <w:pStyle w:val="ListParagraph"/>
        <w:numPr>
          <w:ilvl w:val="0"/>
          <w:numId w:val="1"/>
        </w:numPr>
      </w:pPr>
      <w:r>
        <w:t>Tools required:</w:t>
      </w:r>
    </w:p>
    <w:p w14:paraId="4C06097A" w14:textId="77777777" w:rsidR="001814E6" w:rsidRDefault="001814E6" w:rsidP="001814E6"/>
    <w:p w14:paraId="58E4CFFA" w14:textId="0B8907A5" w:rsidR="001814E6" w:rsidRDefault="001814E6" w:rsidP="006B348F">
      <w:pPr>
        <w:pStyle w:val="ListParagraph"/>
      </w:pPr>
      <w:r>
        <w:t>-</w:t>
      </w:r>
      <w:proofErr w:type="spellStart"/>
      <w:r>
        <w:t>Biopython</w:t>
      </w:r>
      <w:proofErr w:type="spellEnd"/>
      <w:r>
        <w:t>, Matplotlib, Pandas (Python)</w:t>
      </w:r>
    </w:p>
    <w:p w14:paraId="22F7078E" w14:textId="5353C2B3" w:rsidR="001814E6" w:rsidRDefault="001814E6" w:rsidP="006B348F">
      <w:pPr>
        <w:pStyle w:val="ListParagraph"/>
      </w:pPr>
      <w:r>
        <w:t>-</w:t>
      </w:r>
      <w:proofErr w:type="spellStart"/>
      <w:r>
        <w:t>Geany</w:t>
      </w:r>
      <w:proofErr w:type="spellEnd"/>
      <w:r>
        <w:t xml:space="preserve"> or any other text editor</w:t>
      </w:r>
    </w:p>
    <w:p w14:paraId="3E24DD30" w14:textId="77777777" w:rsidR="006B348F" w:rsidRDefault="006B348F" w:rsidP="006B348F">
      <w:pPr>
        <w:pStyle w:val="ListParagraph"/>
      </w:pPr>
    </w:p>
    <w:p w14:paraId="39072333" w14:textId="3631C7E4" w:rsidR="006B348F" w:rsidRDefault="00D624EF" w:rsidP="006B348F">
      <w:pPr>
        <w:pStyle w:val="ListParagraph"/>
        <w:numPr>
          <w:ilvl w:val="0"/>
          <w:numId w:val="1"/>
        </w:numPr>
      </w:pPr>
      <w:r>
        <w:t>Approach</w:t>
      </w:r>
      <w:r w:rsidR="00BA4197">
        <w:t>:</w:t>
      </w:r>
    </w:p>
    <w:p w14:paraId="2ECE56A3" w14:textId="3D148E4F" w:rsidR="00BA4197" w:rsidRDefault="00BA4197" w:rsidP="00BA4197"/>
    <w:p w14:paraId="58A44D48" w14:textId="4C056CE7" w:rsidR="00BA4197" w:rsidRDefault="00BA4197" w:rsidP="00BA4197">
      <w:pPr>
        <w:pStyle w:val="ListParagraph"/>
        <w:numPr>
          <w:ilvl w:val="0"/>
          <w:numId w:val="2"/>
        </w:numPr>
      </w:pPr>
      <w:r>
        <w:t>Use of a platform that allows for the management of big data (thousands of sequences).</w:t>
      </w:r>
    </w:p>
    <w:p w14:paraId="072FB8C8" w14:textId="4CD0827C" w:rsidR="00BA4197" w:rsidRDefault="00BA4197" w:rsidP="00BA4197">
      <w:pPr>
        <w:pStyle w:val="ListParagraph"/>
      </w:pPr>
    </w:p>
    <w:p w14:paraId="762AA0DE" w14:textId="74873181" w:rsidR="00BA4197" w:rsidRDefault="00BA4197" w:rsidP="00BA4197">
      <w:pPr>
        <w:pStyle w:val="ListParagraph"/>
      </w:pPr>
      <w:r>
        <w:lastRenderedPageBreak/>
        <w:t xml:space="preserve">Genomic information contains thousands of sequences that can result in significant memory use. </w:t>
      </w:r>
      <w:proofErr w:type="spellStart"/>
      <w:r>
        <w:t>Biopython</w:t>
      </w:r>
      <w:proofErr w:type="spellEnd"/>
      <w:r>
        <w:t xml:space="preserve"> allows to parse </w:t>
      </w:r>
      <w:proofErr w:type="spellStart"/>
      <w:r>
        <w:t>fasta</w:t>
      </w:r>
      <w:proofErr w:type="spellEnd"/>
      <w:r>
        <w:t xml:space="preserve"> files (</w:t>
      </w:r>
      <w:proofErr w:type="spellStart"/>
      <w:r>
        <w:t>SeqIO</w:t>
      </w:r>
      <w:proofErr w:type="spellEnd"/>
      <w:r>
        <w:t>) that can contain several thousands of sequences and iterate through the sequences.</w:t>
      </w:r>
    </w:p>
    <w:p w14:paraId="74F17BE0" w14:textId="4B7E9CB2" w:rsidR="00BA4197" w:rsidRDefault="00BA4197" w:rsidP="00BA4197">
      <w:pPr>
        <w:pStyle w:val="ListParagraph"/>
      </w:pPr>
    </w:p>
    <w:p w14:paraId="1E812334" w14:textId="01831B7A" w:rsidR="00BA4197" w:rsidRDefault="00BA4197" w:rsidP="00BA4197">
      <w:pPr>
        <w:pStyle w:val="ListParagraph"/>
        <w:numPr>
          <w:ilvl w:val="0"/>
          <w:numId w:val="2"/>
        </w:numPr>
      </w:pPr>
      <w:r>
        <w:t>Code that scans through sequences and look for the TCF-binding site.</w:t>
      </w:r>
    </w:p>
    <w:p w14:paraId="1DC1C34E" w14:textId="53F7050B" w:rsidR="00BA4197" w:rsidRDefault="00BA4197" w:rsidP="00BA4197">
      <w:pPr>
        <w:pStyle w:val="ListParagraph"/>
      </w:pPr>
    </w:p>
    <w:p w14:paraId="7C68117A" w14:textId="10CAF582" w:rsidR="00BA4197" w:rsidRDefault="00BA4197" w:rsidP="00BA4197">
      <w:pPr>
        <w:pStyle w:val="ListParagraph"/>
      </w:pPr>
      <w:r>
        <w:t xml:space="preserve">The use of a ‘for’ loop allows to iterate over single records in a </w:t>
      </w:r>
      <w:proofErr w:type="spellStart"/>
      <w:r>
        <w:t>multifasta</w:t>
      </w:r>
      <w:proofErr w:type="spellEnd"/>
      <w:r>
        <w:t xml:space="preserve"> file. The code should identify and filter those sequences that contain TCF binding </w:t>
      </w:r>
      <w:proofErr w:type="gramStart"/>
      <w:r>
        <w:t>sites, and</w:t>
      </w:r>
      <w:proofErr w:type="gramEnd"/>
      <w:r>
        <w:t xml:space="preserve"> count the number of sites for further analysis.</w:t>
      </w:r>
    </w:p>
    <w:p w14:paraId="4C075099" w14:textId="764DFA6A" w:rsidR="00BA4197" w:rsidRDefault="00BA4197" w:rsidP="00BA4197">
      <w:pPr>
        <w:pStyle w:val="ListParagraph"/>
      </w:pPr>
    </w:p>
    <w:p w14:paraId="321669C1" w14:textId="6C938FEC" w:rsidR="00BA4197" w:rsidRDefault="00BA4197" w:rsidP="00BA4197">
      <w:pPr>
        <w:pStyle w:val="ListParagraph"/>
        <w:numPr>
          <w:ilvl w:val="0"/>
          <w:numId w:val="2"/>
        </w:numPr>
      </w:pPr>
      <w:r>
        <w:t xml:space="preserve">Generation of a scatter plot for every </w:t>
      </w:r>
      <w:proofErr w:type="spellStart"/>
      <w:r>
        <w:t>multifasta</w:t>
      </w:r>
      <w:proofErr w:type="spellEnd"/>
      <w:r>
        <w:t xml:space="preserve"> file used for analysis.</w:t>
      </w:r>
    </w:p>
    <w:p w14:paraId="58AB2FCE" w14:textId="178DA5CD" w:rsidR="00BA4197" w:rsidRDefault="00BA4197" w:rsidP="00BA4197">
      <w:pPr>
        <w:pStyle w:val="ListParagraph"/>
      </w:pPr>
    </w:p>
    <w:p w14:paraId="08931C1A" w14:textId="7FE9EEBB" w:rsidR="00BA4197" w:rsidRDefault="005B5956" w:rsidP="00BA4197">
      <w:pPr>
        <w:pStyle w:val="ListParagraph"/>
      </w:pPr>
      <w:r>
        <w:t>A simple plot that should represent the size of the coding sequences and the frequency of the TCF binding site provides exploratory results.</w:t>
      </w:r>
    </w:p>
    <w:p w14:paraId="45E8CA95" w14:textId="7AE3919E" w:rsidR="006B348F" w:rsidRDefault="006B348F" w:rsidP="006B348F"/>
    <w:p w14:paraId="477E8803" w14:textId="3FE3FBEF" w:rsidR="001814E6" w:rsidRDefault="008E2B41" w:rsidP="008E2B41">
      <w:pPr>
        <w:pStyle w:val="ListParagraph"/>
        <w:numPr>
          <w:ilvl w:val="0"/>
          <w:numId w:val="1"/>
        </w:numPr>
      </w:pPr>
      <w:r>
        <w:t>Analytical results:</w:t>
      </w:r>
    </w:p>
    <w:p w14:paraId="1B30B0E3" w14:textId="1B4497FE" w:rsidR="005D240C" w:rsidRDefault="005D240C" w:rsidP="008E2B41">
      <w:pPr>
        <w:ind w:left="360"/>
      </w:pPr>
    </w:p>
    <w:p w14:paraId="5C0AC5DE" w14:textId="108F4FAB" w:rsidR="008E2B41" w:rsidRPr="005D240C" w:rsidRDefault="005D240C" w:rsidP="005D240C">
      <w:pPr>
        <w:ind w:left="360"/>
        <w:jc w:val="center"/>
      </w:pPr>
      <w:proofErr w:type="spellStart"/>
      <w:r>
        <w:rPr>
          <w:i/>
          <w:iCs/>
        </w:rPr>
        <w:t>Dinoph</w:t>
      </w:r>
      <w:r w:rsidR="001027EF">
        <w:rPr>
          <w:i/>
          <w:iCs/>
        </w:rPr>
        <w:t>i</w:t>
      </w:r>
      <w:r>
        <w:rPr>
          <w:i/>
          <w:iCs/>
        </w:rPr>
        <w:t>lus</w:t>
      </w:r>
      <w:proofErr w:type="spellEnd"/>
      <w:r>
        <w:rPr>
          <w:i/>
          <w:iCs/>
        </w:rPr>
        <w:t xml:space="preserve"> </w:t>
      </w:r>
      <w:proofErr w:type="spellStart"/>
      <w:r>
        <w:rPr>
          <w:i/>
          <w:iCs/>
        </w:rPr>
        <w:t>gyrociliatus</w:t>
      </w:r>
      <w:proofErr w:type="spellEnd"/>
      <w:r>
        <w:t>:</w:t>
      </w:r>
    </w:p>
    <w:p w14:paraId="24725245" w14:textId="5A808ABB" w:rsidR="008E2B41" w:rsidRDefault="005D240C" w:rsidP="008E2B41">
      <w:pPr>
        <w:ind w:left="360"/>
      </w:pPr>
      <w:r>
        <w:rPr>
          <w:noProof/>
        </w:rPr>
        <w:drawing>
          <wp:anchor distT="0" distB="0" distL="114300" distR="114300" simplePos="0" relativeHeight="251660288" behindDoc="0" locked="0" layoutInCell="1" allowOverlap="1" wp14:anchorId="2B405823" wp14:editId="603BCD36">
            <wp:simplePos x="0" y="0"/>
            <wp:positionH relativeFrom="column">
              <wp:posOffset>230505</wp:posOffset>
            </wp:positionH>
            <wp:positionV relativeFrom="paragraph">
              <wp:posOffset>53375</wp:posOffset>
            </wp:positionV>
            <wp:extent cx="5842000" cy="4381500"/>
            <wp:effectExtent l="0" t="0" r="0" b="0"/>
            <wp:wrapNone/>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p>
    <w:p w14:paraId="684DD5F7" w14:textId="459CEA80" w:rsidR="008E2B41" w:rsidRDefault="008E2B41" w:rsidP="006B348F"/>
    <w:p w14:paraId="2FDD0432" w14:textId="21CDC478" w:rsidR="005D240C" w:rsidRDefault="005D240C" w:rsidP="006B348F"/>
    <w:p w14:paraId="6DF6FD38" w14:textId="375D3994" w:rsidR="005D240C" w:rsidRDefault="005D240C" w:rsidP="006B348F"/>
    <w:p w14:paraId="0E76B81D" w14:textId="7B81DFBD" w:rsidR="005D240C" w:rsidRDefault="005D240C" w:rsidP="006B348F"/>
    <w:p w14:paraId="40714022" w14:textId="53B63689" w:rsidR="005D240C" w:rsidRDefault="005D240C" w:rsidP="006B348F"/>
    <w:p w14:paraId="10570BFA" w14:textId="76732000" w:rsidR="005D240C" w:rsidRDefault="005D240C" w:rsidP="006B348F"/>
    <w:p w14:paraId="399FAA51" w14:textId="70A35163" w:rsidR="005D240C" w:rsidRDefault="005D240C" w:rsidP="006B348F"/>
    <w:p w14:paraId="44764770" w14:textId="169765D7" w:rsidR="005D240C" w:rsidRDefault="005D240C" w:rsidP="006B348F"/>
    <w:p w14:paraId="492A9D7B" w14:textId="2318F19A" w:rsidR="005D240C" w:rsidRDefault="005D240C" w:rsidP="006B348F"/>
    <w:p w14:paraId="255B758D" w14:textId="17E9F845" w:rsidR="005D240C" w:rsidRDefault="005D240C" w:rsidP="006B348F"/>
    <w:p w14:paraId="25C846C6" w14:textId="0F4FF220" w:rsidR="005D240C" w:rsidRDefault="005D240C" w:rsidP="006B348F"/>
    <w:p w14:paraId="09086116" w14:textId="218149F5" w:rsidR="005D240C" w:rsidRDefault="005D240C" w:rsidP="006B348F"/>
    <w:p w14:paraId="77FF01FC" w14:textId="264E7E1C" w:rsidR="005D240C" w:rsidRDefault="005D240C" w:rsidP="006B348F"/>
    <w:p w14:paraId="3D818E84" w14:textId="2E4542F5" w:rsidR="005D240C" w:rsidRDefault="005D240C" w:rsidP="006B348F"/>
    <w:p w14:paraId="32268526" w14:textId="3B2CC5C7" w:rsidR="005D240C" w:rsidRDefault="005D240C" w:rsidP="006B348F"/>
    <w:p w14:paraId="3CD998C7" w14:textId="3823AC3F" w:rsidR="005D240C" w:rsidRDefault="005D240C" w:rsidP="006B348F"/>
    <w:p w14:paraId="22E8A100" w14:textId="658572F2" w:rsidR="005D240C" w:rsidRDefault="005D240C" w:rsidP="006B348F"/>
    <w:p w14:paraId="1A75229B" w14:textId="1C9BBD0C" w:rsidR="005D240C" w:rsidRDefault="005D240C" w:rsidP="006B348F"/>
    <w:p w14:paraId="6D631A10" w14:textId="6D7B72D9" w:rsidR="005D240C" w:rsidRDefault="005D240C" w:rsidP="006B348F"/>
    <w:p w14:paraId="2C211F52" w14:textId="0DBB649C" w:rsidR="005D240C" w:rsidRDefault="005D240C" w:rsidP="006B348F"/>
    <w:p w14:paraId="690F63A6" w14:textId="52C3EBA1" w:rsidR="005D240C" w:rsidRDefault="005D240C" w:rsidP="006B348F"/>
    <w:p w14:paraId="4CAA8F45" w14:textId="4647282D" w:rsidR="005D240C" w:rsidRDefault="005D240C" w:rsidP="006B348F"/>
    <w:p w14:paraId="32DD2595" w14:textId="68F799CC" w:rsidR="005D240C" w:rsidRDefault="005D240C" w:rsidP="006B348F"/>
    <w:p w14:paraId="7DD40AB0" w14:textId="4AAAEB23" w:rsidR="005D240C" w:rsidRDefault="005D240C" w:rsidP="006B348F"/>
    <w:p w14:paraId="11D416F8" w14:textId="1081E922" w:rsidR="005D240C" w:rsidRDefault="005D240C" w:rsidP="006B348F"/>
    <w:p w14:paraId="6C248FC8" w14:textId="72282A40" w:rsidR="005D240C" w:rsidRPr="005D240C" w:rsidRDefault="005D240C" w:rsidP="005D240C">
      <w:pPr>
        <w:jc w:val="center"/>
        <w:rPr>
          <w:i/>
          <w:iCs/>
        </w:rPr>
      </w:pPr>
      <w:proofErr w:type="spellStart"/>
      <w:r>
        <w:rPr>
          <w:i/>
          <w:iCs/>
        </w:rPr>
        <w:lastRenderedPageBreak/>
        <w:t>Helobdella</w:t>
      </w:r>
      <w:proofErr w:type="spellEnd"/>
      <w:r>
        <w:rPr>
          <w:i/>
          <w:iCs/>
        </w:rPr>
        <w:t xml:space="preserve"> </w:t>
      </w:r>
      <w:proofErr w:type="spellStart"/>
      <w:r>
        <w:rPr>
          <w:i/>
          <w:iCs/>
        </w:rPr>
        <w:t>robusta</w:t>
      </w:r>
      <w:proofErr w:type="spellEnd"/>
    </w:p>
    <w:p w14:paraId="70F29353" w14:textId="09E9BD95" w:rsidR="005D240C" w:rsidRDefault="005D240C" w:rsidP="006B348F">
      <w:r>
        <w:rPr>
          <w:noProof/>
        </w:rPr>
        <w:drawing>
          <wp:anchor distT="0" distB="0" distL="114300" distR="114300" simplePos="0" relativeHeight="251658240" behindDoc="0" locked="0" layoutInCell="1" allowOverlap="1" wp14:anchorId="08BE50EB" wp14:editId="596B1391">
            <wp:simplePos x="0" y="0"/>
            <wp:positionH relativeFrom="column">
              <wp:posOffset>290830</wp:posOffset>
            </wp:positionH>
            <wp:positionV relativeFrom="paragraph">
              <wp:posOffset>24388</wp:posOffset>
            </wp:positionV>
            <wp:extent cx="5375868" cy="4031901"/>
            <wp:effectExtent l="0" t="0" r="0" b="0"/>
            <wp:wrapNone/>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5868" cy="4031901"/>
                    </a:xfrm>
                    <a:prstGeom prst="rect">
                      <a:avLst/>
                    </a:prstGeom>
                  </pic:spPr>
                </pic:pic>
              </a:graphicData>
            </a:graphic>
            <wp14:sizeRelH relativeFrom="page">
              <wp14:pctWidth>0</wp14:pctWidth>
            </wp14:sizeRelH>
            <wp14:sizeRelV relativeFrom="page">
              <wp14:pctHeight>0</wp14:pctHeight>
            </wp14:sizeRelV>
          </wp:anchor>
        </w:drawing>
      </w:r>
    </w:p>
    <w:p w14:paraId="2B67B638" w14:textId="3758C5E6" w:rsidR="005D240C" w:rsidRDefault="005D240C" w:rsidP="006B348F"/>
    <w:p w14:paraId="0695023A" w14:textId="1560862E" w:rsidR="005D240C" w:rsidRDefault="005D240C" w:rsidP="006B348F"/>
    <w:p w14:paraId="4B150893" w14:textId="646D1230" w:rsidR="005D240C" w:rsidRDefault="005D240C" w:rsidP="006B348F"/>
    <w:p w14:paraId="14F253F3" w14:textId="4CF9C1D3" w:rsidR="005D240C" w:rsidRDefault="005D240C" w:rsidP="006B348F"/>
    <w:p w14:paraId="101837EA" w14:textId="73AB8861" w:rsidR="005D240C" w:rsidRDefault="005D240C" w:rsidP="006B348F"/>
    <w:p w14:paraId="325B4F05" w14:textId="2AD42051" w:rsidR="005D240C" w:rsidRDefault="005D240C" w:rsidP="006B348F"/>
    <w:p w14:paraId="53D15FBF" w14:textId="08B84815" w:rsidR="005D240C" w:rsidRDefault="005D240C" w:rsidP="006B348F"/>
    <w:p w14:paraId="649D4F00" w14:textId="2FE914C1" w:rsidR="005D240C" w:rsidRDefault="005D240C" w:rsidP="006B348F"/>
    <w:p w14:paraId="6C0ED853" w14:textId="63ED6A95" w:rsidR="005D240C" w:rsidRDefault="005D240C" w:rsidP="006B348F"/>
    <w:p w14:paraId="2E099FE4" w14:textId="1097BBA7" w:rsidR="005D240C" w:rsidRDefault="005D240C" w:rsidP="006B348F"/>
    <w:p w14:paraId="55E666C0" w14:textId="134E5B72" w:rsidR="005D240C" w:rsidRDefault="005D240C" w:rsidP="006B348F"/>
    <w:p w14:paraId="4D8E9A54" w14:textId="72C356E4" w:rsidR="005D240C" w:rsidRDefault="005D240C" w:rsidP="006B348F"/>
    <w:p w14:paraId="4AE95985" w14:textId="16DC0993" w:rsidR="005D240C" w:rsidRDefault="005D240C" w:rsidP="006B348F"/>
    <w:p w14:paraId="53AB4CC9" w14:textId="6DADAEEE" w:rsidR="005D240C" w:rsidRDefault="005D240C" w:rsidP="006B348F"/>
    <w:p w14:paraId="3B1CE097" w14:textId="5DE0CBB5" w:rsidR="005D240C" w:rsidRDefault="005D240C" w:rsidP="006B348F"/>
    <w:p w14:paraId="13F3CA34" w14:textId="0AA0F281" w:rsidR="005D240C" w:rsidRDefault="005D240C" w:rsidP="006B348F"/>
    <w:p w14:paraId="5B83E886" w14:textId="4E44FCF8" w:rsidR="005D240C" w:rsidRDefault="005D240C" w:rsidP="006B348F"/>
    <w:p w14:paraId="2E38DE82" w14:textId="50FD4304" w:rsidR="005D240C" w:rsidRDefault="005D240C" w:rsidP="006B348F"/>
    <w:p w14:paraId="210E6430" w14:textId="55ABA75A" w:rsidR="005D240C" w:rsidRDefault="005D240C" w:rsidP="006B348F"/>
    <w:p w14:paraId="18D902C9" w14:textId="49BB9534" w:rsidR="005D240C" w:rsidRDefault="005D240C" w:rsidP="006B348F"/>
    <w:p w14:paraId="77CC19DF" w14:textId="77777777" w:rsidR="005D240C" w:rsidRDefault="005D240C" w:rsidP="006B348F"/>
    <w:p w14:paraId="439F8EB1" w14:textId="77777777" w:rsidR="005D240C" w:rsidRDefault="005D240C" w:rsidP="006B348F"/>
    <w:p w14:paraId="6C784660" w14:textId="78C3D2D5" w:rsidR="005D240C" w:rsidRDefault="005D240C" w:rsidP="005D240C">
      <w:pPr>
        <w:jc w:val="center"/>
      </w:pPr>
      <w:r>
        <w:rPr>
          <w:i/>
          <w:iCs/>
        </w:rPr>
        <w:t>Capitella teleta</w:t>
      </w:r>
    </w:p>
    <w:p w14:paraId="303A12FC" w14:textId="0B7C2E2B" w:rsidR="005D240C" w:rsidRDefault="005D240C" w:rsidP="006B348F">
      <w:r>
        <w:rPr>
          <w:noProof/>
        </w:rPr>
        <w:drawing>
          <wp:anchor distT="0" distB="0" distL="114300" distR="114300" simplePos="0" relativeHeight="251659264" behindDoc="0" locked="0" layoutInCell="1" allowOverlap="1" wp14:anchorId="02C69AC3" wp14:editId="776D1C35">
            <wp:simplePos x="0" y="0"/>
            <wp:positionH relativeFrom="column">
              <wp:posOffset>290830</wp:posOffset>
            </wp:positionH>
            <wp:positionV relativeFrom="paragraph">
              <wp:posOffset>25958</wp:posOffset>
            </wp:positionV>
            <wp:extent cx="5375275" cy="4031456"/>
            <wp:effectExtent l="0" t="0" r="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5275" cy="4031456"/>
                    </a:xfrm>
                    <a:prstGeom prst="rect">
                      <a:avLst/>
                    </a:prstGeom>
                  </pic:spPr>
                </pic:pic>
              </a:graphicData>
            </a:graphic>
            <wp14:sizeRelH relativeFrom="page">
              <wp14:pctWidth>0</wp14:pctWidth>
            </wp14:sizeRelH>
            <wp14:sizeRelV relativeFrom="page">
              <wp14:pctHeight>0</wp14:pctHeight>
            </wp14:sizeRelV>
          </wp:anchor>
        </w:drawing>
      </w:r>
    </w:p>
    <w:p w14:paraId="2695A1D8" w14:textId="5B1D05E2" w:rsidR="005D240C" w:rsidRDefault="005D240C" w:rsidP="006B348F"/>
    <w:p w14:paraId="0E90FE87" w14:textId="19EC584C" w:rsidR="005D240C" w:rsidRDefault="005D240C" w:rsidP="006B348F"/>
    <w:p w14:paraId="5DF55AAA" w14:textId="28A410FD" w:rsidR="005D240C" w:rsidRDefault="005D240C" w:rsidP="006B348F"/>
    <w:p w14:paraId="392C7C99" w14:textId="7AB4C661" w:rsidR="005D240C" w:rsidRDefault="005D240C" w:rsidP="006B348F"/>
    <w:p w14:paraId="042B7E6A" w14:textId="139D4FB3" w:rsidR="005D240C" w:rsidRDefault="005D240C" w:rsidP="006B348F"/>
    <w:p w14:paraId="1507396E" w14:textId="5132FBAA" w:rsidR="005D240C" w:rsidRDefault="005D240C" w:rsidP="006B348F"/>
    <w:p w14:paraId="2BED8645" w14:textId="5244D2EB" w:rsidR="005D240C" w:rsidRDefault="005D240C" w:rsidP="006B348F"/>
    <w:p w14:paraId="355C50A5" w14:textId="318EAA86" w:rsidR="005D240C" w:rsidRDefault="005D240C" w:rsidP="006B348F"/>
    <w:p w14:paraId="4930B5B0" w14:textId="6CB70710" w:rsidR="005D240C" w:rsidRDefault="005D240C" w:rsidP="006B348F"/>
    <w:p w14:paraId="4496E0C1" w14:textId="6B393456" w:rsidR="005D240C" w:rsidRDefault="005D240C" w:rsidP="006B348F"/>
    <w:p w14:paraId="0C99BA7C" w14:textId="0093E89D" w:rsidR="005D240C" w:rsidRDefault="005D240C" w:rsidP="006B348F"/>
    <w:p w14:paraId="454F800A" w14:textId="15EFD189" w:rsidR="005D240C" w:rsidRDefault="005D240C" w:rsidP="006B348F"/>
    <w:p w14:paraId="2C4621CE" w14:textId="198B95AF" w:rsidR="005D240C" w:rsidRDefault="005D240C" w:rsidP="006B348F"/>
    <w:p w14:paraId="1AFA16BF" w14:textId="07474B65" w:rsidR="005D240C" w:rsidRDefault="005D240C" w:rsidP="006B348F"/>
    <w:p w14:paraId="55242966" w14:textId="6755015F" w:rsidR="005D240C" w:rsidRDefault="005D240C" w:rsidP="006B348F"/>
    <w:p w14:paraId="4322991D" w14:textId="2158D430" w:rsidR="005D240C" w:rsidRDefault="005D240C" w:rsidP="006B348F"/>
    <w:p w14:paraId="67D1096E" w14:textId="5963B28D" w:rsidR="005D240C" w:rsidRDefault="005D240C" w:rsidP="006B348F"/>
    <w:p w14:paraId="6B05385E" w14:textId="713C8B0C" w:rsidR="005D240C" w:rsidRDefault="005D240C" w:rsidP="006B348F"/>
    <w:p w14:paraId="14A4DFF6" w14:textId="7498FCBF" w:rsidR="005D240C" w:rsidRDefault="005D240C" w:rsidP="005D240C">
      <w:pPr>
        <w:pStyle w:val="ListParagraph"/>
        <w:numPr>
          <w:ilvl w:val="0"/>
          <w:numId w:val="1"/>
        </w:numPr>
      </w:pPr>
      <w:r>
        <w:lastRenderedPageBreak/>
        <w:t>Discussion:</w:t>
      </w:r>
    </w:p>
    <w:p w14:paraId="2C25193C" w14:textId="6E4299F6" w:rsidR="005D240C" w:rsidRDefault="005D240C" w:rsidP="005D240C"/>
    <w:p w14:paraId="0C195BF2" w14:textId="1777B7CB" w:rsidR="005D240C" w:rsidRDefault="005D240C" w:rsidP="005D240C">
      <w:pPr>
        <w:ind w:left="720"/>
      </w:pPr>
      <w:r>
        <w:t xml:space="preserve">As expected, a majority of coding sequences contain only one TCF binding site, decreasing gradually to a maximum of 9 sites per sequence. For </w:t>
      </w:r>
      <w:r>
        <w:rPr>
          <w:i/>
          <w:iCs/>
        </w:rPr>
        <w:t xml:space="preserve">D. </w:t>
      </w:r>
      <w:proofErr w:type="spellStart"/>
      <w:r>
        <w:rPr>
          <w:i/>
          <w:iCs/>
        </w:rPr>
        <w:t>gyrociliatus</w:t>
      </w:r>
      <w:proofErr w:type="spellEnd"/>
      <w:r>
        <w:t xml:space="preserve">, it was shown that four coding sequences contain more than 6 TCF-binding sites, with one coding sequence containing 9 TCF-binding sites. In contrast, </w:t>
      </w:r>
      <w:r w:rsidR="001027EF">
        <w:rPr>
          <w:i/>
          <w:iCs/>
        </w:rPr>
        <w:t xml:space="preserve">H. </w:t>
      </w:r>
      <w:proofErr w:type="spellStart"/>
      <w:r w:rsidR="001027EF">
        <w:rPr>
          <w:i/>
          <w:iCs/>
        </w:rPr>
        <w:t>robusta</w:t>
      </w:r>
      <w:proofErr w:type="spellEnd"/>
      <w:r w:rsidR="001027EF">
        <w:rPr>
          <w:i/>
          <w:iCs/>
        </w:rPr>
        <w:t xml:space="preserve"> </w:t>
      </w:r>
      <w:r w:rsidR="001027EF">
        <w:t xml:space="preserve">and </w:t>
      </w:r>
      <w:r w:rsidR="001027EF">
        <w:rPr>
          <w:i/>
          <w:iCs/>
        </w:rPr>
        <w:t>C. teleta</w:t>
      </w:r>
      <w:r w:rsidR="001027EF">
        <w:t xml:space="preserve"> report a maximum of 4 and 6 sites, respectively, for 1 and 4 coding sequences.</w:t>
      </w:r>
    </w:p>
    <w:p w14:paraId="66D2A370" w14:textId="39D4DE79" w:rsidR="001027EF" w:rsidRDefault="001027EF" w:rsidP="005D240C">
      <w:pPr>
        <w:ind w:left="720"/>
      </w:pPr>
    </w:p>
    <w:p w14:paraId="3667992E" w14:textId="7C6A9961" w:rsidR="001027EF" w:rsidRPr="001027EF" w:rsidRDefault="001027EF" w:rsidP="005D240C">
      <w:pPr>
        <w:ind w:left="720"/>
      </w:pPr>
      <w:r>
        <w:t xml:space="preserve">It is also shown that some long sequences contain a higher number of binding sites, which could be due to chance more than being a potential target. Scanning in adjacent intergenic regions and introns could filter out those sequences that could be </w:t>
      </w:r>
      <w:proofErr w:type="gramStart"/>
      <w:r>
        <w:t>off-target</w:t>
      </w:r>
      <w:proofErr w:type="gramEnd"/>
      <w:r>
        <w:t xml:space="preserve">. Also, annotating genes for all three species could help identify homolog genes containing binding sites and select better candidates as canonical </w:t>
      </w:r>
      <w:proofErr w:type="spellStart"/>
      <w:r>
        <w:t>Wnt</w:t>
      </w:r>
      <w:proofErr w:type="spellEnd"/>
      <w:r>
        <w:t xml:space="preserve"> pathway targets.</w:t>
      </w:r>
    </w:p>
    <w:p w14:paraId="5D454065" w14:textId="77777777" w:rsidR="005D240C" w:rsidRDefault="005D240C" w:rsidP="005D240C"/>
    <w:p w14:paraId="67B49692" w14:textId="3C425712" w:rsidR="005B5956" w:rsidRDefault="006B348F" w:rsidP="005B5956">
      <w:pPr>
        <w:pStyle w:val="ListParagraph"/>
        <w:numPr>
          <w:ilvl w:val="0"/>
          <w:numId w:val="1"/>
        </w:numPr>
      </w:pPr>
      <w:r>
        <w:t xml:space="preserve">Follow-up proposal: </w:t>
      </w:r>
    </w:p>
    <w:p w14:paraId="58131B51" w14:textId="04F76456" w:rsidR="005B5956" w:rsidRDefault="005B5956" w:rsidP="005B5956"/>
    <w:p w14:paraId="21D0DD88" w14:textId="17383239" w:rsidR="005B5956" w:rsidRDefault="005B5956" w:rsidP="005B5956">
      <w:pPr>
        <w:pStyle w:val="ListParagraph"/>
        <w:numPr>
          <w:ilvl w:val="0"/>
          <w:numId w:val="4"/>
        </w:numPr>
      </w:pPr>
      <w:r>
        <w:t>Extraction of intronic and intergenic regions from an annotated genome to look for TCF-binding sites.</w:t>
      </w:r>
    </w:p>
    <w:p w14:paraId="61EB7212" w14:textId="6F415748" w:rsidR="005B5956" w:rsidRDefault="005B5956" w:rsidP="005B5956">
      <w:pPr>
        <w:pStyle w:val="ListParagraph"/>
      </w:pPr>
    </w:p>
    <w:p w14:paraId="38BE52C7" w14:textId="5346ED4E" w:rsidR="005B5956" w:rsidRDefault="005B5956" w:rsidP="005B5956">
      <w:pPr>
        <w:pStyle w:val="ListParagraph"/>
      </w:pPr>
      <w:r>
        <w:t>As preliminary results, I looked for the presence of TCF-binding sites in coding sequences in two annelid genomes. Nonetheless, binding sites are more frequent in intergenic regions and introns. That requires a well-annotated genome, and I could expand it to other invertebrate animals.</w:t>
      </w:r>
    </w:p>
    <w:p w14:paraId="05F3A659" w14:textId="77777777" w:rsidR="005B5956" w:rsidRDefault="005B5956" w:rsidP="005B5956">
      <w:pPr>
        <w:pStyle w:val="ListParagraph"/>
      </w:pPr>
    </w:p>
    <w:p w14:paraId="7B8422CE" w14:textId="13654ADB" w:rsidR="005B5956" w:rsidRDefault="005B5956" w:rsidP="005B5956">
      <w:pPr>
        <w:pStyle w:val="ListParagraph"/>
        <w:numPr>
          <w:ilvl w:val="0"/>
          <w:numId w:val="4"/>
        </w:numPr>
      </w:pPr>
      <w:r>
        <w:t>Filtering of genes whose adjacent intergenic regions and introns contain TCF-binding sites.</w:t>
      </w:r>
    </w:p>
    <w:p w14:paraId="2FF56B4E" w14:textId="75226E91" w:rsidR="005B5956" w:rsidRDefault="005B5956" w:rsidP="005B5956">
      <w:pPr>
        <w:pStyle w:val="ListParagraph"/>
      </w:pPr>
    </w:p>
    <w:p w14:paraId="44F8ABB5" w14:textId="4145A83E" w:rsidR="005B5956" w:rsidRDefault="005B5956" w:rsidP="005B5956">
      <w:pPr>
        <w:pStyle w:val="ListParagraph"/>
      </w:pPr>
      <w:r>
        <w:t xml:space="preserve">Based on the data extracted from the genome, I will use the code generated to iterate over individual sequences and look for TCF binding sites in these regions. Then, I will proceed to filter genes based on this information and propose them as potential targets for the </w:t>
      </w:r>
      <w:proofErr w:type="spellStart"/>
      <w:r>
        <w:t>Wnt</w:t>
      </w:r>
      <w:proofErr w:type="spellEnd"/>
      <w:r>
        <w:t xml:space="preserve"> signaling pathway.</w:t>
      </w:r>
    </w:p>
    <w:p w14:paraId="285433EF" w14:textId="3797BD01" w:rsidR="005B5956" w:rsidRDefault="005B5956" w:rsidP="005B5956"/>
    <w:p w14:paraId="533A9D23" w14:textId="41CD1036" w:rsidR="005B5956" w:rsidRDefault="005B5956" w:rsidP="005B5956">
      <w:pPr>
        <w:pStyle w:val="ListParagraph"/>
        <w:numPr>
          <w:ilvl w:val="0"/>
          <w:numId w:val="4"/>
        </w:numPr>
      </w:pPr>
      <w:r>
        <w:t>Generation of a code to search for any pattern and its occurrence in different genomic regions</w:t>
      </w:r>
    </w:p>
    <w:p w14:paraId="72F3C3ED" w14:textId="0CB052E9" w:rsidR="005B5956" w:rsidRDefault="005B5956" w:rsidP="005B5956">
      <w:pPr>
        <w:pStyle w:val="ListParagraph"/>
      </w:pPr>
    </w:p>
    <w:p w14:paraId="63697934" w14:textId="61B89242" w:rsidR="005B5956" w:rsidRDefault="001814E6" w:rsidP="005B5956">
      <w:pPr>
        <w:pStyle w:val="ListParagraph"/>
      </w:pPr>
      <w:r>
        <w:t>The code generated should be able to extract intronic + intergenic regions for any GenBank file, pattern, and generate two scatterplots per species. In this way, I could explore other binding sites and potential targets for different signaling pathways.</w:t>
      </w:r>
    </w:p>
    <w:p w14:paraId="00CFD30F" w14:textId="04D0E1DA" w:rsidR="001027EF" w:rsidRDefault="001027EF" w:rsidP="001027EF"/>
    <w:p w14:paraId="5C751A79" w14:textId="302776EC" w:rsidR="001027EF" w:rsidRDefault="001027EF" w:rsidP="001027EF">
      <w:r>
        <w:t>References:</w:t>
      </w:r>
    </w:p>
    <w:p w14:paraId="750A05FC" w14:textId="1C9494FA" w:rsidR="001027EF" w:rsidRDefault="001027EF" w:rsidP="001027EF"/>
    <w:p w14:paraId="42FAED3C" w14:textId="2A7ADA4D" w:rsidR="001027EF" w:rsidRPr="001027EF" w:rsidRDefault="001027EF" w:rsidP="001027EF">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1027EF">
        <w:rPr>
          <w:rFonts w:ascii="Calibri" w:hAnsi="Calibri" w:cs="Calibri"/>
          <w:noProof/>
        </w:rPr>
        <w:t xml:space="preserve">Archbold, H. C., Yang, Y. X., Chen, L., &amp; Cadigan, K. M. (2012). How do they do Wnt they do?: Regulation of transcription by the Wnt/β-catenin pathway. </w:t>
      </w:r>
      <w:r w:rsidRPr="001027EF">
        <w:rPr>
          <w:rFonts w:ascii="Calibri" w:hAnsi="Calibri" w:cs="Calibri"/>
          <w:i/>
          <w:iCs/>
          <w:noProof/>
        </w:rPr>
        <w:t>Acta Physiologica</w:t>
      </w:r>
      <w:r w:rsidRPr="001027EF">
        <w:rPr>
          <w:rFonts w:ascii="Calibri" w:hAnsi="Calibri" w:cs="Calibri"/>
          <w:noProof/>
        </w:rPr>
        <w:t xml:space="preserve">, </w:t>
      </w:r>
      <w:r w:rsidRPr="001027EF">
        <w:rPr>
          <w:rFonts w:ascii="Calibri" w:hAnsi="Calibri" w:cs="Calibri"/>
          <w:i/>
          <w:iCs/>
          <w:noProof/>
        </w:rPr>
        <w:t>204</w:t>
      </w:r>
      <w:r w:rsidRPr="001027EF">
        <w:rPr>
          <w:rFonts w:ascii="Calibri" w:hAnsi="Calibri" w:cs="Calibri"/>
          <w:noProof/>
        </w:rPr>
        <w:t>(1), 74–109.</w:t>
      </w:r>
    </w:p>
    <w:p w14:paraId="2F6C0132" w14:textId="77777777" w:rsidR="001027EF" w:rsidRPr="001027EF" w:rsidRDefault="001027EF" w:rsidP="001027EF">
      <w:pPr>
        <w:widowControl w:val="0"/>
        <w:autoSpaceDE w:val="0"/>
        <w:autoSpaceDN w:val="0"/>
        <w:adjustRightInd w:val="0"/>
        <w:ind w:left="480" w:hanging="480"/>
        <w:rPr>
          <w:rFonts w:ascii="Calibri" w:hAnsi="Calibri" w:cs="Calibri"/>
          <w:noProof/>
        </w:rPr>
      </w:pPr>
      <w:r w:rsidRPr="001027EF">
        <w:rPr>
          <w:rFonts w:ascii="Calibri" w:hAnsi="Calibri" w:cs="Calibri"/>
          <w:noProof/>
        </w:rPr>
        <w:lastRenderedPageBreak/>
        <w:t xml:space="preserve">Atcha, F. A., Syed, A., Wu, B., Hoverter, N. P., Yokoyama, N. N., Ting, J.-H. T., Munguia, J. E., Mangalam, H. J., Marsh, J. L., &amp; Waterman, M. L. (2007). A unique DNA binding domain converts T-cell factors into strong Wnt effectors. </w:t>
      </w:r>
      <w:r w:rsidRPr="001027EF">
        <w:rPr>
          <w:rFonts w:ascii="Calibri" w:hAnsi="Calibri" w:cs="Calibri"/>
          <w:i/>
          <w:iCs/>
          <w:noProof/>
        </w:rPr>
        <w:t>Molecular and Cellular Biology</w:t>
      </w:r>
      <w:r w:rsidRPr="001027EF">
        <w:rPr>
          <w:rFonts w:ascii="Calibri" w:hAnsi="Calibri" w:cs="Calibri"/>
          <w:noProof/>
        </w:rPr>
        <w:t xml:space="preserve">, </w:t>
      </w:r>
      <w:r w:rsidRPr="001027EF">
        <w:rPr>
          <w:rFonts w:ascii="Calibri" w:hAnsi="Calibri" w:cs="Calibri"/>
          <w:i/>
          <w:iCs/>
          <w:noProof/>
        </w:rPr>
        <w:t>27</w:t>
      </w:r>
      <w:r w:rsidRPr="001027EF">
        <w:rPr>
          <w:rFonts w:ascii="Calibri" w:hAnsi="Calibri" w:cs="Calibri"/>
          <w:noProof/>
        </w:rPr>
        <w:t>(23), 8352–8363.</w:t>
      </w:r>
    </w:p>
    <w:p w14:paraId="5D76B24E" w14:textId="77777777" w:rsidR="001027EF" w:rsidRPr="001027EF" w:rsidRDefault="001027EF" w:rsidP="001027EF">
      <w:pPr>
        <w:widowControl w:val="0"/>
        <w:autoSpaceDE w:val="0"/>
        <w:autoSpaceDN w:val="0"/>
        <w:adjustRightInd w:val="0"/>
        <w:ind w:left="480" w:hanging="480"/>
        <w:rPr>
          <w:rFonts w:ascii="Calibri" w:hAnsi="Calibri" w:cs="Calibri"/>
          <w:noProof/>
        </w:rPr>
      </w:pPr>
      <w:r w:rsidRPr="001027EF">
        <w:rPr>
          <w:rFonts w:ascii="Calibri" w:hAnsi="Calibri" w:cs="Calibri"/>
          <w:noProof/>
        </w:rPr>
        <w:t xml:space="preserve">Cadigan, K. M., &amp; Waterman, M. L. (2012). TCF/LEFs and Wnt signaling in the nucleus. </w:t>
      </w:r>
      <w:r w:rsidRPr="001027EF">
        <w:rPr>
          <w:rFonts w:ascii="Calibri" w:hAnsi="Calibri" w:cs="Calibri"/>
          <w:i/>
          <w:iCs/>
          <w:noProof/>
        </w:rPr>
        <w:t>Cold Spring Harbor Perspectives in Biology</w:t>
      </w:r>
      <w:r w:rsidRPr="001027EF">
        <w:rPr>
          <w:rFonts w:ascii="Calibri" w:hAnsi="Calibri" w:cs="Calibri"/>
          <w:noProof/>
        </w:rPr>
        <w:t xml:space="preserve">, </w:t>
      </w:r>
      <w:r w:rsidRPr="001027EF">
        <w:rPr>
          <w:rFonts w:ascii="Calibri" w:hAnsi="Calibri" w:cs="Calibri"/>
          <w:i/>
          <w:iCs/>
          <w:noProof/>
        </w:rPr>
        <w:t>4</w:t>
      </w:r>
      <w:r w:rsidRPr="001027EF">
        <w:rPr>
          <w:rFonts w:ascii="Calibri" w:hAnsi="Calibri" w:cs="Calibri"/>
          <w:noProof/>
        </w:rPr>
        <w:t>(11), 1–22.</w:t>
      </w:r>
    </w:p>
    <w:p w14:paraId="2DA33DB1" w14:textId="77777777" w:rsidR="001027EF" w:rsidRPr="001027EF" w:rsidRDefault="001027EF" w:rsidP="001027EF">
      <w:pPr>
        <w:widowControl w:val="0"/>
        <w:autoSpaceDE w:val="0"/>
        <w:autoSpaceDN w:val="0"/>
        <w:adjustRightInd w:val="0"/>
        <w:ind w:left="480" w:hanging="480"/>
        <w:rPr>
          <w:rFonts w:ascii="Calibri" w:hAnsi="Calibri" w:cs="Calibri"/>
          <w:noProof/>
        </w:rPr>
      </w:pPr>
      <w:r w:rsidRPr="001027EF">
        <w:rPr>
          <w:rFonts w:ascii="Calibri" w:hAnsi="Calibri" w:cs="Calibri"/>
          <w:noProof/>
        </w:rPr>
        <w:t xml:space="preserve">Gilbert, S. F., &amp; Barresi, M. J. F. (2018). </w:t>
      </w:r>
      <w:r w:rsidRPr="001027EF">
        <w:rPr>
          <w:rFonts w:ascii="Calibri" w:hAnsi="Calibri" w:cs="Calibri"/>
          <w:i/>
          <w:iCs/>
          <w:noProof/>
        </w:rPr>
        <w:t>Developmental biology</w:t>
      </w:r>
      <w:r w:rsidRPr="001027EF">
        <w:rPr>
          <w:rFonts w:ascii="Calibri" w:hAnsi="Calibri" w:cs="Calibri"/>
          <w:noProof/>
        </w:rPr>
        <w:t xml:space="preserve"> (11th editi). Sinauer Associates, Inc.</w:t>
      </w:r>
    </w:p>
    <w:p w14:paraId="6A828398" w14:textId="77777777" w:rsidR="001027EF" w:rsidRPr="001027EF" w:rsidRDefault="001027EF" w:rsidP="001027EF">
      <w:pPr>
        <w:widowControl w:val="0"/>
        <w:autoSpaceDE w:val="0"/>
        <w:autoSpaceDN w:val="0"/>
        <w:adjustRightInd w:val="0"/>
        <w:ind w:left="480" w:hanging="480"/>
        <w:rPr>
          <w:rFonts w:ascii="Calibri" w:hAnsi="Calibri" w:cs="Calibri"/>
          <w:noProof/>
        </w:rPr>
      </w:pPr>
      <w:r w:rsidRPr="001027EF">
        <w:rPr>
          <w:rFonts w:ascii="Calibri" w:hAnsi="Calibri" w:cs="Calibri"/>
          <w:noProof/>
        </w:rPr>
        <w:t xml:space="preserve">Steinhart, Z., &amp; Angers, S. (2018). Wnt signaling in development and tissue homeostasis. </w:t>
      </w:r>
      <w:r w:rsidRPr="001027EF">
        <w:rPr>
          <w:rFonts w:ascii="Calibri" w:hAnsi="Calibri" w:cs="Calibri"/>
          <w:i/>
          <w:iCs/>
          <w:noProof/>
        </w:rPr>
        <w:t>Development</w:t>
      </w:r>
      <w:r w:rsidRPr="001027EF">
        <w:rPr>
          <w:rFonts w:ascii="Calibri" w:hAnsi="Calibri" w:cs="Calibri"/>
          <w:noProof/>
        </w:rPr>
        <w:t xml:space="preserve">, </w:t>
      </w:r>
      <w:r w:rsidRPr="001027EF">
        <w:rPr>
          <w:rFonts w:ascii="Calibri" w:hAnsi="Calibri" w:cs="Calibri"/>
          <w:i/>
          <w:iCs/>
          <w:noProof/>
        </w:rPr>
        <w:t>145</w:t>
      </w:r>
      <w:r w:rsidRPr="001027EF">
        <w:rPr>
          <w:rFonts w:ascii="Calibri" w:hAnsi="Calibri" w:cs="Calibri"/>
          <w:noProof/>
        </w:rPr>
        <w:t>(11), 1–8.</w:t>
      </w:r>
    </w:p>
    <w:p w14:paraId="0B23FB30" w14:textId="2BFF4552" w:rsidR="001027EF" w:rsidRDefault="001027EF" w:rsidP="001027EF">
      <w:r>
        <w:fldChar w:fldCharType="end"/>
      </w:r>
    </w:p>
    <w:sectPr w:rsidR="0010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02B"/>
    <w:multiLevelType w:val="hybridMultilevel"/>
    <w:tmpl w:val="8D462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62B43"/>
    <w:multiLevelType w:val="hybridMultilevel"/>
    <w:tmpl w:val="5A92F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D37FA"/>
    <w:multiLevelType w:val="hybridMultilevel"/>
    <w:tmpl w:val="C1E4BA9E"/>
    <w:lvl w:ilvl="0" w:tplc="DF16F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5E5DB5"/>
    <w:multiLevelType w:val="hybridMultilevel"/>
    <w:tmpl w:val="06AE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8B"/>
    <w:rsid w:val="00085CD0"/>
    <w:rsid w:val="001027EF"/>
    <w:rsid w:val="001814E6"/>
    <w:rsid w:val="00332E8B"/>
    <w:rsid w:val="005B5956"/>
    <w:rsid w:val="005D240C"/>
    <w:rsid w:val="006B348F"/>
    <w:rsid w:val="00742FF9"/>
    <w:rsid w:val="008B2086"/>
    <w:rsid w:val="008E2B41"/>
    <w:rsid w:val="00941366"/>
    <w:rsid w:val="009F2047"/>
    <w:rsid w:val="00B3790A"/>
    <w:rsid w:val="00BA4197"/>
    <w:rsid w:val="00C04A13"/>
    <w:rsid w:val="00D233AA"/>
    <w:rsid w:val="00D624EF"/>
    <w:rsid w:val="00E35181"/>
    <w:rsid w:val="00ED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0E37"/>
  <w15:chartTrackingRefBased/>
  <w15:docId w15:val="{08FD871F-7E63-1B45-9678-7EAF54A1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B7FC-1D16-6A43-AFA8-4A37D3F0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Davila-Sandoval, Johnny</dc:creator>
  <cp:keywords/>
  <dc:description/>
  <cp:lastModifiedBy>Davila-Sandoval, Johnny</cp:lastModifiedBy>
  <cp:revision>2</cp:revision>
  <dcterms:created xsi:type="dcterms:W3CDTF">2021-02-19T07:42:00Z</dcterms:created>
  <dcterms:modified xsi:type="dcterms:W3CDTF">2021-02-19T07:42:00Z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http://csl.mendeley.com/styles/473490461/apa-2</vt:lpwstr>
  </property>
  <property fmtid="{D5CDD505-2E9C-101B-9397-08002B2CF9AE}" pid="9" name="Mendeley Recent Style Name 3_1">
    <vt:lpwstr>American Psychological Association 7th edition - Johnny Davila</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725d25f3-8c1f-3132-b6bc-50face118e1e</vt:lpwstr>
  </property>
  <property fmtid="{D5CDD505-2E9C-101B-9397-08002B2CF9AE}" pid="24" name="Mendeley Citation Style_1">
    <vt:lpwstr>http://csl.mendeley.com/styles/473490461/apa-2</vt:lpwstr>
  </property>
</Properties>
</file>