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5F432" w14:textId="77777777" w:rsidR="00531795" w:rsidRPr="001B322A" w:rsidRDefault="00531795" w:rsidP="001C3476">
      <w:pPr>
        <w:shd w:val="clear" w:color="auto" w:fill="FFFFFF"/>
        <w:spacing w:line="480" w:lineRule="auto"/>
        <w:contextualSpacing/>
        <w:rPr>
          <w:color w:val="222222"/>
        </w:rPr>
      </w:pPr>
      <w:r w:rsidRPr="001B322A">
        <w:rPr>
          <w:color w:val="222222"/>
        </w:rPr>
        <w:t>Johnny Lee</w:t>
      </w:r>
    </w:p>
    <w:p w14:paraId="55A60C1D" w14:textId="6FA2453E" w:rsidR="00531795" w:rsidRPr="001B322A" w:rsidRDefault="00531795" w:rsidP="001C3476">
      <w:pPr>
        <w:shd w:val="clear" w:color="auto" w:fill="FFFFFF"/>
        <w:spacing w:line="480" w:lineRule="auto"/>
        <w:contextualSpacing/>
        <w:rPr>
          <w:color w:val="222222"/>
        </w:rPr>
      </w:pPr>
      <w:r w:rsidRPr="001B322A">
        <w:rPr>
          <w:color w:val="222222"/>
        </w:rPr>
        <w:t xml:space="preserve">POLI 170A </w:t>
      </w:r>
      <w:r w:rsidR="00AF0113" w:rsidRPr="001B322A">
        <w:rPr>
          <w:color w:val="222222"/>
        </w:rPr>
        <w:t>Final</w:t>
      </w:r>
    </w:p>
    <w:p w14:paraId="5E2B8861" w14:textId="4024B5FF" w:rsidR="00531795" w:rsidRPr="001B322A" w:rsidRDefault="00AF0113" w:rsidP="001C3476">
      <w:pPr>
        <w:shd w:val="clear" w:color="auto" w:fill="FFFFFF"/>
        <w:spacing w:line="480" w:lineRule="auto"/>
        <w:contextualSpacing/>
        <w:rPr>
          <w:color w:val="222222"/>
        </w:rPr>
      </w:pPr>
      <w:r w:rsidRPr="001B322A">
        <w:rPr>
          <w:color w:val="222222"/>
        </w:rPr>
        <w:t>March 17, 2016</w:t>
      </w:r>
    </w:p>
    <w:p w14:paraId="471BD4E5" w14:textId="77777777" w:rsidR="00531795" w:rsidRPr="001B322A" w:rsidRDefault="00531795" w:rsidP="001C3476">
      <w:pPr>
        <w:shd w:val="clear" w:color="auto" w:fill="FFFFFF"/>
        <w:spacing w:line="480" w:lineRule="auto"/>
        <w:contextualSpacing/>
        <w:jc w:val="center"/>
        <w:rPr>
          <w:color w:val="222222"/>
        </w:rPr>
      </w:pPr>
      <w:r w:rsidRPr="001B322A">
        <w:rPr>
          <w:color w:val="222222"/>
        </w:rPr>
        <w:t>Are Ellis Act withdrawals speculative in San Francisco?</w:t>
      </w:r>
    </w:p>
    <w:p w14:paraId="7C065198" w14:textId="19752B48" w:rsidR="007F0982" w:rsidRPr="001B322A" w:rsidRDefault="007F0982" w:rsidP="001C3476">
      <w:pPr>
        <w:pStyle w:val="Heading2"/>
        <w:contextualSpacing/>
      </w:pPr>
      <w:r w:rsidRPr="001B322A">
        <w:t>Introduction</w:t>
      </w:r>
      <w:bookmarkStart w:id="0" w:name="_GoBack"/>
      <w:bookmarkEnd w:id="0"/>
    </w:p>
    <w:p w14:paraId="291CC7F4" w14:textId="3E21C38B" w:rsidR="00E8724C" w:rsidRPr="001B322A" w:rsidRDefault="00C3657F" w:rsidP="001C3476">
      <w:pPr>
        <w:shd w:val="clear" w:color="auto" w:fill="FFFFFF"/>
        <w:spacing w:after="30" w:line="480" w:lineRule="auto"/>
        <w:ind w:firstLine="720"/>
        <w:contextualSpacing/>
        <w:rPr>
          <w:color w:val="222222"/>
        </w:rPr>
      </w:pPr>
      <w:r w:rsidRPr="001B322A">
        <w:rPr>
          <w:color w:val="222222"/>
        </w:rPr>
        <w:t xml:space="preserve">In the last few years, San Francisco </w:t>
      </w:r>
      <w:r w:rsidR="00AE30D7" w:rsidRPr="001B322A">
        <w:rPr>
          <w:color w:val="222222"/>
        </w:rPr>
        <w:t>has become</w:t>
      </w:r>
      <w:r w:rsidRPr="001B322A">
        <w:rPr>
          <w:color w:val="222222"/>
        </w:rPr>
        <w:t xml:space="preserve"> </w:t>
      </w:r>
      <w:r w:rsidR="00AE30D7" w:rsidRPr="001B322A">
        <w:rPr>
          <w:color w:val="222222"/>
        </w:rPr>
        <w:t>notorious for</w:t>
      </w:r>
      <w:r w:rsidR="00591BAE" w:rsidRPr="001B322A">
        <w:rPr>
          <w:color w:val="222222"/>
        </w:rPr>
        <w:t xml:space="preserve"> its high housing prices.</w:t>
      </w:r>
      <w:r w:rsidR="00753C03" w:rsidRPr="001B322A">
        <w:rPr>
          <w:color w:val="222222"/>
        </w:rPr>
        <w:t xml:space="preserve"> </w:t>
      </w:r>
      <w:r w:rsidR="003479B9" w:rsidRPr="001B322A">
        <w:rPr>
          <w:color w:val="222222"/>
        </w:rPr>
        <w:t xml:space="preserve">A United States District </w:t>
      </w:r>
      <w:r w:rsidR="002947CE" w:rsidRPr="001B322A">
        <w:rPr>
          <w:color w:val="222222"/>
        </w:rPr>
        <w:t>Court</w:t>
      </w:r>
      <w:r w:rsidR="003479B9" w:rsidRPr="001B322A">
        <w:rPr>
          <w:color w:val="222222"/>
        </w:rPr>
        <w:t xml:space="preserve"> wrote in 2014, “San Francisco faces an affordable housing c</w:t>
      </w:r>
      <w:r w:rsidR="00D81145" w:rsidRPr="001B322A">
        <w:rPr>
          <w:color w:val="222222"/>
        </w:rPr>
        <w:t>risis of remarkable proportions</w:t>
      </w:r>
      <w:r w:rsidR="003479B9" w:rsidRPr="001B322A">
        <w:rPr>
          <w:color w:val="222222"/>
        </w:rPr>
        <w:t>”</w:t>
      </w:r>
      <w:r w:rsidR="00D81145" w:rsidRPr="001B322A">
        <w:rPr>
          <w:color w:val="222222"/>
        </w:rPr>
        <w:t xml:space="preserve"> (</w:t>
      </w:r>
      <w:r w:rsidR="00D81145" w:rsidRPr="001B322A">
        <w:rPr>
          <w:rFonts w:eastAsia="Times New Roman"/>
          <w:color w:val="000000"/>
        </w:rPr>
        <w:t>Levin v. City and County of San Francisco).</w:t>
      </w:r>
      <w:r w:rsidRPr="001B322A">
        <w:rPr>
          <w:color w:val="222222"/>
        </w:rPr>
        <w:t xml:space="preserve"> As of January 2016, Zillow reports the median residential property price to be $1,130,400. In October 2014, the median </w:t>
      </w:r>
      <w:r w:rsidR="008E241B" w:rsidRPr="001B322A">
        <w:rPr>
          <w:color w:val="222222"/>
        </w:rPr>
        <w:t>market rent for a</w:t>
      </w:r>
      <w:r w:rsidRPr="001B322A">
        <w:rPr>
          <w:color w:val="222222"/>
        </w:rPr>
        <w:t xml:space="preserve"> one-bedroom apartment was almost $3,500</w:t>
      </w:r>
      <w:r w:rsidR="00727993" w:rsidRPr="001B322A">
        <w:rPr>
          <w:color w:val="222222"/>
        </w:rPr>
        <w:t xml:space="preserve"> (</w:t>
      </w:r>
      <w:r w:rsidR="00197D89" w:rsidRPr="001B322A">
        <w:rPr>
          <w:color w:val="222222"/>
        </w:rPr>
        <w:t>Anderson</w:t>
      </w:r>
      <w:r w:rsidR="00727993" w:rsidRPr="001B322A">
        <w:rPr>
          <w:color w:val="222222"/>
        </w:rPr>
        <w:t>)</w:t>
      </w:r>
      <w:r w:rsidR="00591BAE" w:rsidRPr="001B322A">
        <w:rPr>
          <w:color w:val="222222"/>
        </w:rPr>
        <w:t>. Five years ago in 2011</w:t>
      </w:r>
      <w:r w:rsidR="00E80BA5" w:rsidRPr="001B322A">
        <w:rPr>
          <w:color w:val="222222"/>
        </w:rPr>
        <w:t>, the median housing price was only $668,000</w:t>
      </w:r>
      <w:r w:rsidR="00505408" w:rsidRPr="001B322A">
        <w:rPr>
          <w:color w:val="222222"/>
        </w:rPr>
        <w:t xml:space="preserve"> according to Zillow</w:t>
      </w:r>
      <w:r w:rsidR="00E80BA5" w:rsidRPr="001B322A">
        <w:rPr>
          <w:color w:val="222222"/>
        </w:rPr>
        <w:t xml:space="preserve">. This </w:t>
      </w:r>
      <w:r w:rsidR="009041A0" w:rsidRPr="001B322A">
        <w:rPr>
          <w:color w:val="222222"/>
        </w:rPr>
        <w:t>is nearly a two-</w:t>
      </w:r>
      <w:r w:rsidR="00E80BA5" w:rsidRPr="001B322A">
        <w:rPr>
          <w:color w:val="222222"/>
        </w:rPr>
        <w:t>fold increase in less than a decade.</w:t>
      </w:r>
      <w:r w:rsidR="009041A0" w:rsidRPr="001B322A">
        <w:rPr>
          <w:color w:val="222222"/>
        </w:rPr>
        <w:t xml:space="preserve"> </w:t>
      </w:r>
      <w:r w:rsidR="00F33416" w:rsidRPr="001B322A">
        <w:rPr>
          <w:color w:val="222222"/>
        </w:rPr>
        <w:t>Even with a</w:t>
      </w:r>
      <w:r w:rsidR="003109B0" w:rsidRPr="001B322A">
        <w:rPr>
          <w:color w:val="222222"/>
        </w:rPr>
        <w:t xml:space="preserve"> rent of $3,500, it would take a landlord more than a decade to </w:t>
      </w:r>
      <w:r w:rsidR="00024C5A" w:rsidRPr="001B322A">
        <w:rPr>
          <w:color w:val="222222"/>
        </w:rPr>
        <w:t xml:space="preserve">accumulate </w:t>
      </w:r>
      <w:r w:rsidR="00591BAE" w:rsidRPr="001B322A">
        <w:rPr>
          <w:color w:val="222222"/>
        </w:rPr>
        <w:t>rent revenue to equal the potential profit from selling the property.</w:t>
      </w:r>
      <w:r w:rsidR="00024C5A" w:rsidRPr="001B322A">
        <w:rPr>
          <w:color w:val="222222"/>
        </w:rPr>
        <w:t xml:space="preserve"> </w:t>
      </w:r>
      <w:r w:rsidR="00A846C3" w:rsidRPr="001B322A">
        <w:rPr>
          <w:color w:val="222222"/>
        </w:rPr>
        <w:t xml:space="preserve">Unsurprisingly, landlords </w:t>
      </w:r>
      <w:r w:rsidR="00F33416" w:rsidRPr="001B322A">
        <w:rPr>
          <w:color w:val="222222"/>
        </w:rPr>
        <w:t>seem to be</w:t>
      </w:r>
      <w:r w:rsidR="00A846C3" w:rsidRPr="001B322A">
        <w:rPr>
          <w:color w:val="222222"/>
        </w:rPr>
        <w:t xml:space="preserve"> eager to put their property on the market to take advantage of the bull housing market</w:t>
      </w:r>
      <w:r w:rsidR="00F33416" w:rsidRPr="001B322A">
        <w:rPr>
          <w:color w:val="222222"/>
        </w:rPr>
        <w:t xml:space="preserve"> (Wilson)</w:t>
      </w:r>
      <w:r w:rsidR="00A846C3" w:rsidRPr="001B322A">
        <w:rPr>
          <w:color w:val="222222"/>
        </w:rPr>
        <w:t xml:space="preserve">. </w:t>
      </w:r>
      <w:r w:rsidR="00C22E51" w:rsidRPr="001B322A">
        <w:rPr>
          <w:color w:val="222222"/>
        </w:rPr>
        <w:t>However, San Francisco have some of the strictest rent and eviction controls in the state</w:t>
      </w:r>
      <w:r w:rsidR="00727993" w:rsidRPr="001B322A">
        <w:rPr>
          <w:color w:val="222222"/>
        </w:rPr>
        <w:t xml:space="preserve"> (</w:t>
      </w:r>
      <w:r w:rsidR="0044223C" w:rsidRPr="001B322A">
        <w:rPr>
          <w:color w:val="222222"/>
        </w:rPr>
        <w:t>Wilson</w:t>
      </w:r>
      <w:r w:rsidR="004D45D1" w:rsidRPr="001B322A">
        <w:rPr>
          <w:color w:val="222222"/>
        </w:rPr>
        <w:t>)</w:t>
      </w:r>
      <w:r w:rsidR="00C22E51" w:rsidRPr="001B322A">
        <w:rPr>
          <w:color w:val="222222"/>
        </w:rPr>
        <w:t>.</w:t>
      </w:r>
      <w:r w:rsidR="00D52256" w:rsidRPr="001B322A">
        <w:rPr>
          <w:color w:val="222222"/>
        </w:rPr>
        <w:t xml:space="preserve"> This paper will examine the relationship between </w:t>
      </w:r>
      <w:r w:rsidR="00F97353" w:rsidRPr="001B322A">
        <w:rPr>
          <w:color w:val="222222"/>
        </w:rPr>
        <w:t>a</w:t>
      </w:r>
      <w:r w:rsidR="00D52256" w:rsidRPr="001B322A">
        <w:rPr>
          <w:color w:val="222222"/>
        </w:rPr>
        <w:t xml:space="preserve"> unique type of evictions</w:t>
      </w:r>
      <w:r w:rsidR="00586DAE" w:rsidRPr="001B322A">
        <w:rPr>
          <w:color w:val="222222"/>
        </w:rPr>
        <w:t xml:space="preserve"> called Ellis Act w</w:t>
      </w:r>
      <w:r w:rsidR="00F97353" w:rsidRPr="001B322A">
        <w:rPr>
          <w:color w:val="222222"/>
        </w:rPr>
        <w:t>ithdrawals</w:t>
      </w:r>
      <w:r w:rsidR="00D52256" w:rsidRPr="001B322A">
        <w:rPr>
          <w:color w:val="222222"/>
        </w:rPr>
        <w:t xml:space="preserve"> and San Francisco housing prices. </w:t>
      </w:r>
    </w:p>
    <w:p w14:paraId="40D2B709" w14:textId="094500BC" w:rsidR="00361E4F" w:rsidRPr="001B322A" w:rsidRDefault="00361E4F" w:rsidP="001C3476">
      <w:pPr>
        <w:shd w:val="clear" w:color="auto" w:fill="FFFFFF"/>
        <w:spacing w:after="30" w:line="480" w:lineRule="auto"/>
        <w:ind w:firstLine="720"/>
        <w:contextualSpacing/>
        <w:rPr>
          <w:color w:val="333333"/>
        </w:rPr>
      </w:pPr>
      <w:r w:rsidRPr="001B322A">
        <w:rPr>
          <w:color w:val="333333"/>
        </w:rPr>
        <w:t xml:space="preserve">The San Francisco Rent Board enforces rent and evictions control over </w:t>
      </w:r>
      <w:r w:rsidR="00DE19B8" w:rsidRPr="001B322A">
        <w:rPr>
          <w:color w:val="333333"/>
        </w:rPr>
        <w:t>almost all</w:t>
      </w:r>
      <w:r w:rsidRPr="001B322A">
        <w:rPr>
          <w:color w:val="333333"/>
        </w:rPr>
        <w:t xml:space="preserve"> properties in San Francisc</w:t>
      </w:r>
      <w:r w:rsidR="00940A93" w:rsidRPr="001B322A">
        <w:rPr>
          <w:color w:val="333333"/>
        </w:rPr>
        <w:t>o built prior to 1979</w:t>
      </w:r>
      <w:r w:rsidR="006F356E" w:rsidRPr="001B322A">
        <w:rPr>
          <w:color w:val="333333"/>
        </w:rPr>
        <w:t xml:space="preserve"> (</w:t>
      </w:r>
      <w:r w:rsidR="006F356E" w:rsidRPr="001B322A">
        <w:t>Brousseau, “Displacement”)</w:t>
      </w:r>
      <w:r w:rsidR="00940A93" w:rsidRPr="001B322A">
        <w:rPr>
          <w:color w:val="333333"/>
        </w:rPr>
        <w:t xml:space="preserve">. </w:t>
      </w:r>
      <w:r w:rsidR="002156AA" w:rsidRPr="001B322A">
        <w:rPr>
          <w:color w:val="333333"/>
        </w:rPr>
        <w:t>According to the San Francisco’s 2008 Economic Impact Report, n</w:t>
      </w:r>
      <w:r w:rsidR="00940A93" w:rsidRPr="001B322A">
        <w:rPr>
          <w:color w:val="333333"/>
        </w:rPr>
        <w:t>early 88</w:t>
      </w:r>
      <w:r w:rsidRPr="001B322A">
        <w:rPr>
          <w:color w:val="333333"/>
        </w:rPr>
        <w:t>% of the rental properties in San Fran</w:t>
      </w:r>
      <w:r w:rsidR="00940A93" w:rsidRPr="001B322A">
        <w:rPr>
          <w:color w:val="333333"/>
        </w:rPr>
        <w:t>cisco were built prior to 1980</w:t>
      </w:r>
      <w:r w:rsidRPr="001B322A">
        <w:rPr>
          <w:color w:val="333333"/>
        </w:rPr>
        <w:t>. In these rent controlled rental properties, rent increases are limited to the annual rate allowed by the Rent Board</w:t>
      </w:r>
      <w:r w:rsidR="00940A93" w:rsidRPr="001B322A">
        <w:rPr>
          <w:color w:val="333333"/>
        </w:rPr>
        <w:t xml:space="preserve"> derived from the Bay Area Cost of Living Index (</w:t>
      </w:r>
      <w:r w:rsidR="00F83299" w:rsidRPr="001B322A">
        <w:t>Brousseau, “Displacement”</w:t>
      </w:r>
      <w:r w:rsidR="00940A93" w:rsidRPr="001B322A">
        <w:rPr>
          <w:color w:val="333333"/>
        </w:rPr>
        <w:t>)</w:t>
      </w:r>
      <w:r w:rsidR="00C5360C" w:rsidRPr="001B322A">
        <w:rPr>
          <w:color w:val="333333"/>
        </w:rPr>
        <w:t>. All e</w:t>
      </w:r>
      <w:r w:rsidRPr="001B322A">
        <w:rPr>
          <w:color w:val="333333"/>
        </w:rPr>
        <w:t>victions are strictly controlled</w:t>
      </w:r>
      <w:r w:rsidR="00C5360C" w:rsidRPr="001B322A">
        <w:rPr>
          <w:color w:val="333333"/>
        </w:rPr>
        <w:t xml:space="preserve"> for these properties</w:t>
      </w:r>
      <w:r w:rsidRPr="001B322A">
        <w:rPr>
          <w:color w:val="333333"/>
        </w:rPr>
        <w:t>, and the Rent Board classifies</w:t>
      </w:r>
      <w:r w:rsidR="0064417B" w:rsidRPr="001B322A">
        <w:rPr>
          <w:color w:val="333333"/>
        </w:rPr>
        <w:t xml:space="preserve"> just-cause</w:t>
      </w:r>
      <w:r w:rsidRPr="001B322A">
        <w:rPr>
          <w:color w:val="333333"/>
        </w:rPr>
        <w:t xml:space="preserve"> evictions into two types: For-Cause evictions, and No-Fault </w:t>
      </w:r>
      <w:r w:rsidRPr="001B322A">
        <w:rPr>
          <w:color w:val="333333"/>
        </w:rPr>
        <w:lastRenderedPageBreak/>
        <w:t>evictions</w:t>
      </w:r>
      <w:r w:rsidR="00B82D6D" w:rsidRPr="001B322A">
        <w:rPr>
          <w:color w:val="333333"/>
        </w:rPr>
        <w:t xml:space="preserve"> (</w:t>
      </w:r>
      <w:r w:rsidR="00786D5C" w:rsidRPr="001B322A">
        <w:t>Brousseau, “Displacement”</w:t>
      </w:r>
      <w:r w:rsidR="00B82D6D" w:rsidRPr="001B322A">
        <w:rPr>
          <w:color w:val="333333"/>
        </w:rPr>
        <w:t>)</w:t>
      </w:r>
      <w:r w:rsidRPr="001B322A">
        <w:rPr>
          <w:color w:val="333333"/>
        </w:rPr>
        <w:t>. For-</w:t>
      </w:r>
      <w:r w:rsidR="005C5981" w:rsidRPr="001B322A">
        <w:rPr>
          <w:color w:val="333333"/>
        </w:rPr>
        <w:t>C</w:t>
      </w:r>
      <w:r w:rsidRPr="001B322A">
        <w:rPr>
          <w:color w:val="333333"/>
        </w:rPr>
        <w:t xml:space="preserve">ause evictions include evictions for non-payment, breach of contract, nuisance, illegal use, unapproved subtenant, etc. No-fault evictions include Ellis Act withdrawals, owner move-ins, condo conversions, development, demolitions, etc. </w:t>
      </w:r>
      <w:r w:rsidR="00586DAE" w:rsidRPr="001B322A">
        <w:rPr>
          <w:color w:val="333333"/>
        </w:rPr>
        <w:t xml:space="preserve">Ellis Act withdrawals have a unique history in California legal history. </w:t>
      </w:r>
    </w:p>
    <w:p w14:paraId="0757D2DE" w14:textId="14A9C1C6" w:rsidR="007F0982" w:rsidRPr="001B322A" w:rsidRDefault="007F0982" w:rsidP="001C3476">
      <w:pPr>
        <w:pStyle w:val="Heading2"/>
        <w:contextualSpacing/>
      </w:pPr>
      <w:r w:rsidRPr="001B322A">
        <w:t>Ellis Act History</w:t>
      </w:r>
    </w:p>
    <w:p w14:paraId="79B5B25B" w14:textId="79B2D13A" w:rsidR="0081164F" w:rsidRPr="001B322A" w:rsidRDefault="006428A8" w:rsidP="001C3476">
      <w:pPr>
        <w:shd w:val="clear" w:color="auto" w:fill="FFFFFF"/>
        <w:spacing w:after="30" w:line="480" w:lineRule="auto"/>
        <w:ind w:firstLine="720"/>
        <w:contextualSpacing/>
      </w:pPr>
      <w:r w:rsidRPr="001B322A">
        <w:rPr>
          <w:color w:val="222222"/>
        </w:rPr>
        <w:t xml:space="preserve">In 1984, </w:t>
      </w:r>
      <w:r w:rsidR="004F203F" w:rsidRPr="001B322A">
        <w:rPr>
          <w:color w:val="222222"/>
        </w:rPr>
        <w:t>t</w:t>
      </w:r>
      <w:r w:rsidR="00086F16" w:rsidRPr="001B322A">
        <w:rPr>
          <w:color w:val="222222"/>
        </w:rPr>
        <w:t>h</w:t>
      </w:r>
      <w:r w:rsidR="00D262BE" w:rsidRPr="001B322A">
        <w:rPr>
          <w:color w:val="222222"/>
        </w:rPr>
        <w:t>e city of Santa Monica passed a city</w:t>
      </w:r>
      <w:r w:rsidR="00086F16" w:rsidRPr="001B322A">
        <w:rPr>
          <w:color w:val="222222"/>
        </w:rPr>
        <w:t xml:space="preserve"> ordinance to require </w:t>
      </w:r>
      <w:r w:rsidR="00623B37" w:rsidRPr="001B322A">
        <w:rPr>
          <w:color w:val="222222"/>
        </w:rPr>
        <w:t>landlords to apply for a permit prior to a property’s withdrawal from the rental market</w:t>
      </w:r>
      <w:r w:rsidR="00086F16" w:rsidRPr="001B322A">
        <w:rPr>
          <w:color w:val="222222"/>
        </w:rPr>
        <w:t>.</w:t>
      </w:r>
      <w:r w:rsidR="00C5360C" w:rsidRPr="001B322A">
        <w:rPr>
          <w:color w:val="222222"/>
        </w:rPr>
        <w:t xml:space="preserve"> The city ordinance was</w:t>
      </w:r>
      <w:r w:rsidR="00AA6A9F" w:rsidRPr="001B322A">
        <w:rPr>
          <w:color w:val="222222"/>
        </w:rPr>
        <w:t xml:space="preserve"> passed</w:t>
      </w:r>
      <w:r w:rsidR="00C5360C" w:rsidRPr="001B322A">
        <w:rPr>
          <w:color w:val="222222"/>
        </w:rPr>
        <w:t xml:space="preserve"> in response to a large increase in condo conversions that removed many rental properties from the market</w:t>
      </w:r>
      <w:r w:rsidR="00071613" w:rsidRPr="001B322A">
        <w:rPr>
          <w:color w:val="222222"/>
        </w:rPr>
        <w:t xml:space="preserve"> (Green)</w:t>
      </w:r>
      <w:r w:rsidR="00C5360C" w:rsidRPr="001B322A">
        <w:rPr>
          <w:color w:val="222222"/>
        </w:rPr>
        <w:t>.</w:t>
      </w:r>
      <w:r w:rsidR="00DC3312" w:rsidRPr="001B322A">
        <w:rPr>
          <w:color w:val="222222"/>
        </w:rPr>
        <w:t xml:space="preserve"> If the tenant </w:t>
      </w:r>
      <w:r w:rsidR="006E3F9D" w:rsidRPr="001B322A">
        <w:rPr>
          <w:color w:val="222222"/>
        </w:rPr>
        <w:t>had</w:t>
      </w:r>
      <w:r w:rsidR="00AA6A9F" w:rsidRPr="001B322A">
        <w:rPr>
          <w:color w:val="222222"/>
        </w:rPr>
        <w:t xml:space="preserve"> income</w:t>
      </w:r>
      <w:r w:rsidR="006E3F9D" w:rsidRPr="001B322A">
        <w:rPr>
          <w:color w:val="222222"/>
        </w:rPr>
        <w:t xml:space="preserve"> below a certain income threshold, the permit to evict the tenant would not be approved. </w:t>
      </w:r>
      <w:r w:rsidR="00C5360C" w:rsidRPr="001B322A">
        <w:rPr>
          <w:color w:val="222222"/>
        </w:rPr>
        <w:t xml:space="preserve"> </w:t>
      </w:r>
      <w:r w:rsidR="006E3F9D" w:rsidRPr="001B322A">
        <w:rPr>
          <w:color w:val="222222"/>
        </w:rPr>
        <w:t>Joseph Nash owned a property in Santa Monica at the time, and he initially filed for a permit to remove his property from the market. However, he eventually sued the City in lieu of getting a permit approval</w:t>
      </w:r>
      <w:r w:rsidR="00AA6A9F" w:rsidRPr="001B322A">
        <w:rPr>
          <w:color w:val="222222"/>
        </w:rPr>
        <w:t xml:space="preserve"> in</w:t>
      </w:r>
      <w:r w:rsidR="006E3F9D" w:rsidRPr="001B322A">
        <w:rPr>
          <w:color w:val="222222"/>
        </w:rPr>
        <w:t xml:space="preserve"> </w:t>
      </w:r>
      <w:r w:rsidR="006E3F9D" w:rsidRPr="001B322A">
        <w:rPr>
          <w:i/>
          <w:color w:val="222222"/>
        </w:rPr>
        <w:t>Nash v. City of Santa Monica</w:t>
      </w:r>
      <w:r w:rsidR="006E3F9D" w:rsidRPr="001B322A">
        <w:rPr>
          <w:color w:val="222222"/>
        </w:rPr>
        <w:t>. Nash argued that the City placed an unfair burden on property owners’ rights to capitalize on their investment if they cannot regain control over their property</w:t>
      </w:r>
      <w:r w:rsidR="00071613" w:rsidRPr="001B322A">
        <w:rPr>
          <w:color w:val="222222"/>
        </w:rPr>
        <w:t xml:space="preserve"> (Castillo)</w:t>
      </w:r>
      <w:r w:rsidR="006E3F9D" w:rsidRPr="001B322A">
        <w:rPr>
          <w:color w:val="222222"/>
        </w:rPr>
        <w:t xml:space="preserve">. </w:t>
      </w:r>
      <w:r w:rsidR="00D262BE" w:rsidRPr="001B322A">
        <w:rPr>
          <w:color w:val="222222"/>
        </w:rPr>
        <w:t xml:space="preserve"> </w:t>
      </w:r>
      <w:r w:rsidR="00086F16" w:rsidRPr="001B322A">
        <w:rPr>
          <w:color w:val="222222"/>
        </w:rPr>
        <w:t>The California Supreme Court upheld the</w:t>
      </w:r>
      <w:r w:rsidR="006E3F9D" w:rsidRPr="001B322A">
        <w:rPr>
          <w:color w:val="222222"/>
        </w:rPr>
        <w:t xml:space="preserve"> ordinance citing the public welfare of the City’s ordinance was greater than the burden on Nash’s rights as a landowner</w:t>
      </w:r>
      <w:r w:rsidR="00071613" w:rsidRPr="001B322A">
        <w:rPr>
          <w:color w:val="222222"/>
        </w:rPr>
        <w:t xml:space="preserve"> (Castillo)</w:t>
      </w:r>
      <w:r w:rsidR="006E3F9D" w:rsidRPr="001B322A">
        <w:rPr>
          <w:color w:val="222222"/>
        </w:rPr>
        <w:t>.</w:t>
      </w:r>
      <w:r w:rsidR="00086F16" w:rsidRPr="001B322A">
        <w:rPr>
          <w:color w:val="222222"/>
        </w:rPr>
        <w:t xml:space="preserve"> Looki</w:t>
      </w:r>
      <w:r w:rsidR="006906C6" w:rsidRPr="001B322A">
        <w:rPr>
          <w:color w:val="222222"/>
        </w:rPr>
        <w:t>ng for a remedy against</w:t>
      </w:r>
      <w:r w:rsidRPr="001B322A">
        <w:rPr>
          <w:color w:val="222222"/>
        </w:rPr>
        <w:t xml:space="preserve"> ruling precedent,</w:t>
      </w:r>
      <w:r w:rsidR="008D7816" w:rsidRPr="001B322A">
        <w:rPr>
          <w:color w:val="222222"/>
        </w:rPr>
        <w:t xml:space="preserve"> California</w:t>
      </w:r>
      <w:r w:rsidRPr="001B322A">
        <w:rPr>
          <w:color w:val="222222"/>
        </w:rPr>
        <w:t xml:space="preserve"> </w:t>
      </w:r>
      <w:r w:rsidR="006906C6" w:rsidRPr="001B322A">
        <w:rPr>
          <w:color w:val="222222"/>
        </w:rPr>
        <w:t xml:space="preserve">State </w:t>
      </w:r>
      <w:r w:rsidRPr="001B322A">
        <w:rPr>
          <w:color w:val="222222"/>
        </w:rPr>
        <w:t>Senator</w:t>
      </w:r>
      <w:r w:rsidR="008964EF" w:rsidRPr="001B322A">
        <w:rPr>
          <w:color w:val="222222"/>
        </w:rPr>
        <w:t xml:space="preserve"> Jim</w:t>
      </w:r>
      <w:r w:rsidRPr="001B322A">
        <w:rPr>
          <w:color w:val="222222"/>
        </w:rPr>
        <w:t xml:space="preserve"> Ellis</w:t>
      </w:r>
      <w:r w:rsidR="006906C6" w:rsidRPr="001B322A">
        <w:rPr>
          <w:color w:val="222222"/>
        </w:rPr>
        <w:t xml:space="preserve"> (R-San Diego)</w:t>
      </w:r>
      <w:r w:rsidRPr="001B322A">
        <w:rPr>
          <w:color w:val="222222"/>
        </w:rPr>
        <w:t xml:space="preserve"> introduced legislation guaranteeing property owners</w:t>
      </w:r>
      <w:r w:rsidR="00031DED" w:rsidRPr="001B322A">
        <w:rPr>
          <w:color w:val="222222"/>
        </w:rPr>
        <w:t>’</w:t>
      </w:r>
      <w:r w:rsidRPr="001B322A">
        <w:rPr>
          <w:color w:val="222222"/>
        </w:rPr>
        <w:t xml:space="preserve"> right to withdraw from the rental market</w:t>
      </w:r>
      <w:r w:rsidR="00071613" w:rsidRPr="001B322A">
        <w:rPr>
          <w:color w:val="222222"/>
        </w:rPr>
        <w:t xml:space="preserve"> (Castillo)</w:t>
      </w:r>
      <w:r w:rsidRPr="001B322A">
        <w:rPr>
          <w:color w:val="222222"/>
        </w:rPr>
        <w:t>.</w:t>
      </w:r>
      <w:r w:rsidR="00C7184D" w:rsidRPr="001B322A">
        <w:rPr>
          <w:color w:val="222222"/>
        </w:rPr>
        <w:t xml:space="preserve"> </w:t>
      </w:r>
      <w:r w:rsidR="00531795" w:rsidRPr="001B322A">
        <w:rPr>
          <w:color w:val="222222"/>
        </w:rPr>
        <w:t>The</w:t>
      </w:r>
      <w:r w:rsidR="00C7184D" w:rsidRPr="001B322A">
        <w:rPr>
          <w:color w:val="222222"/>
        </w:rPr>
        <w:t xml:space="preserve"> legislation, named after Senator </w:t>
      </w:r>
      <w:r w:rsidR="00BA1107" w:rsidRPr="001B322A">
        <w:rPr>
          <w:color w:val="222222"/>
        </w:rPr>
        <w:t>Ellis, was</w:t>
      </w:r>
      <w:r w:rsidR="00A30515" w:rsidRPr="001B322A">
        <w:rPr>
          <w:color w:val="222222"/>
        </w:rPr>
        <w:t xml:space="preserve"> passed</w:t>
      </w:r>
      <w:r w:rsidR="00531795" w:rsidRPr="001B322A">
        <w:rPr>
          <w:color w:val="222222"/>
        </w:rPr>
        <w:t xml:space="preserve"> by the California legislature </w:t>
      </w:r>
      <w:r w:rsidR="00A30515" w:rsidRPr="001B322A">
        <w:rPr>
          <w:color w:val="222222"/>
        </w:rPr>
        <w:t xml:space="preserve">and signed </w:t>
      </w:r>
      <w:r w:rsidR="003B6D4A" w:rsidRPr="001B322A">
        <w:rPr>
          <w:color w:val="222222"/>
        </w:rPr>
        <w:t>by the governor in 1986</w:t>
      </w:r>
      <w:r w:rsidR="00531795" w:rsidRPr="001B322A">
        <w:rPr>
          <w:color w:val="222222"/>
        </w:rPr>
        <w:t>.</w:t>
      </w:r>
      <w:r w:rsidR="00031DED" w:rsidRPr="001B322A">
        <w:rPr>
          <w:color w:val="222222"/>
        </w:rPr>
        <w:t xml:space="preserve"> The current Ellis Act allows landlords to evict tenants</w:t>
      </w:r>
      <w:r w:rsidR="00693EBB" w:rsidRPr="001B322A">
        <w:rPr>
          <w:color w:val="222222"/>
        </w:rPr>
        <w:t xml:space="preserve"> without</w:t>
      </w:r>
      <w:r w:rsidR="00031DED" w:rsidRPr="001B322A">
        <w:rPr>
          <w:color w:val="222222"/>
        </w:rPr>
        <w:t xml:space="preserve"> cause as long as their property</w:t>
      </w:r>
      <w:r w:rsidR="007F2CD7" w:rsidRPr="001B322A">
        <w:t xml:space="preserve"> remain off the rental market for a period of five years, unless the property is offered back to the original tenant at the same rent</w:t>
      </w:r>
      <w:r w:rsidR="00071613" w:rsidRPr="001B322A">
        <w:t xml:space="preserve"> </w:t>
      </w:r>
      <w:r w:rsidR="00071613" w:rsidRPr="001B322A">
        <w:rPr>
          <w:color w:val="333333"/>
        </w:rPr>
        <w:t>(</w:t>
      </w:r>
      <w:r w:rsidR="00071613" w:rsidRPr="001B322A">
        <w:t>Brousseau, “Displacement”</w:t>
      </w:r>
      <w:r w:rsidR="00071613" w:rsidRPr="001B322A">
        <w:rPr>
          <w:color w:val="333333"/>
        </w:rPr>
        <w:t>)</w:t>
      </w:r>
      <w:r w:rsidR="007F2CD7" w:rsidRPr="001B322A">
        <w:t xml:space="preserve">. </w:t>
      </w:r>
    </w:p>
    <w:p w14:paraId="120F1446" w14:textId="1AB326D4" w:rsidR="0086608F" w:rsidRPr="001B322A" w:rsidRDefault="0081164F" w:rsidP="001C3476">
      <w:pPr>
        <w:shd w:val="clear" w:color="auto" w:fill="FFFFFF"/>
        <w:spacing w:after="30" w:line="480" w:lineRule="auto"/>
        <w:ind w:firstLine="720"/>
        <w:contextualSpacing/>
      </w:pPr>
      <w:r w:rsidRPr="001B322A">
        <w:t>In San Francisco, the San Francisco Rent Board requires</w:t>
      </w:r>
      <w:r w:rsidR="00AA6A9F" w:rsidRPr="001B322A">
        <w:t xml:space="preserve"> landlords to provide</w:t>
      </w:r>
      <w:r w:rsidRPr="001B322A">
        <w:t xml:space="preserve"> relocation payments to the existing tenant if the property owner decides to evict the tenants under </w:t>
      </w:r>
      <w:r w:rsidR="00AA6A9F" w:rsidRPr="001B322A">
        <w:t>any evictions under the</w:t>
      </w:r>
      <w:r w:rsidRPr="001B322A">
        <w:t xml:space="preserve"> No-Fault category</w:t>
      </w:r>
      <w:r w:rsidR="00026C33" w:rsidRPr="001B322A">
        <w:t xml:space="preserve"> </w:t>
      </w:r>
      <w:r w:rsidR="00026C33" w:rsidRPr="001B322A">
        <w:rPr>
          <w:color w:val="333333"/>
        </w:rPr>
        <w:t>(</w:t>
      </w:r>
      <w:r w:rsidR="00026C33" w:rsidRPr="001B322A">
        <w:t>Brousseau, “Displacement”</w:t>
      </w:r>
      <w:r w:rsidR="00026C33" w:rsidRPr="001B322A">
        <w:rPr>
          <w:color w:val="333333"/>
        </w:rPr>
        <w:t>)</w:t>
      </w:r>
      <w:r w:rsidRPr="001B322A">
        <w:t xml:space="preserve">. </w:t>
      </w:r>
      <w:r w:rsidR="0086608F" w:rsidRPr="001B322A">
        <w:rPr>
          <w:color w:val="333333"/>
        </w:rPr>
        <w:t>For Ellis Act withdrawals, the relocation payment can be anywhere from five thousand dollars to fifteen thousand dollars</w:t>
      </w:r>
      <w:r w:rsidR="00026C33" w:rsidRPr="001B322A">
        <w:rPr>
          <w:color w:val="333333"/>
        </w:rPr>
        <w:t xml:space="preserve"> (Wilson)</w:t>
      </w:r>
      <w:r w:rsidR="0086608F" w:rsidRPr="001B322A">
        <w:rPr>
          <w:color w:val="333333"/>
        </w:rPr>
        <w:t>. In 2014, San Francisco City Supervisor</w:t>
      </w:r>
      <w:r w:rsidR="00995B56" w:rsidRPr="001B322A">
        <w:rPr>
          <w:color w:val="333333"/>
        </w:rPr>
        <w:t xml:space="preserve"> David</w:t>
      </w:r>
      <w:r w:rsidR="0086608F" w:rsidRPr="001B322A">
        <w:rPr>
          <w:color w:val="333333"/>
        </w:rPr>
        <w:t xml:space="preserve"> Campos </w:t>
      </w:r>
      <w:r w:rsidR="004A1923" w:rsidRPr="001B322A">
        <w:rPr>
          <w:color w:val="333333"/>
        </w:rPr>
        <w:t>successfully passed a new city ordinance to increase the relocation payment for Ellis Act withdrawals</w:t>
      </w:r>
      <w:r w:rsidR="00FC270A" w:rsidRPr="001B322A">
        <w:rPr>
          <w:color w:val="333333"/>
        </w:rPr>
        <w:t xml:space="preserve"> (Wilson)</w:t>
      </w:r>
      <w:r w:rsidR="004A1923" w:rsidRPr="001B322A">
        <w:rPr>
          <w:color w:val="333333"/>
        </w:rPr>
        <w:t xml:space="preserve">. The new ordinance would require the landlord to pay the difference between the existing rent and current </w:t>
      </w:r>
      <w:r w:rsidR="0039674A" w:rsidRPr="001B322A">
        <w:rPr>
          <w:color w:val="333333"/>
        </w:rPr>
        <w:t xml:space="preserve">market </w:t>
      </w:r>
      <w:r w:rsidR="004A1923" w:rsidRPr="001B322A">
        <w:rPr>
          <w:color w:val="333333"/>
        </w:rPr>
        <w:t>rent for a similar property for a period of two years</w:t>
      </w:r>
      <w:r w:rsidR="00F42A01" w:rsidRPr="001B322A">
        <w:rPr>
          <w:color w:val="333333"/>
        </w:rPr>
        <w:t>, increasing</w:t>
      </w:r>
      <w:r w:rsidR="009C43ED" w:rsidRPr="001B322A">
        <w:rPr>
          <w:color w:val="333333"/>
        </w:rPr>
        <w:t xml:space="preserve"> relocation payments for Ellis Act withdrawals signi</w:t>
      </w:r>
      <w:r w:rsidR="004D695C" w:rsidRPr="001B322A">
        <w:rPr>
          <w:color w:val="333333"/>
        </w:rPr>
        <w:t xml:space="preserve">ficantly, upwards of forty-four </w:t>
      </w:r>
      <w:r w:rsidR="009C43ED" w:rsidRPr="001B322A">
        <w:rPr>
          <w:color w:val="333333"/>
        </w:rPr>
        <w:t>thousand dollars</w:t>
      </w:r>
      <w:r w:rsidR="00C57B17" w:rsidRPr="001B322A">
        <w:rPr>
          <w:color w:val="333333"/>
        </w:rPr>
        <w:t xml:space="preserve"> (Wilson)</w:t>
      </w:r>
      <w:r w:rsidR="009C43ED" w:rsidRPr="001B322A">
        <w:rPr>
          <w:color w:val="333333"/>
        </w:rPr>
        <w:t>.</w:t>
      </w:r>
      <w:r w:rsidR="00845475" w:rsidRPr="001B322A">
        <w:rPr>
          <w:color w:val="333333"/>
        </w:rPr>
        <w:t xml:space="preserve"> </w:t>
      </w:r>
      <w:r w:rsidR="004A1923" w:rsidRPr="001B322A">
        <w:rPr>
          <w:color w:val="333333"/>
        </w:rPr>
        <w:t xml:space="preserve">This new city ordinance resulted in a lawsuit against the City, </w:t>
      </w:r>
      <w:r w:rsidR="004A1923" w:rsidRPr="001B322A">
        <w:rPr>
          <w:i/>
          <w:color w:val="333333"/>
        </w:rPr>
        <w:t>Lenin v. City and County of San Francisco</w:t>
      </w:r>
      <w:r w:rsidR="004A1923" w:rsidRPr="001B322A">
        <w:rPr>
          <w:color w:val="333333"/>
        </w:rPr>
        <w:t>, in whi</w:t>
      </w:r>
      <w:r w:rsidR="00564E4D" w:rsidRPr="001B322A">
        <w:rPr>
          <w:color w:val="333333"/>
        </w:rPr>
        <w:t>ch a</w:t>
      </w:r>
      <w:r w:rsidR="004A1923" w:rsidRPr="001B322A">
        <w:rPr>
          <w:color w:val="333333"/>
        </w:rPr>
        <w:t xml:space="preserve"> United States District Court ruled the ordinance unconstitutional in vi</w:t>
      </w:r>
      <w:r w:rsidR="002E0D2B" w:rsidRPr="001B322A">
        <w:rPr>
          <w:color w:val="333333"/>
        </w:rPr>
        <w:t>olation of the Fifth Amendme</w:t>
      </w:r>
      <w:r w:rsidR="00D14F77" w:rsidRPr="001B322A">
        <w:rPr>
          <w:color w:val="333333"/>
        </w:rPr>
        <w:t>nt.</w:t>
      </w:r>
      <w:r w:rsidR="00E3244D" w:rsidRPr="001B322A">
        <w:rPr>
          <w:color w:val="333333"/>
        </w:rPr>
        <w:t xml:space="preserve"> During Supervisor Campos’s campaign for the city </w:t>
      </w:r>
      <w:r w:rsidR="009E4CD0" w:rsidRPr="001B322A">
        <w:rPr>
          <w:color w:val="333333"/>
        </w:rPr>
        <w:t>ordinance</w:t>
      </w:r>
      <w:r w:rsidR="00E3244D" w:rsidRPr="001B322A">
        <w:rPr>
          <w:color w:val="333333"/>
        </w:rPr>
        <w:t>, he ordered a series of policy reports from the Board of Supervisors’ Budget and Legis</w:t>
      </w:r>
      <w:r w:rsidR="009E4CD0" w:rsidRPr="001B322A">
        <w:rPr>
          <w:color w:val="333333"/>
        </w:rPr>
        <w:t xml:space="preserve">lative Analyst about tenant displacement and Ellis Act evictions in San Francisco. </w:t>
      </w:r>
      <w:r w:rsidR="009B4011" w:rsidRPr="001B322A">
        <w:rPr>
          <w:color w:val="333333"/>
        </w:rPr>
        <w:t xml:space="preserve">In these reports, Fred </w:t>
      </w:r>
      <w:r w:rsidR="009B4011" w:rsidRPr="001B322A">
        <w:t xml:space="preserve">Brousseau concluded there seems to be a relationship between the number of Ellis Act withdrawals and the increase in housing value in San Francisco. In a very small </w:t>
      </w:r>
      <w:r w:rsidR="00E04CD9" w:rsidRPr="001B322A">
        <w:t>and unrepresentative sample</w:t>
      </w:r>
      <w:r w:rsidR="009B4011" w:rsidRPr="001B322A">
        <w:t xml:space="preserve"> of 15 Ellis Act withdrawals, Brousseau estimated the average profit from the sale of </w:t>
      </w:r>
      <w:r w:rsidR="009167B0" w:rsidRPr="001B322A">
        <w:t>a</w:t>
      </w:r>
      <w:r w:rsidR="009B4011" w:rsidRPr="001B322A">
        <w:t xml:space="preserve"> property that underwent an Ellis Act withdrawal to be $1,545,949 from 2004 to 2014 (Brousseau, “Ellis Profits”).</w:t>
      </w:r>
    </w:p>
    <w:p w14:paraId="6DBCC342" w14:textId="7D9BA4EC" w:rsidR="00B957FB" w:rsidRPr="001B322A" w:rsidRDefault="00B957FB" w:rsidP="001C3476">
      <w:pPr>
        <w:pStyle w:val="Heading2"/>
        <w:contextualSpacing/>
      </w:pPr>
      <w:r w:rsidRPr="001B322A">
        <w:t>Theory</w:t>
      </w:r>
    </w:p>
    <w:p w14:paraId="7B0F7D60" w14:textId="63521164" w:rsidR="0086608F" w:rsidRPr="001B322A" w:rsidRDefault="00531795" w:rsidP="001C3476">
      <w:pPr>
        <w:shd w:val="clear" w:color="auto" w:fill="FFFFFF"/>
        <w:spacing w:line="480" w:lineRule="auto"/>
        <w:ind w:firstLine="720"/>
        <w:contextualSpacing/>
        <w:rPr>
          <w:b/>
          <w:bCs/>
          <w:color w:val="222222"/>
        </w:rPr>
      </w:pPr>
      <w:r w:rsidRPr="001B322A">
        <w:rPr>
          <w:color w:val="222222"/>
        </w:rPr>
        <w:t>San Francisco Mayor Ed Lee said in 2013, “To truly curb and prevent these speculative evictions, we need to seek a change or exemption in state law” (</w:t>
      </w:r>
      <w:r w:rsidRPr="001B322A">
        <w:t xml:space="preserve">Coté and Lagos). </w:t>
      </w:r>
      <w:r w:rsidRPr="001B322A">
        <w:rPr>
          <w:color w:val="222222"/>
        </w:rPr>
        <w:t xml:space="preserve">To examine the issue more closely, I ask the question: </w:t>
      </w:r>
      <w:r w:rsidRPr="001B322A">
        <w:rPr>
          <w:b/>
          <w:bCs/>
          <w:color w:val="222222"/>
        </w:rPr>
        <w:t>Do San Francisco property owners issue Ellis Act withdrawal notices to speculate on the rise of property prices in the near future?</w:t>
      </w:r>
    </w:p>
    <w:p w14:paraId="0588F342" w14:textId="7E24DC7A" w:rsidR="00531795" w:rsidRDefault="00531795" w:rsidP="001C3476">
      <w:pPr>
        <w:shd w:val="clear" w:color="auto" w:fill="FFFFFF"/>
        <w:spacing w:line="480" w:lineRule="auto"/>
        <w:ind w:firstLine="720"/>
        <w:contextualSpacing/>
        <w:rPr>
          <w:bCs/>
          <w:color w:val="222222"/>
        </w:rPr>
      </w:pPr>
      <w:r w:rsidRPr="001B322A">
        <w:rPr>
          <w:bCs/>
          <w:color w:val="222222"/>
        </w:rPr>
        <w:t xml:space="preserve">My theory is property owners do use Ellis Act evictions to speculate on the rise of property prices. Ellis Act evictions require a minimum notice period of 120 days. The independent variable would be the filing of an Ellis Act withdrawal notice. The dependent variable would be the price of the property after the 120-day period. </w:t>
      </w:r>
      <w:r w:rsidR="00765104">
        <w:rPr>
          <w:bCs/>
          <w:color w:val="222222"/>
        </w:rPr>
        <w:t xml:space="preserve">To test this theory, I will be using different iterations of multivariable </w:t>
      </w:r>
      <w:r w:rsidR="000C248C">
        <w:rPr>
          <w:bCs/>
          <w:color w:val="222222"/>
        </w:rPr>
        <w:t>linear regression.</w:t>
      </w:r>
    </w:p>
    <w:p w14:paraId="6900C89D" w14:textId="1DFDE79D" w:rsidR="00E03200" w:rsidRPr="00E03200" w:rsidRDefault="00E03200" w:rsidP="00E03200">
      <w:pPr>
        <w:pStyle w:val="Heading2"/>
        <w:contextualSpacing/>
      </w:pPr>
      <w:r w:rsidRPr="001B322A">
        <w:t>Data</w:t>
      </w:r>
    </w:p>
    <w:p w14:paraId="7843EA78" w14:textId="123C8D72" w:rsidR="004B67DE" w:rsidRPr="001B322A" w:rsidRDefault="00531795" w:rsidP="001C3476">
      <w:pPr>
        <w:shd w:val="clear" w:color="auto" w:fill="FFFFFF"/>
        <w:spacing w:after="30" w:line="480" w:lineRule="auto"/>
        <w:ind w:firstLine="720"/>
        <w:contextualSpacing/>
        <w:rPr>
          <w:color w:val="333333"/>
        </w:rPr>
      </w:pPr>
      <w:r w:rsidRPr="001B322A">
        <w:rPr>
          <w:color w:val="333333"/>
        </w:rPr>
        <w:t>To test my theory, I will be using the following data sets. The San Francisco Rent Board provides data on all filed evictions notices from January 1, 1997 to the present (</w:t>
      </w:r>
      <w:r w:rsidRPr="001B322A">
        <w:rPr>
          <w:rFonts w:eastAsia="Times New Roman"/>
          <w:color w:val="000000"/>
        </w:rPr>
        <w:t>"Eviction Notice</w:t>
      </w:r>
      <w:r w:rsidRPr="001B322A">
        <w:rPr>
          <w:rFonts w:eastAsia="Times New Roman"/>
          <w:color w:val="000000" w:themeColor="text1"/>
        </w:rPr>
        <w:t>s"</w:t>
      </w:r>
      <w:r w:rsidRPr="001B322A">
        <w:rPr>
          <w:color w:val="000000" w:themeColor="text1"/>
        </w:rPr>
        <w:t xml:space="preserve">). </w:t>
      </w:r>
      <w:r w:rsidRPr="001B322A">
        <w:rPr>
          <w:color w:val="333333"/>
        </w:rPr>
        <w:t>Zillow provides a time series of</w:t>
      </w:r>
      <w:r w:rsidRPr="001B322A">
        <w:t xml:space="preserve"> adjusted Median Home Values for specific neighborhoods </w:t>
      </w:r>
      <w:r w:rsidR="00CC7D2B" w:rsidRPr="001B322A">
        <w:t>and cities in the United States</w:t>
      </w:r>
      <w:r w:rsidRPr="001B322A">
        <w:rPr>
          <w:color w:val="333333"/>
        </w:rPr>
        <w:t xml:space="preserve"> </w:t>
      </w:r>
      <w:r w:rsidRPr="001B322A">
        <w:t>(</w:t>
      </w:r>
      <w:r w:rsidRPr="001B322A">
        <w:rPr>
          <w:rFonts w:eastAsia="Times New Roman"/>
          <w:color w:val="000000"/>
        </w:rPr>
        <w:t>"Neighborhood ZHVI All Homes."</w:t>
      </w:r>
      <w:r w:rsidR="00CC7D2B" w:rsidRPr="001B322A">
        <w:rPr>
          <w:rFonts w:eastAsia="Times New Roman"/>
          <w:color w:val="000000"/>
        </w:rPr>
        <w:t>; "City ZHVI All Homes."</w:t>
      </w:r>
      <w:r w:rsidRPr="001B322A">
        <w:t>).</w:t>
      </w:r>
      <w:r w:rsidRPr="001B322A">
        <w:rPr>
          <w:color w:val="333333"/>
        </w:rPr>
        <w:t xml:space="preserve"> </w:t>
      </w:r>
      <w:r w:rsidRPr="001B322A">
        <w:t xml:space="preserve">I will also be using Zillow’s open source Neighborhood Shapefiles to assign the corresponding neighborhood to the evictions data provided by the San Francisco Rent Board </w:t>
      </w:r>
      <w:r w:rsidRPr="001B322A">
        <w:rPr>
          <w:color w:val="333333"/>
        </w:rPr>
        <w:t>(</w:t>
      </w:r>
      <w:r w:rsidRPr="001B322A">
        <w:rPr>
          <w:rFonts w:eastAsia="Times New Roman"/>
          <w:color w:val="000000"/>
        </w:rPr>
        <w:t>"Zillow Neighborhood Boundaries”</w:t>
      </w:r>
      <w:r w:rsidRPr="001B322A">
        <w:rPr>
          <w:color w:val="333333"/>
        </w:rPr>
        <w:t xml:space="preserve">). </w:t>
      </w:r>
      <w:r w:rsidR="00473D56" w:rsidRPr="001B322A">
        <w:rPr>
          <w:color w:val="333333"/>
        </w:rPr>
        <w:t xml:space="preserve">Lastly, I will be using a monthly unemployment </w:t>
      </w:r>
      <w:r w:rsidR="00CE208F" w:rsidRPr="001B322A">
        <w:rPr>
          <w:color w:val="333333"/>
        </w:rPr>
        <w:t>statistic from</w:t>
      </w:r>
      <w:r w:rsidR="00473D56" w:rsidRPr="001B322A">
        <w:rPr>
          <w:color w:val="333333"/>
        </w:rPr>
        <w:t xml:space="preserve"> the Department of Labor to address a possible confounder. </w:t>
      </w:r>
    </w:p>
    <w:p w14:paraId="6FC89853" w14:textId="68680FD6" w:rsidR="000F2158" w:rsidRPr="001B322A" w:rsidRDefault="004B67DE" w:rsidP="001C3476">
      <w:pPr>
        <w:shd w:val="clear" w:color="auto" w:fill="FFFFFF"/>
        <w:spacing w:after="30" w:line="480" w:lineRule="auto"/>
        <w:ind w:firstLine="720"/>
        <w:contextualSpacing/>
        <w:rPr>
          <w:color w:val="333333"/>
        </w:rPr>
      </w:pPr>
      <w:r w:rsidRPr="001B322A">
        <w:rPr>
          <w:color w:val="333333"/>
        </w:rPr>
        <w:t xml:space="preserve">First, let’s look at the data sets separately and the information they convey. Zillow’s median housing value data provides a great picture for the history of San Francisco’s housing market. </w:t>
      </w:r>
      <w:r w:rsidR="000F2158" w:rsidRPr="001B322A">
        <w:rPr>
          <w:color w:val="333333"/>
        </w:rPr>
        <w:t xml:space="preserve">You can notice the significant increase in home value from 2010 to the present. </w:t>
      </w:r>
    </w:p>
    <w:p w14:paraId="320EEB51" w14:textId="52A5268F" w:rsidR="004B67DE" w:rsidRPr="001B322A" w:rsidRDefault="0033403E" w:rsidP="0033403E">
      <w:pPr>
        <w:shd w:val="clear" w:color="auto" w:fill="FFFFFF"/>
        <w:spacing w:after="30" w:line="480" w:lineRule="auto"/>
        <w:contextualSpacing/>
        <w:rPr>
          <w:color w:val="333333"/>
        </w:rPr>
      </w:pPr>
      <w:r w:rsidRPr="001B322A">
        <w:rPr>
          <w:color w:val="333333"/>
        </w:rPr>
        <w:drawing>
          <wp:inline distT="0" distB="0" distL="0" distR="0" wp14:anchorId="126082EE" wp14:editId="1B8BA713">
            <wp:extent cx="29718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nPrice.pdf"/>
                    <pic:cNvPicPr/>
                  </pic:nvPicPr>
                  <pic:blipFill>
                    <a:blip r:embed="rId6">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sidRPr="001B322A">
        <w:rPr>
          <w:color w:val="333333"/>
        </w:rPr>
        <w:drawing>
          <wp:inline distT="0" distB="0" distL="0" distR="0" wp14:anchorId="24C52586" wp14:editId="3A3D5CE6">
            <wp:extent cx="29718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lisCount.pdf"/>
                    <pic:cNvPicPr/>
                  </pic:nvPicPr>
                  <pic:blipFill>
                    <a:blip r:embed="rId7">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44F2093" w14:textId="369A7C7D" w:rsidR="004B67DE" w:rsidRPr="001B322A" w:rsidRDefault="004B67DE" w:rsidP="001C3476">
      <w:pPr>
        <w:shd w:val="clear" w:color="auto" w:fill="FFFFFF"/>
        <w:spacing w:after="30" w:line="480" w:lineRule="auto"/>
        <w:ind w:firstLine="720"/>
        <w:contextualSpacing/>
        <w:rPr>
          <w:color w:val="333333"/>
        </w:rPr>
      </w:pPr>
    </w:p>
    <w:p w14:paraId="37EDD6C1" w14:textId="4A318F57" w:rsidR="007171A6" w:rsidRDefault="004B67DE" w:rsidP="007171A6">
      <w:pPr>
        <w:shd w:val="clear" w:color="auto" w:fill="FFFFFF"/>
        <w:spacing w:after="30" w:line="480" w:lineRule="auto"/>
        <w:contextualSpacing/>
        <w:rPr>
          <w:color w:val="333333"/>
        </w:rPr>
      </w:pPr>
      <w:r w:rsidRPr="001B322A">
        <w:rPr>
          <w:color w:val="333333"/>
        </w:rPr>
        <w:tab/>
        <w:t>Next</w:t>
      </w:r>
      <w:r w:rsidR="0033403E">
        <w:rPr>
          <w:color w:val="333333"/>
        </w:rPr>
        <w:t>,</w:t>
      </w:r>
      <w:r w:rsidRPr="001B322A">
        <w:rPr>
          <w:color w:val="333333"/>
        </w:rPr>
        <w:t xml:space="preserve"> we can look a</w:t>
      </w:r>
      <w:r w:rsidR="007171A6" w:rsidRPr="001B322A">
        <w:rPr>
          <w:color w:val="333333"/>
        </w:rPr>
        <w:t>t the general trend of eviction notices</w:t>
      </w:r>
      <w:r w:rsidRPr="001B322A">
        <w:rPr>
          <w:color w:val="333333"/>
        </w:rPr>
        <w:t xml:space="preserve"> in San Francisco, separated by the two categories of evictions: </w:t>
      </w:r>
      <w:r w:rsidR="000C22D3" w:rsidRPr="001B322A">
        <w:rPr>
          <w:color w:val="333333"/>
        </w:rPr>
        <w:t xml:space="preserve">No-Fault, and For-Cause (Fault). </w:t>
      </w:r>
      <w:r w:rsidR="008145FA" w:rsidRPr="001B322A">
        <w:rPr>
          <w:color w:val="333333"/>
        </w:rPr>
        <w:t>You can clearly see the</w:t>
      </w:r>
      <w:r w:rsidR="007171A6" w:rsidRPr="001B322A">
        <w:rPr>
          <w:color w:val="333333"/>
        </w:rPr>
        <w:t xml:space="preserve"> amount of eviction notices</w:t>
      </w:r>
      <w:r w:rsidR="008145FA" w:rsidRPr="001B322A">
        <w:rPr>
          <w:color w:val="333333"/>
        </w:rPr>
        <w:t xml:space="preserve"> to </w:t>
      </w:r>
      <w:r w:rsidR="001B322A" w:rsidRPr="001B322A">
        <w:rPr>
          <w:color w:val="333333"/>
        </w:rPr>
        <w:t>fluctuate</w:t>
      </w:r>
      <w:r w:rsidR="008145FA" w:rsidRPr="001B322A">
        <w:rPr>
          <w:color w:val="333333"/>
        </w:rPr>
        <w:t xml:space="preserve"> over time. </w:t>
      </w:r>
      <w:r w:rsidR="007171A6" w:rsidRPr="001B322A">
        <w:rPr>
          <w:color w:val="333333"/>
        </w:rPr>
        <w:t xml:space="preserve">In the data there are 34,802 eviction notices from January 1997 to </w:t>
      </w:r>
      <w:r w:rsidR="001B322A" w:rsidRPr="001B322A">
        <w:rPr>
          <w:color w:val="333333"/>
        </w:rPr>
        <w:t>December</w:t>
      </w:r>
      <w:r w:rsidR="007171A6" w:rsidRPr="001B322A">
        <w:rPr>
          <w:color w:val="333333"/>
        </w:rPr>
        <w:t xml:space="preserve"> 2015, over a period of almost 19 years. </w:t>
      </w:r>
      <w:r w:rsidR="008145FA" w:rsidRPr="001B322A">
        <w:rPr>
          <w:color w:val="333333"/>
        </w:rPr>
        <w:t>As you can see</w:t>
      </w:r>
      <w:r w:rsidR="00EE6196" w:rsidRPr="001B322A">
        <w:rPr>
          <w:color w:val="333333"/>
        </w:rPr>
        <w:t xml:space="preserve">, </w:t>
      </w:r>
      <w:r w:rsidR="008145FA" w:rsidRPr="001B322A">
        <w:rPr>
          <w:color w:val="333333"/>
        </w:rPr>
        <w:t>El</w:t>
      </w:r>
      <w:r w:rsidR="00912CD5" w:rsidRPr="001B322A">
        <w:rPr>
          <w:color w:val="333333"/>
        </w:rPr>
        <w:t xml:space="preserve">lis Act withdrawals </w:t>
      </w:r>
      <w:r w:rsidR="00EE6196" w:rsidRPr="001B322A">
        <w:rPr>
          <w:color w:val="333333"/>
        </w:rPr>
        <w:t>do consis</w:t>
      </w:r>
      <w:r w:rsidR="008145FA" w:rsidRPr="001B322A">
        <w:rPr>
          <w:color w:val="333333"/>
        </w:rPr>
        <w:t>t of a relative small proportion of all</w:t>
      </w:r>
      <w:r w:rsidR="00EE6196" w:rsidRPr="001B322A">
        <w:rPr>
          <w:color w:val="333333"/>
        </w:rPr>
        <w:t xml:space="preserve"> No-Fault</w:t>
      </w:r>
      <w:r w:rsidR="007171A6" w:rsidRPr="001B322A">
        <w:rPr>
          <w:color w:val="333333"/>
        </w:rPr>
        <w:t xml:space="preserve"> eviction notices</w:t>
      </w:r>
      <w:r w:rsidR="008145FA" w:rsidRPr="001B322A">
        <w:rPr>
          <w:color w:val="333333"/>
        </w:rPr>
        <w:t xml:space="preserve"> in general. </w:t>
      </w:r>
      <w:r w:rsidR="007171A6" w:rsidRPr="001B322A">
        <w:rPr>
          <w:color w:val="333333"/>
        </w:rPr>
        <w:t xml:space="preserve">There were 17,589 No-Fault eviction notices during the time period, and 3,358 of those eviction notices were Ellis Act withdrawals notices. </w:t>
      </w:r>
      <w:r w:rsidR="009D116E" w:rsidRPr="001B322A">
        <w:rPr>
          <w:color w:val="333333"/>
        </w:rPr>
        <w:t>This is ro</w:t>
      </w:r>
      <w:r w:rsidR="006907C9" w:rsidRPr="001B322A">
        <w:rPr>
          <w:color w:val="333333"/>
        </w:rPr>
        <w:t>u</w:t>
      </w:r>
      <w:r w:rsidR="009D116E" w:rsidRPr="001B322A">
        <w:rPr>
          <w:color w:val="333333"/>
        </w:rPr>
        <w:t>ghly 9.65% of all eviction</w:t>
      </w:r>
      <w:r w:rsidR="006907C9" w:rsidRPr="001B322A">
        <w:rPr>
          <w:color w:val="333333"/>
        </w:rPr>
        <w:t xml:space="preserve"> notices</w:t>
      </w:r>
      <w:r w:rsidR="009D116E" w:rsidRPr="001B322A">
        <w:rPr>
          <w:color w:val="333333"/>
        </w:rPr>
        <w:t>, or 19.1% of</w:t>
      </w:r>
      <w:r w:rsidR="001B322A">
        <w:rPr>
          <w:color w:val="333333"/>
        </w:rPr>
        <w:t xml:space="preserve"> all</w:t>
      </w:r>
      <w:r w:rsidR="009D116E" w:rsidRPr="001B322A">
        <w:rPr>
          <w:color w:val="333333"/>
        </w:rPr>
        <w:t xml:space="preserve"> No-Fault evictions notices</w:t>
      </w:r>
      <w:r w:rsidR="001B322A">
        <w:rPr>
          <w:color w:val="333333"/>
        </w:rPr>
        <w:t>.</w:t>
      </w:r>
    </w:p>
    <w:p w14:paraId="025958B6" w14:textId="2EA1A348" w:rsidR="00A61CE1" w:rsidRDefault="00A61CE1" w:rsidP="007171A6">
      <w:pPr>
        <w:shd w:val="clear" w:color="auto" w:fill="FFFFFF"/>
        <w:spacing w:after="30" w:line="480" w:lineRule="auto"/>
        <w:contextualSpacing/>
        <w:rPr>
          <w:color w:val="333333"/>
        </w:rPr>
      </w:pPr>
      <w:r w:rsidRPr="001B322A">
        <w:rPr>
          <w:color w:val="333333"/>
        </w:rPr>
        <w:drawing>
          <wp:inline distT="0" distB="0" distL="0" distR="0" wp14:anchorId="37CFE2E8" wp14:editId="275CAC2A">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ictionsCount.pdf"/>
                    <pic:cNvPicPr/>
                  </pic:nvPicPr>
                  <pic:blipFill>
                    <a:blip r:embed="rId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sidRPr="001B322A">
        <w:rPr>
          <w:color w:val="333333"/>
        </w:rPr>
        <w:drawing>
          <wp:inline distT="0" distB="0" distL="0" distR="0" wp14:anchorId="0A01C0ED" wp14:editId="6CFD67E0">
            <wp:extent cx="29718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FaultsCount.pdf"/>
                    <pic:cNvPicPr/>
                  </pic:nvPicPr>
                  <pic:blipFill>
                    <a:blip r:embed="rId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CD7CEF3" w14:textId="77777777" w:rsidR="00FC69C1" w:rsidRDefault="00FC69C1" w:rsidP="007171A6">
      <w:pPr>
        <w:shd w:val="clear" w:color="auto" w:fill="FFFFFF"/>
        <w:spacing w:after="30" w:line="480" w:lineRule="auto"/>
        <w:contextualSpacing/>
        <w:rPr>
          <w:color w:val="333333"/>
        </w:rPr>
      </w:pPr>
    </w:p>
    <w:p w14:paraId="3E2B0762" w14:textId="77777777" w:rsidR="00FC69C1" w:rsidRDefault="00FC69C1" w:rsidP="007171A6">
      <w:pPr>
        <w:shd w:val="clear" w:color="auto" w:fill="FFFFFF"/>
        <w:spacing w:after="30" w:line="480" w:lineRule="auto"/>
        <w:contextualSpacing/>
        <w:rPr>
          <w:color w:val="333333"/>
        </w:rPr>
      </w:pPr>
    </w:p>
    <w:p w14:paraId="13C722E8" w14:textId="77777777" w:rsidR="00FC69C1" w:rsidRDefault="00FC69C1" w:rsidP="007171A6">
      <w:pPr>
        <w:shd w:val="clear" w:color="auto" w:fill="FFFFFF"/>
        <w:spacing w:after="30" w:line="480" w:lineRule="auto"/>
        <w:contextualSpacing/>
        <w:rPr>
          <w:color w:val="333333"/>
        </w:rPr>
      </w:pPr>
    </w:p>
    <w:p w14:paraId="5992CBC3" w14:textId="77777777" w:rsidR="00FC69C1" w:rsidRDefault="00FC69C1" w:rsidP="007171A6">
      <w:pPr>
        <w:shd w:val="clear" w:color="auto" w:fill="FFFFFF"/>
        <w:spacing w:after="30" w:line="480" w:lineRule="auto"/>
        <w:contextualSpacing/>
        <w:rPr>
          <w:color w:val="333333"/>
        </w:rPr>
      </w:pPr>
    </w:p>
    <w:p w14:paraId="6F9FDB7E" w14:textId="77777777" w:rsidR="00FC69C1" w:rsidRDefault="00FC69C1" w:rsidP="007171A6">
      <w:pPr>
        <w:shd w:val="clear" w:color="auto" w:fill="FFFFFF"/>
        <w:spacing w:after="30" w:line="480" w:lineRule="auto"/>
        <w:contextualSpacing/>
        <w:rPr>
          <w:color w:val="333333"/>
        </w:rPr>
      </w:pPr>
    </w:p>
    <w:p w14:paraId="62B460F0" w14:textId="77777777" w:rsidR="00FC69C1" w:rsidRDefault="00FC69C1" w:rsidP="007171A6">
      <w:pPr>
        <w:shd w:val="clear" w:color="auto" w:fill="FFFFFF"/>
        <w:spacing w:after="30" w:line="480" w:lineRule="auto"/>
        <w:contextualSpacing/>
        <w:rPr>
          <w:color w:val="333333"/>
        </w:rPr>
      </w:pPr>
    </w:p>
    <w:p w14:paraId="5C0DC02E" w14:textId="3CF7D43E" w:rsidR="00FC69C1" w:rsidRDefault="00FC69C1" w:rsidP="007171A6">
      <w:pPr>
        <w:shd w:val="clear" w:color="auto" w:fill="FFFFFF"/>
        <w:spacing w:after="30" w:line="480" w:lineRule="auto"/>
        <w:contextualSpacing/>
        <w:rPr>
          <w:color w:val="333333"/>
        </w:rPr>
      </w:pPr>
      <w:r>
        <w:rPr>
          <w:color w:val="333333"/>
        </w:rPr>
        <w:t>Putting the housing value graph and Ellis Act eviction notices graph side-by-side, there does not seem to be an obvious relation:</w:t>
      </w:r>
    </w:p>
    <w:p w14:paraId="71B22317" w14:textId="35552B70" w:rsidR="00FC69C1" w:rsidRDefault="00FC69C1" w:rsidP="007171A6">
      <w:pPr>
        <w:shd w:val="clear" w:color="auto" w:fill="FFFFFF"/>
        <w:spacing w:after="30" w:line="480" w:lineRule="auto"/>
        <w:contextualSpacing/>
        <w:rPr>
          <w:color w:val="333333"/>
        </w:rPr>
      </w:pPr>
      <w:r w:rsidRPr="001B322A">
        <w:rPr>
          <w:color w:val="333333"/>
        </w:rPr>
        <w:drawing>
          <wp:inline distT="0" distB="0" distL="0" distR="0" wp14:anchorId="43EAA515" wp14:editId="1BCBEE99">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lisCount.pdf"/>
                    <pic:cNvPicPr/>
                  </pic:nvPicPr>
                  <pic:blipFill>
                    <a:blip r:embed="rId7">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sidRPr="001B322A">
        <w:rPr>
          <w:color w:val="333333"/>
        </w:rPr>
        <w:drawing>
          <wp:inline distT="0" distB="0" distL="0" distR="0" wp14:anchorId="1F70401B" wp14:editId="30580C2C">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nPrice.pdf"/>
                    <pic:cNvPicPr/>
                  </pic:nvPicPr>
                  <pic:blipFill>
                    <a:blip r:embed="rId6">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bl>
      <w:tblPr>
        <w:tblW w:w="10075" w:type="dxa"/>
        <w:tblLook w:val="04A0" w:firstRow="1" w:lastRow="0" w:firstColumn="1" w:lastColumn="0" w:noHBand="0" w:noVBand="1"/>
      </w:tblPr>
      <w:tblGrid>
        <w:gridCol w:w="1435"/>
        <w:gridCol w:w="864"/>
        <w:gridCol w:w="864"/>
        <w:gridCol w:w="864"/>
        <w:gridCol w:w="864"/>
        <w:gridCol w:w="864"/>
        <w:gridCol w:w="864"/>
        <w:gridCol w:w="864"/>
        <w:gridCol w:w="864"/>
        <w:gridCol w:w="864"/>
        <w:gridCol w:w="864"/>
      </w:tblGrid>
      <w:tr w:rsidR="00752A8A" w14:paraId="34194D4A" w14:textId="77777777" w:rsidTr="00752A8A">
        <w:trPr>
          <w:trHeight w:val="32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C6F95" w14:textId="77777777" w:rsidR="00752A8A" w:rsidRDefault="00752A8A">
            <w:pPr>
              <w:rPr>
                <w:rFonts w:ascii="Calibri" w:eastAsia="Times New Roman" w:hAnsi="Calibri"/>
                <w:color w:val="000000"/>
              </w:rPr>
            </w:pPr>
            <w:r>
              <w:rPr>
                <w:rFonts w:ascii="Calibri" w:eastAsia="Times New Roman" w:hAnsi="Calibri"/>
                <w:color w:val="000000"/>
              </w:rPr>
              <w:t>Year</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1FB16552" w14:textId="77777777" w:rsidR="00752A8A" w:rsidRDefault="00752A8A">
            <w:pPr>
              <w:jc w:val="right"/>
              <w:rPr>
                <w:rFonts w:ascii="Calibri" w:eastAsia="Times New Roman" w:hAnsi="Calibri"/>
                <w:color w:val="000000"/>
              </w:rPr>
            </w:pPr>
            <w:r>
              <w:rPr>
                <w:rFonts w:ascii="Calibri" w:eastAsia="Times New Roman" w:hAnsi="Calibri"/>
                <w:color w:val="000000"/>
              </w:rPr>
              <w:t>1997</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7388CB7C" w14:textId="77777777" w:rsidR="00752A8A" w:rsidRDefault="00752A8A">
            <w:pPr>
              <w:jc w:val="right"/>
              <w:rPr>
                <w:rFonts w:ascii="Calibri" w:eastAsia="Times New Roman" w:hAnsi="Calibri"/>
                <w:color w:val="000000"/>
              </w:rPr>
            </w:pPr>
            <w:r>
              <w:rPr>
                <w:rFonts w:ascii="Calibri" w:eastAsia="Times New Roman" w:hAnsi="Calibri"/>
                <w:color w:val="000000"/>
              </w:rPr>
              <w:t>1998</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61F345F0" w14:textId="77777777" w:rsidR="00752A8A" w:rsidRDefault="00752A8A">
            <w:pPr>
              <w:jc w:val="right"/>
              <w:rPr>
                <w:rFonts w:ascii="Calibri" w:eastAsia="Times New Roman" w:hAnsi="Calibri"/>
                <w:color w:val="000000"/>
              </w:rPr>
            </w:pPr>
            <w:r>
              <w:rPr>
                <w:rFonts w:ascii="Calibri" w:eastAsia="Times New Roman" w:hAnsi="Calibri"/>
                <w:color w:val="000000"/>
              </w:rPr>
              <w:t>1999</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4CCEE59F" w14:textId="77777777" w:rsidR="00752A8A" w:rsidRDefault="00752A8A">
            <w:pPr>
              <w:jc w:val="right"/>
              <w:rPr>
                <w:rFonts w:ascii="Calibri" w:eastAsia="Times New Roman" w:hAnsi="Calibri"/>
                <w:color w:val="000000"/>
              </w:rPr>
            </w:pPr>
            <w:r>
              <w:rPr>
                <w:rFonts w:ascii="Calibri" w:eastAsia="Times New Roman" w:hAnsi="Calibri"/>
                <w:color w:val="000000"/>
              </w:rPr>
              <w:t>2000</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84BF202" w14:textId="77777777" w:rsidR="00752A8A" w:rsidRDefault="00752A8A">
            <w:pPr>
              <w:jc w:val="right"/>
              <w:rPr>
                <w:rFonts w:ascii="Calibri" w:eastAsia="Times New Roman" w:hAnsi="Calibri"/>
                <w:color w:val="000000"/>
              </w:rPr>
            </w:pPr>
            <w:r>
              <w:rPr>
                <w:rFonts w:ascii="Calibri" w:eastAsia="Times New Roman" w:hAnsi="Calibri"/>
                <w:color w:val="000000"/>
              </w:rPr>
              <w:t>2001</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4900A1F" w14:textId="77777777" w:rsidR="00752A8A" w:rsidRDefault="00752A8A">
            <w:pPr>
              <w:jc w:val="right"/>
              <w:rPr>
                <w:rFonts w:ascii="Calibri" w:eastAsia="Times New Roman" w:hAnsi="Calibri"/>
                <w:color w:val="000000"/>
              </w:rPr>
            </w:pPr>
            <w:r>
              <w:rPr>
                <w:rFonts w:ascii="Calibri" w:eastAsia="Times New Roman" w:hAnsi="Calibri"/>
                <w:color w:val="000000"/>
              </w:rPr>
              <w:t>2002</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4E12778" w14:textId="77777777" w:rsidR="00752A8A" w:rsidRDefault="00752A8A">
            <w:pPr>
              <w:jc w:val="right"/>
              <w:rPr>
                <w:rFonts w:ascii="Calibri" w:eastAsia="Times New Roman" w:hAnsi="Calibri"/>
                <w:color w:val="000000"/>
              </w:rPr>
            </w:pPr>
            <w:r>
              <w:rPr>
                <w:rFonts w:ascii="Calibri" w:eastAsia="Times New Roman" w:hAnsi="Calibri"/>
                <w:color w:val="000000"/>
              </w:rPr>
              <w:t>2003</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CB40920" w14:textId="77777777" w:rsidR="00752A8A" w:rsidRDefault="00752A8A">
            <w:pPr>
              <w:jc w:val="right"/>
              <w:rPr>
                <w:rFonts w:ascii="Calibri" w:eastAsia="Times New Roman" w:hAnsi="Calibri"/>
                <w:color w:val="000000"/>
              </w:rPr>
            </w:pPr>
            <w:r>
              <w:rPr>
                <w:rFonts w:ascii="Calibri" w:eastAsia="Times New Roman" w:hAnsi="Calibri"/>
                <w:color w:val="000000"/>
              </w:rPr>
              <w:t>2004</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61CEE4FE" w14:textId="77777777" w:rsidR="00752A8A" w:rsidRDefault="00752A8A">
            <w:pPr>
              <w:jc w:val="right"/>
              <w:rPr>
                <w:rFonts w:ascii="Calibri" w:eastAsia="Times New Roman" w:hAnsi="Calibri"/>
                <w:color w:val="000000"/>
              </w:rPr>
            </w:pPr>
            <w:r>
              <w:rPr>
                <w:rFonts w:ascii="Calibri" w:eastAsia="Times New Roman" w:hAnsi="Calibri"/>
                <w:color w:val="000000"/>
              </w:rPr>
              <w:t>2005</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933D258" w14:textId="77777777" w:rsidR="00752A8A" w:rsidRDefault="00752A8A">
            <w:pPr>
              <w:jc w:val="right"/>
              <w:rPr>
                <w:rFonts w:ascii="Calibri" w:eastAsia="Times New Roman" w:hAnsi="Calibri"/>
                <w:color w:val="000000"/>
              </w:rPr>
            </w:pPr>
            <w:r>
              <w:rPr>
                <w:rFonts w:ascii="Calibri" w:eastAsia="Times New Roman" w:hAnsi="Calibri"/>
                <w:color w:val="000000"/>
              </w:rPr>
              <w:t>2006</w:t>
            </w:r>
          </w:p>
        </w:tc>
      </w:tr>
      <w:tr w:rsidR="00752A8A" w14:paraId="078BE4AC"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9B6E91F" w14:textId="77777777" w:rsidR="00752A8A" w:rsidRDefault="00752A8A">
            <w:pPr>
              <w:rPr>
                <w:rFonts w:ascii="Calibri" w:eastAsia="Times New Roman" w:hAnsi="Calibri"/>
                <w:color w:val="000000"/>
              </w:rPr>
            </w:pPr>
            <w:r>
              <w:rPr>
                <w:rFonts w:ascii="Calibri" w:eastAsia="Times New Roman" w:hAnsi="Calibri"/>
                <w:color w:val="000000"/>
              </w:rPr>
              <w:t>All Evictions</w:t>
            </w:r>
          </w:p>
        </w:tc>
        <w:tc>
          <w:tcPr>
            <w:tcW w:w="864" w:type="dxa"/>
            <w:tcBorders>
              <w:top w:val="nil"/>
              <w:left w:val="nil"/>
              <w:bottom w:val="single" w:sz="4" w:space="0" w:color="auto"/>
              <w:right w:val="single" w:sz="4" w:space="0" w:color="auto"/>
            </w:tcBorders>
            <w:shd w:val="clear" w:color="auto" w:fill="auto"/>
            <w:noWrap/>
            <w:vAlign w:val="bottom"/>
            <w:hideMark/>
          </w:tcPr>
          <w:p w14:paraId="091A30EB" w14:textId="77777777" w:rsidR="00752A8A" w:rsidRDefault="00752A8A">
            <w:pPr>
              <w:jc w:val="right"/>
              <w:rPr>
                <w:rFonts w:ascii="Calibri" w:eastAsia="Times New Roman" w:hAnsi="Calibri"/>
                <w:color w:val="000000"/>
              </w:rPr>
            </w:pPr>
            <w:r>
              <w:rPr>
                <w:rFonts w:ascii="Calibri" w:eastAsia="Times New Roman" w:hAnsi="Calibri"/>
                <w:color w:val="000000"/>
              </w:rPr>
              <w:t>2561</w:t>
            </w:r>
          </w:p>
        </w:tc>
        <w:tc>
          <w:tcPr>
            <w:tcW w:w="864" w:type="dxa"/>
            <w:tcBorders>
              <w:top w:val="nil"/>
              <w:left w:val="nil"/>
              <w:bottom w:val="single" w:sz="4" w:space="0" w:color="auto"/>
              <w:right w:val="single" w:sz="4" w:space="0" w:color="auto"/>
            </w:tcBorders>
            <w:shd w:val="clear" w:color="auto" w:fill="auto"/>
            <w:noWrap/>
            <w:vAlign w:val="bottom"/>
            <w:hideMark/>
          </w:tcPr>
          <w:p w14:paraId="4CD35501" w14:textId="77777777" w:rsidR="00752A8A" w:rsidRDefault="00752A8A">
            <w:pPr>
              <w:jc w:val="right"/>
              <w:rPr>
                <w:rFonts w:ascii="Calibri" w:eastAsia="Times New Roman" w:hAnsi="Calibri"/>
                <w:color w:val="000000"/>
              </w:rPr>
            </w:pPr>
            <w:r>
              <w:rPr>
                <w:rFonts w:ascii="Calibri" w:eastAsia="Times New Roman" w:hAnsi="Calibri"/>
                <w:color w:val="000000"/>
              </w:rPr>
              <w:t>2930</w:t>
            </w:r>
          </w:p>
        </w:tc>
        <w:tc>
          <w:tcPr>
            <w:tcW w:w="864" w:type="dxa"/>
            <w:tcBorders>
              <w:top w:val="nil"/>
              <w:left w:val="nil"/>
              <w:bottom w:val="single" w:sz="4" w:space="0" w:color="auto"/>
              <w:right w:val="single" w:sz="4" w:space="0" w:color="auto"/>
            </w:tcBorders>
            <w:shd w:val="clear" w:color="auto" w:fill="auto"/>
            <w:noWrap/>
            <w:vAlign w:val="bottom"/>
            <w:hideMark/>
          </w:tcPr>
          <w:p w14:paraId="6270D297" w14:textId="77777777" w:rsidR="00752A8A" w:rsidRDefault="00752A8A">
            <w:pPr>
              <w:jc w:val="right"/>
              <w:rPr>
                <w:rFonts w:ascii="Calibri" w:eastAsia="Times New Roman" w:hAnsi="Calibri"/>
                <w:color w:val="000000"/>
              </w:rPr>
            </w:pPr>
            <w:r>
              <w:rPr>
                <w:rFonts w:ascii="Calibri" w:eastAsia="Times New Roman" w:hAnsi="Calibri"/>
                <w:color w:val="000000"/>
              </w:rPr>
              <w:t>2632</w:t>
            </w:r>
          </w:p>
        </w:tc>
        <w:tc>
          <w:tcPr>
            <w:tcW w:w="864" w:type="dxa"/>
            <w:tcBorders>
              <w:top w:val="nil"/>
              <w:left w:val="nil"/>
              <w:bottom w:val="single" w:sz="4" w:space="0" w:color="auto"/>
              <w:right w:val="single" w:sz="4" w:space="0" w:color="auto"/>
            </w:tcBorders>
            <w:shd w:val="clear" w:color="auto" w:fill="auto"/>
            <w:noWrap/>
            <w:vAlign w:val="bottom"/>
            <w:hideMark/>
          </w:tcPr>
          <w:p w14:paraId="1D4BD2C9" w14:textId="77777777" w:rsidR="00752A8A" w:rsidRDefault="00752A8A">
            <w:pPr>
              <w:jc w:val="right"/>
              <w:rPr>
                <w:rFonts w:ascii="Calibri" w:eastAsia="Times New Roman" w:hAnsi="Calibri"/>
                <w:color w:val="000000"/>
              </w:rPr>
            </w:pPr>
            <w:r>
              <w:rPr>
                <w:rFonts w:ascii="Calibri" w:eastAsia="Times New Roman" w:hAnsi="Calibri"/>
                <w:color w:val="000000"/>
              </w:rPr>
              <w:t>2574</w:t>
            </w:r>
          </w:p>
        </w:tc>
        <w:tc>
          <w:tcPr>
            <w:tcW w:w="864" w:type="dxa"/>
            <w:tcBorders>
              <w:top w:val="nil"/>
              <w:left w:val="nil"/>
              <w:bottom w:val="single" w:sz="4" w:space="0" w:color="auto"/>
              <w:right w:val="single" w:sz="4" w:space="0" w:color="auto"/>
            </w:tcBorders>
            <w:shd w:val="clear" w:color="auto" w:fill="auto"/>
            <w:noWrap/>
            <w:vAlign w:val="bottom"/>
            <w:hideMark/>
          </w:tcPr>
          <w:p w14:paraId="00E21A07" w14:textId="77777777" w:rsidR="00752A8A" w:rsidRDefault="00752A8A">
            <w:pPr>
              <w:jc w:val="right"/>
              <w:rPr>
                <w:rFonts w:ascii="Calibri" w:eastAsia="Times New Roman" w:hAnsi="Calibri"/>
                <w:color w:val="000000"/>
              </w:rPr>
            </w:pPr>
            <w:r>
              <w:rPr>
                <w:rFonts w:ascii="Calibri" w:eastAsia="Times New Roman" w:hAnsi="Calibri"/>
                <w:color w:val="000000"/>
              </w:rPr>
              <w:t>2183</w:t>
            </w:r>
          </w:p>
        </w:tc>
        <w:tc>
          <w:tcPr>
            <w:tcW w:w="864" w:type="dxa"/>
            <w:tcBorders>
              <w:top w:val="nil"/>
              <w:left w:val="nil"/>
              <w:bottom w:val="single" w:sz="4" w:space="0" w:color="auto"/>
              <w:right w:val="single" w:sz="4" w:space="0" w:color="auto"/>
            </w:tcBorders>
            <w:shd w:val="clear" w:color="auto" w:fill="auto"/>
            <w:noWrap/>
            <w:vAlign w:val="bottom"/>
            <w:hideMark/>
          </w:tcPr>
          <w:p w14:paraId="7D0D2A13" w14:textId="77777777" w:rsidR="00752A8A" w:rsidRDefault="00752A8A">
            <w:pPr>
              <w:jc w:val="right"/>
              <w:rPr>
                <w:rFonts w:ascii="Calibri" w:eastAsia="Times New Roman" w:hAnsi="Calibri"/>
                <w:color w:val="000000"/>
              </w:rPr>
            </w:pPr>
            <w:r>
              <w:rPr>
                <w:rFonts w:ascii="Calibri" w:eastAsia="Times New Roman" w:hAnsi="Calibri"/>
                <w:color w:val="000000"/>
              </w:rPr>
              <w:t>1660</w:t>
            </w:r>
          </w:p>
        </w:tc>
        <w:tc>
          <w:tcPr>
            <w:tcW w:w="864" w:type="dxa"/>
            <w:tcBorders>
              <w:top w:val="nil"/>
              <w:left w:val="nil"/>
              <w:bottom w:val="single" w:sz="4" w:space="0" w:color="auto"/>
              <w:right w:val="single" w:sz="4" w:space="0" w:color="auto"/>
            </w:tcBorders>
            <w:shd w:val="clear" w:color="auto" w:fill="auto"/>
            <w:noWrap/>
            <w:vAlign w:val="bottom"/>
            <w:hideMark/>
          </w:tcPr>
          <w:p w14:paraId="7D140932" w14:textId="77777777" w:rsidR="00752A8A" w:rsidRDefault="00752A8A">
            <w:pPr>
              <w:jc w:val="right"/>
              <w:rPr>
                <w:rFonts w:ascii="Calibri" w:eastAsia="Times New Roman" w:hAnsi="Calibri"/>
                <w:color w:val="000000"/>
              </w:rPr>
            </w:pPr>
            <w:r>
              <w:rPr>
                <w:rFonts w:ascii="Calibri" w:eastAsia="Times New Roman" w:hAnsi="Calibri"/>
                <w:color w:val="000000"/>
              </w:rPr>
              <w:t>1522</w:t>
            </w:r>
          </w:p>
        </w:tc>
        <w:tc>
          <w:tcPr>
            <w:tcW w:w="864" w:type="dxa"/>
            <w:tcBorders>
              <w:top w:val="nil"/>
              <w:left w:val="nil"/>
              <w:bottom w:val="single" w:sz="4" w:space="0" w:color="auto"/>
              <w:right w:val="single" w:sz="4" w:space="0" w:color="auto"/>
            </w:tcBorders>
            <w:shd w:val="clear" w:color="auto" w:fill="auto"/>
            <w:noWrap/>
            <w:vAlign w:val="bottom"/>
            <w:hideMark/>
          </w:tcPr>
          <w:p w14:paraId="04B1B6EF" w14:textId="77777777" w:rsidR="00752A8A" w:rsidRDefault="00752A8A">
            <w:pPr>
              <w:jc w:val="right"/>
              <w:rPr>
                <w:rFonts w:ascii="Calibri" w:eastAsia="Times New Roman" w:hAnsi="Calibri"/>
                <w:color w:val="000000"/>
              </w:rPr>
            </w:pPr>
            <w:r>
              <w:rPr>
                <w:rFonts w:ascii="Calibri" w:eastAsia="Times New Roman" w:hAnsi="Calibri"/>
                <w:color w:val="000000"/>
              </w:rPr>
              <w:t>1441</w:t>
            </w:r>
          </w:p>
        </w:tc>
        <w:tc>
          <w:tcPr>
            <w:tcW w:w="864" w:type="dxa"/>
            <w:tcBorders>
              <w:top w:val="nil"/>
              <w:left w:val="nil"/>
              <w:bottom w:val="single" w:sz="4" w:space="0" w:color="auto"/>
              <w:right w:val="single" w:sz="4" w:space="0" w:color="auto"/>
            </w:tcBorders>
            <w:shd w:val="clear" w:color="auto" w:fill="auto"/>
            <w:noWrap/>
            <w:vAlign w:val="bottom"/>
            <w:hideMark/>
          </w:tcPr>
          <w:p w14:paraId="30C3945D" w14:textId="77777777" w:rsidR="00752A8A" w:rsidRDefault="00752A8A">
            <w:pPr>
              <w:jc w:val="right"/>
              <w:rPr>
                <w:rFonts w:ascii="Calibri" w:eastAsia="Times New Roman" w:hAnsi="Calibri"/>
                <w:color w:val="000000"/>
              </w:rPr>
            </w:pPr>
            <w:r>
              <w:rPr>
                <w:rFonts w:ascii="Calibri" w:eastAsia="Times New Roman" w:hAnsi="Calibri"/>
                <w:color w:val="000000"/>
              </w:rPr>
              <w:t>1540</w:t>
            </w:r>
          </w:p>
        </w:tc>
        <w:tc>
          <w:tcPr>
            <w:tcW w:w="864" w:type="dxa"/>
            <w:tcBorders>
              <w:top w:val="nil"/>
              <w:left w:val="nil"/>
              <w:bottom w:val="single" w:sz="4" w:space="0" w:color="auto"/>
              <w:right w:val="single" w:sz="4" w:space="0" w:color="auto"/>
            </w:tcBorders>
            <w:shd w:val="clear" w:color="auto" w:fill="auto"/>
            <w:noWrap/>
            <w:vAlign w:val="bottom"/>
            <w:hideMark/>
          </w:tcPr>
          <w:p w14:paraId="5A1F8DB3" w14:textId="77777777" w:rsidR="00752A8A" w:rsidRDefault="00752A8A">
            <w:pPr>
              <w:jc w:val="right"/>
              <w:rPr>
                <w:rFonts w:ascii="Calibri" w:eastAsia="Times New Roman" w:hAnsi="Calibri"/>
                <w:color w:val="000000"/>
              </w:rPr>
            </w:pPr>
            <w:r>
              <w:rPr>
                <w:rFonts w:ascii="Calibri" w:eastAsia="Times New Roman" w:hAnsi="Calibri"/>
                <w:color w:val="000000"/>
              </w:rPr>
              <w:t>1473</w:t>
            </w:r>
          </w:p>
        </w:tc>
      </w:tr>
      <w:tr w:rsidR="00752A8A" w14:paraId="7F8AB28E"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D04964" w14:textId="77777777" w:rsidR="00752A8A" w:rsidRDefault="00752A8A">
            <w:pPr>
              <w:rPr>
                <w:rFonts w:ascii="Calibri" w:eastAsia="Times New Roman" w:hAnsi="Calibri"/>
                <w:color w:val="000000"/>
              </w:rPr>
            </w:pPr>
            <w:r>
              <w:rPr>
                <w:rFonts w:ascii="Calibri" w:eastAsia="Times New Roman" w:hAnsi="Calibri"/>
                <w:color w:val="000000"/>
              </w:rPr>
              <w:t>No Fault</w:t>
            </w:r>
          </w:p>
        </w:tc>
        <w:tc>
          <w:tcPr>
            <w:tcW w:w="864" w:type="dxa"/>
            <w:tcBorders>
              <w:top w:val="nil"/>
              <w:left w:val="nil"/>
              <w:bottom w:val="single" w:sz="4" w:space="0" w:color="auto"/>
              <w:right w:val="single" w:sz="4" w:space="0" w:color="auto"/>
            </w:tcBorders>
            <w:shd w:val="clear" w:color="auto" w:fill="auto"/>
            <w:noWrap/>
            <w:vAlign w:val="bottom"/>
            <w:hideMark/>
          </w:tcPr>
          <w:p w14:paraId="7D9C4FED" w14:textId="77777777" w:rsidR="00752A8A" w:rsidRDefault="00752A8A">
            <w:pPr>
              <w:jc w:val="right"/>
              <w:rPr>
                <w:rFonts w:ascii="Calibri" w:eastAsia="Times New Roman" w:hAnsi="Calibri"/>
                <w:color w:val="000000"/>
              </w:rPr>
            </w:pPr>
            <w:r>
              <w:rPr>
                <w:rFonts w:ascii="Calibri" w:eastAsia="Times New Roman" w:hAnsi="Calibri"/>
                <w:color w:val="000000"/>
              </w:rPr>
              <w:t>1673</w:t>
            </w:r>
          </w:p>
        </w:tc>
        <w:tc>
          <w:tcPr>
            <w:tcW w:w="864" w:type="dxa"/>
            <w:tcBorders>
              <w:top w:val="nil"/>
              <w:left w:val="nil"/>
              <w:bottom w:val="single" w:sz="4" w:space="0" w:color="auto"/>
              <w:right w:val="single" w:sz="4" w:space="0" w:color="auto"/>
            </w:tcBorders>
            <w:shd w:val="clear" w:color="auto" w:fill="auto"/>
            <w:noWrap/>
            <w:vAlign w:val="bottom"/>
            <w:hideMark/>
          </w:tcPr>
          <w:p w14:paraId="70B325B0" w14:textId="77777777" w:rsidR="00752A8A" w:rsidRDefault="00752A8A">
            <w:pPr>
              <w:jc w:val="right"/>
              <w:rPr>
                <w:rFonts w:ascii="Calibri" w:eastAsia="Times New Roman" w:hAnsi="Calibri"/>
                <w:color w:val="000000"/>
              </w:rPr>
            </w:pPr>
            <w:r>
              <w:rPr>
                <w:rFonts w:ascii="Calibri" w:eastAsia="Times New Roman" w:hAnsi="Calibri"/>
                <w:color w:val="000000"/>
              </w:rPr>
              <w:t>2040</w:t>
            </w:r>
          </w:p>
        </w:tc>
        <w:tc>
          <w:tcPr>
            <w:tcW w:w="864" w:type="dxa"/>
            <w:tcBorders>
              <w:top w:val="nil"/>
              <w:left w:val="nil"/>
              <w:bottom w:val="single" w:sz="4" w:space="0" w:color="auto"/>
              <w:right w:val="single" w:sz="4" w:space="0" w:color="auto"/>
            </w:tcBorders>
            <w:shd w:val="clear" w:color="auto" w:fill="auto"/>
            <w:noWrap/>
            <w:vAlign w:val="bottom"/>
            <w:hideMark/>
          </w:tcPr>
          <w:p w14:paraId="23B9D50A" w14:textId="77777777" w:rsidR="00752A8A" w:rsidRDefault="00752A8A">
            <w:pPr>
              <w:jc w:val="right"/>
              <w:rPr>
                <w:rFonts w:ascii="Calibri" w:eastAsia="Times New Roman" w:hAnsi="Calibri"/>
                <w:color w:val="000000"/>
              </w:rPr>
            </w:pPr>
            <w:r>
              <w:rPr>
                <w:rFonts w:ascii="Calibri" w:eastAsia="Times New Roman" w:hAnsi="Calibri"/>
                <w:color w:val="000000"/>
              </w:rPr>
              <w:t>1638</w:t>
            </w:r>
          </w:p>
        </w:tc>
        <w:tc>
          <w:tcPr>
            <w:tcW w:w="864" w:type="dxa"/>
            <w:tcBorders>
              <w:top w:val="nil"/>
              <w:left w:val="nil"/>
              <w:bottom w:val="single" w:sz="4" w:space="0" w:color="auto"/>
              <w:right w:val="single" w:sz="4" w:space="0" w:color="auto"/>
            </w:tcBorders>
            <w:shd w:val="clear" w:color="auto" w:fill="auto"/>
            <w:noWrap/>
            <w:vAlign w:val="bottom"/>
            <w:hideMark/>
          </w:tcPr>
          <w:p w14:paraId="2B2E9D1A" w14:textId="77777777" w:rsidR="00752A8A" w:rsidRDefault="00752A8A">
            <w:pPr>
              <w:jc w:val="right"/>
              <w:rPr>
                <w:rFonts w:ascii="Calibri" w:eastAsia="Times New Roman" w:hAnsi="Calibri"/>
                <w:color w:val="000000"/>
              </w:rPr>
            </w:pPr>
            <w:r>
              <w:rPr>
                <w:rFonts w:ascii="Calibri" w:eastAsia="Times New Roman" w:hAnsi="Calibri"/>
                <w:color w:val="000000"/>
              </w:rPr>
              <w:t>1721</w:t>
            </w:r>
          </w:p>
        </w:tc>
        <w:tc>
          <w:tcPr>
            <w:tcW w:w="864" w:type="dxa"/>
            <w:tcBorders>
              <w:top w:val="nil"/>
              <w:left w:val="nil"/>
              <w:bottom w:val="single" w:sz="4" w:space="0" w:color="auto"/>
              <w:right w:val="single" w:sz="4" w:space="0" w:color="auto"/>
            </w:tcBorders>
            <w:shd w:val="clear" w:color="auto" w:fill="auto"/>
            <w:noWrap/>
            <w:vAlign w:val="bottom"/>
            <w:hideMark/>
          </w:tcPr>
          <w:p w14:paraId="364DB853" w14:textId="77777777" w:rsidR="00752A8A" w:rsidRDefault="00752A8A">
            <w:pPr>
              <w:jc w:val="right"/>
              <w:rPr>
                <w:rFonts w:ascii="Calibri" w:eastAsia="Times New Roman" w:hAnsi="Calibri"/>
                <w:color w:val="000000"/>
              </w:rPr>
            </w:pPr>
            <w:r>
              <w:rPr>
                <w:rFonts w:ascii="Calibri" w:eastAsia="Times New Roman" w:hAnsi="Calibri"/>
                <w:color w:val="000000"/>
              </w:rPr>
              <w:t>1342</w:t>
            </w:r>
          </w:p>
        </w:tc>
        <w:tc>
          <w:tcPr>
            <w:tcW w:w="864" w:type="dxa"/>
            <w:tcBorders>
              <w:top w:val="nil"/>
              <w:left w:val="nil"/>
              <w:bottom w:val="single" w:sz="4" w:space="0" w:color="auto"/>
              <w:right w:val="single" w:sz="4" w:space="0" w:color="auto"/>
            </w:tcBorders>
            <w:shd w:val="clear" w:color="auto" w:fill="auto"/>
            <w:noWrap/>
            <w:vAlign w:val="bottom"/>
            <w:hideMark/>
          </w:tcPr>
          <w:p w14:paraId="5EA525BC" w14:textId="77777777" w:rsidR="00752A8A" w:rsidRDefault="00752A8A">
            <w:pPr>
              <w:jc w:val="right"/>
              <w:rPr>
                <w:rFonts w:ascii="Calibri" w:eastAsia="Times New Roman" w:hAnsi="Calibri"/>
                <w:color w:val="000000"/>
              </w:rPr>
            </w:pPr>
            <w:r>
              <w:rPr>
                <w:rFonts w:ascii="Calibri" w:eastAsia="Times New Roman" w:hAnsi="Calibri"/>
                <w:color w:val="000000"/>
              </w:rPr>
              <w:t>989</w:t>
            </w:r>
          </w:p>
        </w:tc>
        <w:tc>
          <w:tcPr>
            <w:tcW w:w="864" w:type="dxa"/>
            <w:tcBorders>
              <w:top w:val="nil"/>
              <w:left w:val="nil"/>
              <w:bottom w:val="single" w:sz="4" w:space="0" w:color="auto"/>
              <w:right w:val="single" w:sz="4" w:space="0" w:color="auto"/>
            </w:tcBorders>
            <w:shd w:val="clear" w:color="auto" w:fill="auto"/>
            <w:noWrap/>
            <w:vAlign w:val="bottom"/>
            <w:hideMark/>
          </w:tcPr>
          <w:p w14:paraId="00A5987C" w14:textId="77777777" w:rsidR="00752A8A" w:rsidRDefault="00752A8A">
            <w:pPr>
              <w:jc w:val="right"/>
              <w:rPr>
                <w:rFonts w:ascii="Calibri" w:eastAsia="Times New Roman" w:hAnsi="Calibri"/>
                <w:color w:val="000000"/>
              </w:rPr>
            </w:pPr>
            <w:r>
              <w:rPr>
                <w:rFonts w:ascii="Calibri" w:eastAsia="Times New Roman" w:hAnsi="Calibri"/>
                <w:color w:val="000000"/>
              </w:rPr>
              <w:t>759</w:t>
            </w:r>
          </w:p>
        </w:tc>
        <w:tc>
          <w:tcPr>
            <w:tcW w:w="864" w:type="dxa"/>
            <w:tcBorders>
              <w:top w:val="nil"/>
              <w:left w:val="nil"/>
              <w:bottom w:val="single" w:sz="4" w:space="0" w:color="auto"/>
              <w:right w:val="single" w:sz="4" w:space="0" w:color="auto"/>
            </w:tcBorders>
            <w:shd w:val="clear" w:color="auto" w:fill="auto"/>
            <w:noWrap/>
            <w:vAlign w:val="bottom"/>
            <w:hideMark/>
          </w:tcPr>
          <w:p w14:paraId="6BD771D6" w14:textId="77777777" w:rsidR="00752A8A" w:rsidRDefault="00752A8A">
            <w:pPr>
              <w:jc w:val="right"/>
              <w:rPr>
                <w:rFonts w:ascii="Calibri" w:eastAsia="Times New Roman" w:hAnsi="Calibri"/>
                <w:color w:val="000000"/>
              </w:rPr>
            </w:pPr>
            <w:r>
              <w:rPr>
                <w:rFonts w:ascii="Calibri" w:eastAsia="Times New Roman" w:hAnsi="Calibri"/>
                <w:color w:val="000000"/>
              </w:rPr>
              <w:t>844</w:t>
            </w:r>
          </w:p>
        </w:tc>
        <w:tc>
          <w:tcPr>
            <w:tcW w:w="864" w:type="dxa"/>
            <w:tcBorders>
              <w:top w:val="nil"/>
              <w:left w:val="nil"/>
              <w:bottom w:val="single" w:sz="4" w:space="0" w:color="auto"/>
              <w:right w:val="single" w:sz="4" w:space="0" w:color="auto"/>
            </w:tcBorders>
            <w:shd w:val="clear" w:color="auto" w:fill="auto"/>
            <w:noWrap/>
            <w:vAlign w:val="bottom"/>
            <w:hideMark/>
          </w:tcPr>
          <w:p w14:paraId="4336FFB3" w14:textId="77777777" w:rsidR="00752A8A" w:rsidRDefault="00752A8A">
            <w:pPr>
              <w:jc w:val="right"/>
              <w:rPr>
                <w:rFonts w:ascii="Calibri" w:eastAsia="Times New Roman" w:hAnsi="Calibri"/>
                <w:color w:val="000000"/>
              </w:rPr>
            </w:pPr>
            <w:r>
              <w:rPr>
                <w:rFonts w:ascii="Calibri" w:eastAsia="Times New Roman" w:hAnsi="Calibri"/>
                <w:color w:val="000000"/>
              </w:rPr>
              <w:t>786</w:t>
            </w:r>
          </w:p>
        </w:tc>
        <w:tc>
          <w:tcPr>
            <w:tcW w:w="864" w:type="dxa"/>
            <w:tcBorders>
              <w:top w:val="nil"/>
              <w:left w:val="nil"/>
              <w:bottom w:val="single" w:sz="4" w:space="0" w:color="auto"/>
              <w:right w:val="single" w:sz="4" w:space="0" w:color="auto"/>
            </w:tcBorders>
            <w:shd w:val="clear" w:color="auto" w:fill="auto"/>
            <w:noWrap/>
            <w:vAlign w:val="bottom"/>
            <w:hideMark/>
          </w:tcPr>
          <w:p w14:paraId="2FFC5D0E" w14:textId="77777777" w:rsidR="00752A8A" w:rsidRDefault="00752A8A">
            <w:pPr>
              <w:jc w:val="right"/>
              <w:rPr>
                <w:rFonts w:ascii="Calibri" w:eastAsia="Times New Roman" w:hAnsi="Calibri"/>
                <w:color w:val="000000"/>
              </w:rPr>
            </w:pPr>
            <w:r>
              <w:rPr>
                <w:rFonts w:ascii="Calibri" w:eastAsia="Times New Roman" w:hAnsi="Calibri"/>
                <w:color w:val="000000"/>
              </w:rPr>
              <w:t>707</w:t>
            </w:r>
          </w:p>
        </w:tc>
      </w:tr>
      <w:tr w:rsidR="00752A8A" w14:paraId="4750B40F"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6F0F4F0" w14:textId="1564557A" w:rsidR="00752A8A" w:rsidRDefault="00752A8A">
            <w:pPr>
              <w:rPr>
                <w:rFonts w:ascii="Calibri" w:eastAsia="Times New Roman" w:hAnsi="Calibri"/>
                <w:color w:val="000000"/>
              </w:rPr>
            </w:pPr>
            <w:r>
              <w:rPr>
                <w:rFonts w:ascii="Calibri" w:eastAsia="Times New Roman" w:hAnsi="Calibri"/>
                <w:color w:val="000000"/>
              </w:rPr>
              <w:t>Ellis</w:t>
            </w:r>
            <w:r>
              <w:rPr>
                <w:rFonts w:ascii="Calibri" w:eastAsia="Times New Roman" w:hAnsi="Calibri"/>
                <w:color w:val="000000"/>
              </w:rPr>
              <w:t xml:space="preserve"> Act</w:t>
            </w:r>
          </w:p>
        </w:tc>
        <w:tc>
          <w:tcPr>
            <w:tcW w:w="864" w:type="dxa"/>
            <w:tcBorders>
              <w:top w:val="nil"/>
              <w:left w:val="nil"/>
              <w:bottom w:val="single" w:sz="4" w:space="0" w:color="auto"/>
              <w:right w:val="single" w:sz="4" w:space="0" w:color="auto"/>
            </w:tcBorders>
            <w:shd w:val="clear" w:color="auto" w:fill="auto"/>
            <w:noWrap/>
            <w:vAlign w:val="bottom"/>
            <w:hideMark/>
          </w:tcPr>
          <w:p w14:paraId="64F15EB2" w14:textId="77777777" w:rsidR="00752A8A" w:rsidRDefault="00752A8A">
            <w:pPr>
              <w:jc w:val="right"/>
              <w:rPr>
                <w:rFonts w:ascii="Calibri" w:eastAsia="Times New Roman" w:hAnsi="Calibri"/>
                <w:color w:val="000000"/>
              </w:rPr>
            </w:pPr>
            <w:r>
              <w:rPr>
                <w:rFonts w:ascii="Calibri" w:eastAsia="Times New Roman" w:hAnsi="Calibri"/>
                <w:color w:val="000000"/>
              </w:rPr>
              <w:t>6</w:t>
            </w:r>
          </w:p>
        </w:tc>
        <w:tc>
          <w:tcPr>
            <w:tcW w:w="864" w:type="dxa"/>
            <w:tcBorders>
              <w:top w:val="nil"/>
              <w:left w:val="nil"/>
              <w:bottom w:val="single" w:sz="4" w:space="0" w:color="auto"/>
              <w:right w:val="single" w:sz="4" w:space="0" w:color="auto"/>
            </w:tcBorders>
            <w:shd w:val="clear" w:color="auto" w:fill="auto"/>
            <w:noWrap/>
            <w:vAlign w:val="bottom"/>
            <w:hideMark/>
          </w:tcPr>
          <w:p w14:paraId="1ACAC5C2" w14:textId="77777777" w:rsidR="00752A8A" w:rsidRDefault="00752A8A">
            <w:pPr>
              <w:jc w:val="right"/>
              <w:rPr>
                <w:rFonts w:ascii="Calibri" w:eastAsia="Times New Roman" w:hAnsi="Calibri"/>
                <w:color w:val="000000"/>
              </w:rPr>
            </w:pPr>
            <w:r>
              <w:rPr>
                <w:rFonts w:ascii="Calibri" w:eastAsia="Times New Roman" w:hAnsi="Calibri"/>
                <w:color w:val="000000"/>
              </w:rPr>
              <w:t>96</w:t>
            </w:r>
          </w:p>
        </w:tc>
        <w:tc>
          <w:tcPr>
            <w:tcW w:w="864" w:type="dxa"/>
            <w:tcBorders>
              <w:top w:val="nil"/>
              <w:left w:val="nil"/>
              <w:bottom w:val="single" w:sz="4" w:space="0" w:color="auto"/>
              <w:right w:val="single" w:sz="4" w:space="0" w:color="auto"/>
            </w:tcBorders>
            <w:shd w:val="clear" w:color="auto" w:fill="auto"/>
            <w:noWrap/>
            <w:vAlign w:val="bottom"/>
            <w:hideMark/>
          </w:tcPr>
          <w:p w14:paraId="701156F3" w14:textId="77777777" w:rsidR="00752A8A" w:rsidRDefault="00752A8A">
            <w:pPr>
              <w:jc w:val="right"/>
              <w:rPr>
                <w:rFonts w:ascii="Calibri" w:eastAsia="Times New Roman" w:hAnsi="Calibri"/>
                <w:color w:val="000000"/>
              </w:rPr>
            </w:pPr>
            <w:r>
              <w:rPr>
                <w:rFonts w:ascii="Calibri" w:eastAsia="Times New Roman" w:hAnsi="Calibri"/>
                <w:color w:val="000000"/>
              </w:rPr>
              <w:t>423</w:t>
            </w:r>
          </w:p>
        </w:tc>
        <w:tc>
          <w:tcPr>
            <w:tcW w:w="864" w:type="dxa"/>
            <w:tcBorders>
              <w:top w:val="nil"/>
              <w:left w:val="nil"/>
              <w:bottom w:val="single" w:sz="4" w:space="0" w:color="auto"/>
              <w:right w:val="single" w:sz="4" w:space="0" w:color="auto"/>
            </w:tcBorders>
            <w:shd w:val="clear" w:color="auto" w:fill="auto"/>
            <w:noWrap/>
            <w:vAlign w:val="bottom"/>
            <w:hideMark/>
          </w:tcPr>
          <w:p w14:paraId="6441A050" w14:textId="77777777" w:rsidR="00752A8A" w:rsidRDefault="00752A8A">
            <w:pPr>
              <w:jc w:val="right"/>
              <w:rPr>
                <w:rFonts w:ascii="Calibri" w:eastAsia="Times New Roman" w:hAnsi="Calibri"/>
                <w:color w:val="000000"/>
              </w:rPr>
            </w:pPr>
            <w:r>
              <w:rPr>
                <w:rFonts w:ascii="Calibri" w:eastAsia="Times New Roman" w:hAnsi="Calibri"/>
                <w:color w:val="000000"/>
              </w:rPr>
              <w:t>274</w:t>
            </w:r>
          </w:p>
        </w:tc>
        <w:tc>
          <w:tcPr>
            <w:tcW w:w="864" w:type="dxa"/>
            <w:tcBorders>
              <w:top w:val="nil"/>
              <w:left w:val="nil"/>
              <w:bottom w:val="single" w:sz="4" w:space="0" w:color="auto"/>
              <w:right w:val="single" w:sz="4" w:space="0" w:color="auto"/>
            </w:tcBorders>
            <w:shd w:val="clear" w:color="auto" w:fill="auto"/>
            <w:noWrap/>
            <w:vAlign w:val="bottom"/>
            <w:hideMark/>
          </w:tcPr>
          <w:p w14:paraId="44AFF69A" w14:textId="77777777" w:rsidR="00752A8A" w:rsidRDefault="00752A8A">
            <w:pPr>
              <w:jc w:val="right"/>
              <w:rPr>
                <w:rFonts w:ascii="Calibri" w:eastAsia="Times New Roman" w:hAnsi="Calibri"/>
                <w:color w:val="000000"/>
              </w:rPr>
            </w:pPr>
            <w:r>
              <w:rPr>
                <w:rFonts w:ascii="Calibri" w:eastAsia="Times New Roman" w:hAnsi="Calibri"/>
                <w:color w:val="000000"/>
              </w:rPr>
              <w:t>194</w:t>
            </w:r>
          </w:p>
        </w:tc>
        <w:tc>
          <w:tcPr>
            <w:tcW w:w="864" w:type="dxa"/>
            <w:tcBorders>
              <w:top w:val="nil"/>
              <w:left w:val="nil"/>
              <w:bottom w:val="single" w:sz="4" w:space="0" w:color="auto"/>
              <w:right w:val="single" w:sz="4" w:space="0" w:color="auto"/>
            </w:tcBorders>
            <w:shd w:val="clear" w:color="auto" w:fill="auto"/>
            <w:noWrap/>
            <w:vAlign w:val="bottom"/>
            <w:hideMark/>
          </w:tcPr>
          <w:p w14:paraId="2D944E1C" w14:textId="77777777" w:rsidR="00752A8A" w:rsidRDefault="00752A8A">
            <w:pPr>
              <w:jc w:val="right"/>
              <w:rPr>
                <w:rFonts w:ascii="Calibri" w:eastAsia="Times New Roman" w:hAnsi="Calibri"/>
                <w:color w:val="000000"/>
              </w:rPr>
            </w:pPr>
            <w:r>
              <w:rPr>
                <w:rFonts w:ascii="Calibri" w:eastAsia="Times New Roman" w:hAnsi="Calibri"/>
                <w:color w:val="000000"/>
              </w:rPr>
              <w:t>176</w:t>
            </w:r>
          </w:p>
        </w:tc>
        <w:tc>
          <w:tcPr>
            <w:tcW w:w="864" w:type="dxa"/>
            <w:tcBorders>
              <w:top w:val="nil"/>
              <w:left w:val="nil"/>
              <w:bottom w:val="single" w:sz="4" w:space="0" w:color="auto"/>
              <w:right w:val="single" w:sz="4" w:space="0" w:color="auto"/>
            </w:tcBorders>
            <w:shd w:val="clear" w:color="auto" w:fill="auto"/>
            <w:noWrap/>
            <w:vAlign w:val="bottom"/>
            <w:hideMark/>
          </w:tcPr>
          <w:p w14:paraId="2D854BAF" w14:textId="77777777" w:rsidR="00752A8A" w:rsidRDefault="00752A8A">
            <w:pPr>
              <w:jc w:val="right"/>
              <w:rPr>
                <w:rFonts w:ascii="Calibri" w:eastAsia="Times New Roman" w:hAnsi="Calibri"/>
                <w:color w:val="000000"/>
              </w:rPr>
            </w:pPr>
            <w:r>
              <w:rPr>
                <w:rFonts w:ascii="Calibri" w:eastAsia="Times New Roman" w:hAnsi="Calibri"/>
                <w:color w:val="000000"/>
              </w:rPr>
              <w:t>145</w:t>
            </w:r>
          </w:p>
        </w:tc>
        <w:tc>
          <w:tcPr>
            <w:tcW w:w="864" w:type="dxa"/>
            <w:tcBorders>
              <w:top w:val="nil"/>
              <w:left w:val="nil"/>
              <w:bottom w:val="single" w:sz="4" w:space="0" w:color="auto"/>
              <w:right w:val="single" w:sz="4" w:space="0" w:color="auto"/>
            </w:tcBorders>
            <w:shd w:val="clear" w:color="auto" w:fill="auto"/>
            <w:noWrap/>
            <w:vAlign w:val="bottom"/>
            <w:hideMark/>
          </w:tcPr>
          <w:p w14:paraId="6DB5454C" w14:textId="77777777" w:rsidR="00752A8A" w:rsidRDefault="00752A8A">
            <w:pPr>
              <w:jc w:val="right"/>
              <w:rPr>
                <w:rFonts w:ascii="Calibri" w:eastAsia="Times New Roman" w:hAnsi="Calibri"/>
                <w:color w:val="000000"/>
              </w:rPr>
            </w:pPr>
            <w:r>
              <w:rPr>
                <w:rFonts w:ascii="Calibri" w:eastAsia="Times New Roman" w:hAnsi="Calibri"/>
                <w:color w:val="000000"/>
              </w:rPr>
              <w:t>303</w:t>
            </w:r>
          </w:p>
        </w:tc>
        <w:tc>
          <w:tcPr>
            <w:tcW w:w="864" w:type="dxa"/>
            <w:tcBorders>
              <w:top w:val="nil"/>
              <w:left w:val="nil"/>
              <w:bottom w:val="single" w:sz="4" w:space="0" w:color="auto"/>
              <w:right w:val="single" w:sz="4" w:space="0" w:color="auto"/>
            </w:tcBorders>
            <w:shd w:val="clear" w:color="auto" w:fill="auto"/>
            <w:noWrap/>
            <w:vAlign w:val="bottom"/>
            <w:hideMark/>
          </w:tcPr>
          <w:p w14:paraId="5E3074CF" w14:textId="77777777" w:rsidR="00752A8A" w:rsidRDefault="00752A8A">
            <w:pPr>
              <w:jc w:val="right"/>
              <w:rPr>
                <w:rFonts w:ascii="Calibri" w:eastAsia="Times New Roman" w:hAnsi="Calibri"/>
                <w:color w:val="000000"/>
              </w:rPr>
            </w:pPr>
            <w:r>
              <w:rPr>
                <w:rFonts w:ascii="Calibri" w:eastAsia="Times New Roman" w:hAnsi="Calibri"/>
                <w:color w:val="000000"/>
              </w:rPr>
              <w:t>298</w:t>
            </w:r>
          </w:p>
        </w:tc>
        <w:tc>
          <w:tcPr>
            <w:tcW w:w="864" w:type="dxa"/>
            <w:tcBorders>
              <w:top w:val="nil"/>
              <w:left w:val="nil"/>
              <w:bottom w:val="single" w:sz="4" w:space="0" w:color="auto"/>
              <w:right w:val="single" w:sz="4" w:space="0" w:color="auto"/>
            </w:tcBorders>
            <w:shd w:val="clear" w:color="auto" w:fill="auto"/>
            <w:noWrap/>
            <w:vAlign w:val="bottom"/>
            <w:hideMark/>
          </w:tcPr>
          <w:p w14:paraId="03FE2150" w14:textId="77777777" w:rsidR="00752A8A" w:rsidRDefault="00752A8A">
            <w:pPr>
              <w:jc w:val="right"/>
              <w:rPr>
                <w:rFonts w:ascii="Calibri" w:eastAsia="Times New Roman" w:hAnsi="Calibri"/>
                <w:color w:val="000000"/>
              </w:rPr>
            </w:pPr>
            <w:r>
              <w:rPr>
                <w:rFonts w:ascii="Calibri" w:eastAsia="Times New Roman" w:hAnsi="Calibri"/>
                <w:color w:val="000000"/>
              </w:rPr>
              <w:t>262</w:t>
            </w:r>
          </w:p>
        </w:tc>
      </w:tr>
      <w:tr w:rsidR="00752A8A" w14:paraId="6C966884"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E186D8D" w14:textId="77777777" w:rsidR="00752A8A" w:rsidRDefault="00752A8A">
            <w:pPr>
              <w:rPr>
                <w:rFonts w:ascii="Calibri" w:eastAsia="Times New Roman" w:hAnsi="Calibri"/>
                <w:color w:val="000000"/>
              </w:rPr>
            </w:pPr>
            <w:r>
              <w:rPr>
                <w:rFonts w:ascii="Calibri" w:eastAsia="Times New Roman" w:hAnsi="Calibri"/>
                <w:color w:val="000000"/>
              </w:rPr>
              <w:t>Owner Move-ins</w:t>
            </w:r>
          </w:p>
        </w:tc>
        <w:tc>
          <w:tcPr>
            <w:tcW w:w="864" w:type="dxa"/>
            <w:tcBorders>
              <w:top w:val="nil"/>
              <w:left w:val="nil"/>
              <w:bottom w:val="single" w:sz="4" w:space="0" w:color="auto"/>
              <w:right w:val="single" w:sz="4" w:space="0" w:color="auto"/>
            </w:tcBorders>
            <w:shd w:val="clear" w:color="auto" w:fill="auto"/>
            <w:noWrap/>
            <w:vAlign w:val="bottom"/>
            <w:hideMark/>
          </w:tcPr>
          <w:p w14:paraId="0A2FACB7" w14:textId="77777777" w:rsidR="00752A8A" w:rsidRDefault="00752A8A">
            <w:pPr>
              <w:jc w:val="right"/>
              <w:rPr>
                <w:rFonts w:ascii="Calibri" w:eastAsia="Times New Roman" w:hAnsi="Calibri"/>
                <w:color w:val="000000"/>
              </w:rPr>
            </w:pPr>
            <w:r>
              <w:rPr>
                <w:rFonts w:ascii="Calibri" w:eastAsia="Times New Roman" w:hAnsi="Calibri"/>
                <w:color w:val="000000"/>
              </w:rPr>
              <w:t>1229</w:t>
            </w:r>
          </w:p>
        </w:tc>
        <w:tc>
          <w:tcPr>
            <w:tcW w:w="864" w:type="dxa"/>
            <w:tcBorders>
              <w:top w:val="nil"/>
              <w:left w:val="nil"/>
              <w:bottom w:val="single" w:sz="4" w:space="0" w:color="auto"/>
              <w:right w:val="single" w:sz="4" w:space="0" w:color="auto"/>
            </w:tcBorders>
            <w:shd w:val="clear" w:color="auto" w:fill="auto"/>
            <w:noWrap/>
            <w:vAlign w:val="bottom"/>
            <w:hideMark/>
          </w:tcPr>
          <w:p w14:paraId="6201B0EF" w14:textId="77777777" w:rsidR="00752A8A" w:rsidRDefault="00752A8A">
            <w:pPr>
              <w:jc w:val="right"/>
              <w:rPr>
                <w:rFonts w:ascii="Calibri" w:eastAsia="Times New Roman" w:hAnsi="Calibri"/>
                <w:color w:val="000000"/>
              </w:rPr>
            </w:pPr>
            <w:r>
              <w:rPr>
                <w:rFonts w:ascii="Calibri" w:eastAsia="Times New Roman" w:hAnsi="Calibri"/>
                <w:color w:val="000000"/>
              </w:rPr>
              <w:t>1545</w:t>
            </w:r>
          </w:p>
        </w:tc>
        <w:tc>
          <w:tcPr>
            <w:tcW w:w="864" w:type="dxa"/>
            <w:tcBorders>
              <w:top w:val="nil"/>
              <w:left w:val="nil"/>
              <w:bottom w:val="single" w:sz="4" w:space="0" w:color="auto"/>
              <w:right w:val="single" w:sz="4" w:space="0" w:color="auto"/>
            </w:tcBorders>
            <w:shd w:val="clear" w:color="auto" w:fill="auto"/>
            <w:noWrap/>
            <w:vAlign w:val="bottom"/>
            <w:hideMark/>
          </w:tcPr>
          <w:p w14:paraId="75EDB376" w14:textId="77777777" w:rsidR="00752A8A" w:rsidRDefault="00752A8A">
            <w:pPr>
              <w:jc w:val="right"/>
              <w:rPr>
                <w:rFonts w:ascii="Calibri" w:eastAsia="Times New Roman" w:hAnsi="Calibri"/>
                <w:color w:val="000000"/>
              </w:rPr>
            </w:pPr>
            <w:r>
              <w:rPr>
                <w:rFonts w:ascii="Calibri" w:eastAsia="Times New Roman" w:hAnsi="Calibri"/>
                <w:color w:val="000000"/>
              </w:rPr>
              <w:t>872</w:t>
            </w:r>
          </w:p>
        </w:tc>
        <w:tc>
          <w:tcPr>
            <w:tcW w:w="864" w:type="dxa"/>
            <w:tcBorders>
              <w:top w:val="nil"/>
              <w:left w:val="nil"/>
              <w:bottom w:val="single" w:sz="4" w:space="0" w:color="auto"/>
              <w:right w:val="single" w:sz="4" w:space="0" w:color="auto"/>
            </w:tcBorders>
            <w:shd w:val="clear" w:color="auto" w:fill="auto"/>
            <w:noWrap/>
            <w:vAlign w:val="bottom"/>
            <w:hideMark/>
          </w:tcPr>
          <w:p w14:paraId="3B0AB2A0" w14:textId="77777777" w:rsidR="00752A8A" w:rsidRDefault="00752A8A">
            <w:pPr>
              <w:jc w:val="right"/>
              <w:rPr>
                <w:rFonts w:ascii="Calibri" w:eastAsia="Times New Roman" w:hAnsi="Calibri"/>
                <w:color w:val="000000"/>
              </w:rPr>
            </w:pPr>
            <w:r>
              <w:rPr>
                <w:rFonts w:ascii="Calibri" w:eastAsia="Times New Roman" w:hAnsi="Calibri"/>
                <w:color w:val="000000"/>
              </w:rPr>
              <w:t>1013</w:t>
            </w:r>
          </w:p>
        </w:tc>
        <w:tc>
          <w:tcPr>
            <w:tcW w:w="864" w:type="dxa"/>
            <w:tcBorders>
              <w:top w:val="nil"/>
              <w:left w:val="nil"/>
              <w:bottom w:val="single" w:sz="4" w:space="0" w:color="auto"/>
              <w:right w:val="single" w:sz="4" w:space="0" w:color="auto"/>
            </w:tcBorders>
            <w:shd w:val="clear" w:color="auto" w:fill="auto"/>
            <w:noWrap/>
            <w:vAlign w:val="bottom"/>
            <w:hideMark/>
          </w:tcPr>
          <w:p w14:paraId="2473683D" w14:textId="77777777" w:rsidR="00752A8A" w:rsidRDefault="00752A8A">
            <w:pPr>
              <w:jc w:val="right"/>
              <w:rPr>
                <w:rFonts w:ascii="Calibri" w:eastAsia="Times New Roman" w:hAnsi="Calibri"/>
                <w:color w:val="000000"/>
              </w:rPr>
            </w:pPr>
            <w:r>
              <w:rPr>
                <w:rFonts w:ascii="Calibri" w:eastAsia="Times New Roman" w:hAnsi="Calibri"/>
                <w:color w:val="000000"/>
              </w:rPr>
              <w:t>802</w:t>
            </w:r>
          </w:p>
        </w:tc>
        <w:tc>
          <w:tcPr>
            <w:tcW w:w="864" w:type="dxa"/>
            <w:tcBorders>
              <w:top w:val="nil"/>
              <w:left w:val="nil"/>
              <w:bottom w:val="single" w:sz="4" w:space="0" w:color="auto"/>
              <w:right w:val="single" w:sz="4" w:space="0" w:color="auto"/>
            </w:tcBorders>
            <w:shd w:val="clear" w:color="auto" w:fill="auto"/>
            <w:noWrap/>
            <w:vAlign w:val="bottom"/>
            <w:hideMark/>
          </w:tcPr>
          <w:p w14:paraId="7A72A3E7" w14:textId="77777777" w:rsidR="00752A8A" w:rsidRDefault="00752A8A">
            <w:pPr>
              <w:jc w:val="right"/>
              <w:rPr>
                <w:rFonts w:ascii="Calibri" w:eastAsia="Times New Roman" w:hAnsi="Calibri"/>
                <w:color w:val="000000"/>
              </w:rPr>
            </w:pPr>
            <w:r>
              <w:rPr>
                <w:rFonts w:ascii="Calibri" w:eastAsia="Times New Roman" w:hAnsi="Calibri"/>
                <w:color w:val="000000"/>
              </w:rPr>
              <w:t>548</w:t>
            </w:r>
          </w:p>
        </w:tc>
        <w:tc>
          <w:tcPr>
            <w:tcW w:w="864" w:type="dxa"/>
            <w:tcBorders>
              <w:top w:val="nil"/>
              <w:left w:val="nil"/>
              <w:bottom w:val="single" w:sz="4" w:space="0" w:color="auto"/>
              <w:right w:val="single" w:sz="4" w:space="0" w:color="auto"/>
            </w:tcBorders>
            <w:shd w:val="clear" w:color="auto" w:fill="auto"/>
            <w:noWrap/>
            <w:vAlign w:val="bottom"/>
            <w:hideMark/>
          </w:tcPr>
          <w:p w14:paraId="1B06DA85" w14:textId="77777777" w:rsidR="00752A8A" w:rsidRDefault="00752A8A">
            <w:pPr>
              <w:jc w:val="right"/>
              <w:rPr>
                <w:rFonts w:ascii="Calibri" w:eastAsia="Times New Roman" w:hAnsi="Calibri"/>
                <w:color w:val="000000"/>
              </w:rPr>
            </w:pPr>
            <w:r>
              <w:rPr>
                <w:rFonts w:ascii="Calibri" w:eastAsia="Times New Roman" w:hAnsi="Calibri"/>
                <w:color w:val="000000"/>
              </w:rPr>
              <w:t>357</w:t>
            </w:r>
          </w:p>
        </w:tc>
        <w:tc>
          <w:tcPr>
            <w:tcW w:w="864" w:type="dxa"/>
            <w:tcBorders>
              <w:top w:val="nil"/>
              <w:left w:val="nil"/>
              <w:bottom w:val="single" w:sz="4" w:space="0" w:color="auto"/>
              <w:right w:val="single" w:sz="4" w:space="0" w:color="auto"/>
            </w:tcBorders>
            <w:shd w:val="clear" w:color="auto" w:fill="auto"/>
            <w:noWrap/>
            <w:vAlign w:val="bottom"/>
            <w:hideMark/>
          </w:tcPr>
          <w:p w14:paraId="70F9CEB2" w14:textId="77777777" w:rsidR="00752A8A" w:rsidRDefault="00752A8A">
            <w:pPr>
              <w:jc w:val="right"/>
              <w:rPr>
                <w:rFonts w:ascii="Calibri" w:eastAsia="Times New Roman" w:hAnsi="Calibri"/>
                <w:color w:val="000000"/>
              </w:rPr>
            </w:pPr>
            <w:r>
              <w:rPr>
                <w:rFonts w:ascii="Calibri" w:eastAsia="Times New Roman" w:hAnsi="Calibri"/>
                <w:color w:val="000000"/>
              </w:rPr>
              <w:t>345</w:t>
            </w:r>
          </w:p>
        </w:tc>
        <w:tc>
          <w:tcPr>
            <w:tcW w:w="864" w:type="dxa"/>
            <w:tcBorders>
              <w:top w:val="nil"/>
              <w:left w:val="nil"/>
              <w:bottom w:val="single" w:sz="4" w:space="0" w:color="auto"/>
              <w:right w:val="single" w:sz="4" w:space="0" w:color="auto"/>
            </w:tcBorders>
            <w:shd w:val="clear" w:color="auto" w:fill="auto"/>
            <w:noWrap/>
            <w:vAlign w:val="bottom"/>
            <w:hideMark/>
          </w:tcPr>
          <w:p w14:paraId="3A7B6D36" w14:textId="77777777" w:rsidR="00752A8A" w:rsidRDefault="00752A8A">
            <w:pPr>
              <w:jc w:val="right"/>
              <w:rPr>
                <w:rFonts w:ascii="Calibri" w:eastAsia="Times New Roman" w:hAnsi="Calibri"/>
                <w:color w:val="000000"/>
              </w:rPr>
            </w:pPr>
            <w:r>
              <w:rPr>
                <w:rFonts w:ascii="Calibri" w:eastAsia="Times New Roman" w:hAnsi="Calibri"/>
                <w:color w:val="000000"/>
              </w:rPr>
              <w:t>267</w:t>
            </w:r>
          </w:p>
        </w:tc>
        <w:tc>
          <w:tcPr>
            <w:tcW w:w="864" w:type="dxa"/>
            <w:tcBorders>
              <w:top w:val="nil"/>
              <w:left w:val="nil"/>
              <w:bottom w:val="single" w:sz="4" w:space="0" w:color="auto"/>
              <w:right w:val="single" w:sz="4" w:space="0" w:color="auto"/>
            </w:tcBorders>
            <w:shd w:val="clear" w:color="auto" w:fill="auto"/>
            <w:noWrap/>
            <w:vAlign w:val="bottom"/>
            <w:hideMark/>
          </w:tcPr>
          <w:p w14:paraId="2C1995D9" w14:textId="77777777" w:rsidR="00752A8A" w:rsidRDefault="00752A8A">
            <w:pPr>
              <w:jc w:val="right"/>
              <w:rPr>
                <w:rFonts w:ascii="Calibri" w:eastAsia="Times New Roman" w:hAnsi="Calibri"/>
                <w:color w:val="000000"/>
              </w:rPr>
            </w:pPr>
            <w:r>
              <w:rPr>
                <w:rFonts w:ascii="Calibri" w:eastAsia="Times New Roman" w:hAnsi="Calibri"/>
                <w:color w:val="000000"/>
              </w:rPr>
              <w:t>227</w:t>
            </w:r>
          </w:p>
        </w:tc>
      </w:tr>
      <w:tr w:rsidR="00752A8A" w14:paraId="14DB61BC" w14:textId="77777777" w:rsidTr="00752A8A">
        <w:trPr>
          <w:trHeight w:val="320"/>
        </w:trPr>
        <w:tc>
          <w:tcPr>
            <w:tcW w:w="1435" w:type="dxa"/>
            <w:tcBorders>
              <w:top w:val="nil"/>
              <w:left w:val="nil"/>
              <w:bottom w:val="nil"/>
              <w:right w:val="nil"/>
            </w:tcBorders>
            <w:shd w:val="clear" w:color="auto" w:fill="auto"/>
            <w:noWrap/>
            <w:vAlign w:val="bottom"/>
            <w:hideMark/>
          </w:tcPr>
          <w:p w14:paraId="6134831E" w14:textId="77777777" w:rsidR="00752A8A" w:rsidRDefault="00752A8A">
            <w:pPr>
              <w:jc w:val="right"/>
              <w:rPr>
                <w:rFonts w:ascii="Calibri" w:eastAsia="Times New Roman" w:hAnsi="Calibri"/>
                <w:color w:val="000000"/>
              </w:rPr>
            </w:pPr>
          </w:p>
        </w:tc>
        <w:tc>
          <w:tcPr>
            <w:tcW w:w="864" w:type="dxa"/>
            <w:tcBorders>
              <w:top w:val="nil"/>
              <w:left w:val="nil"/>
              <w:bottom w:val="nil"/>
              <w:right w:val="nil"/>
            </w:tcBorders>
            <w:shd w:val="clear" w:color="auto" w:fill="auto"/>
            <w:noWrap/>
            <w:vAlign w:val="bottom"/>
            <w:hideMark/>
          </w:tcPr>
          <w:p w14:paraId="3696F6C8"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58862B2D"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2E3332FE"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7D380559"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693227AF"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44294442"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7E2C7017"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09D51393"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4E5CB390" w14:textId="77777777" w:rsidR="00752A8A" w:rsidRDefault="00752A8A">
            <w:pPr>
              <w:rPr>
                <w:rFonts w:eastAsia="Times New Roman"/>
                <w:sz w:val="20"/>
                <w:szCs w:val="20"/>
              </w:rPr>
            </w:pPr>
          </w:p>
        </w:tc>
        <w:tc>
          <w:tcPr>
            <w:tcW w:w="864" w:type="dxa"/>
            <w:tcBorders>
              <w:top w:val="nil"/>
              <w:left w:val="nil"/>
              <w:bottom w:val="nil"/>
              <w:right w:val="nil"/>
            </w:tcBorders>
            <w:shd w:val="clear" w:color="auto" w:fill="auto"/>
            <w:noWrap/>
            <w:vAlign w:val="bottom"/>
            <w:hideMark/>
          </w:tcPr>
          <w:p w14:paraId="556167E3" w14:textId="77777777" w:rsidR="00752A8A" w:rsidRDefault="00752A8A">
            <w:pPr>
              <w:rPr>
                <w:rFonts w:eastAsia="Times New Roman"/>
                <w:sz w:val="20"/>
                <w:szCs w:val="20"/>
              </w:rPr>
            </w:pPr>
          </w:p>
        </w:tc>
      </w:tr>
      <w:tr w:rsidR="00752A8A" w14:paraId="2D102F7D" w14:textId="77777777" w:rsidTr="00752A8A">
        <w:trPr>
          <w:trHeight w:val="32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11CD9" w14:textId="77777777" w:rsidR="00752A8A" w:rsidRDefault="00752A8A">
            <w:pPr>
              <w:rPr>
                <w:rFonts w:ascii="Calibri" w:eastAsia="Times New Roman" w:hAnsi="Calibri"/>
                <w:color w:val="000000"/>
              </w:rPr>
            </w:pPr>
            <w:r>
              <w:rPr>
                <w:rFonts w:ascii="Calibri" w:eastAsia="Times New Roman" w:hAnsi="Calibri"/>
                <w:color w:val="000000"/>
              </w:rPr>
              <w:t>Year</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FFC8979" w14:textId="77777777" w:rsidR="00752A8A" w:rsidRDefault="00752A8A">
            <w:pPr>
              <w:jc w:val="right"/>
              <w:rPr>
                <w:rFonts w:ascii="Calibri" w:eastAsia="Times New Roman" w:hAnsi="Calibri"/>
                <w:color w:val="000000"/>
              </w:rPr>
            </w:pPr>
            <w:r>
              <w:rPr>
                <w:rFonts w:ascii="Calibri" w:eastAsia="Times New Roman" w:hAnsi="Calibri"/>
                <w:color w:val="000000"/>
              </w:rPr>
              <w:t>2007</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632BC39" w14:textId="77777777" w:rsidR="00752A8A" w:rsidRDefault="00752A8A">
            <w:pPr>
              <w:jc w:val="right"/>
              <w:rPr>
                <w:rFonts w:ascii="Calibri" w:eastAsia="Times New Roman" w:hAnsi="Calibri"/>
                <w:color w:val="000000"/>
              </w:rPr>
            </w:pPr>
            <w:r>
              <w:rPr>
                <w:rFonts w:ascii="Calibri" w:eastAsia="Times New Roman" w:hAnsi="Calibri"/>
                <w:color w:val="000000"/>
              </w:rPr>
              <w:t>2008</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736BCBAB" w14:textId="77777777" w:rsidR="00752A8A" w:rsidRDefault="00752A8A">
            <w:pPr>
              <w:jc w:val="right"/>
              <w:rPr>
                <w:rFonts w:ascii="Calibri" w:eastAsia="Times New Roman" w:hAnsi="Calibri"/>
                <w:color w:val="000000"/>
              </w:rPr>
            </w:pPr>
            <w:r>
              <w:rPr>
                <w:rFonts w:ascii="Calibri" w:eastAsia="Times New Roman" w:hAnsi="Calibri"/>
                <w:color w:val="000000"/>
              </w:rPr>
              <w:t>2009</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09714DB8" w14:textId="77777777" w:rsidR="00752A8A" w:rsidRDefault="00752A8A">
            <w:pPr>
              <w:jc w:val="right"/>
              <w:rPr>
                <w:rFonts w:ascii="Calibri" w:eastAsia="Times New Roman" w:hAnsi="Calibri"/>
                <w:color w:val="000000"/>
              </w:rPr>
            </w:pPr>
            <w:r>
              <w:rPr>
                <w:rFonts w:ascii="Calibri" w:eastAsia="Times New Roman" w:hAnsi="Calibri"/>
                <w:color w:val="000000"/>
              </w:rPr>
              <w:t>2010</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ABF4337" w14:textId="77777777" w:rsidR="00752A8A" w:rsidRDefault="00752A8A">
            <w:pPr>
              <w:jc w:val="right"/>
              <w:rPr>
                <w:rFonts w:ascii="Calibri" w:eastAsia="Times New Roman" w:hAnsi="Calibri"/>
                <w:color w:val="000000"/>
              </w:rPr>
            </w:pPr>
            <w:r>
              <w:rPr>
                <w:rFonts w:ascii="Calibri" w:eastAsia="Times New Roman" w:hAnsi="Calibri"/>
                <w:color w:val="000000"/>
              </w:rPr>
              <w:t>2011</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768277BC" w14:textId="77777777" w:rsidR="00752A8A" w:rsidRDefault="00752A8A">
            <w:pPr>
              <w:jc w:val="right"/>
              <w:rPr>
                <w:rFonts w:ascii="Calibri" w:eastAsia="Times New Roman" w:hAnsi="Calibri"/>
                <w:color w:val="000000"/>
              </w:rPr>
            </w:pPr>
            <w:r>
              <w:rPr>
                <w:rFonts w:ascii="Calibri" w:eastAsia="Times New Roman" w:hAnsi="Calibri"/>
                <w:color w:val="000000"/>
              </w:rPr>
              <w:t>2012</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06385093" w14:textId="77777777" w:rsidR="00752A8A" w:rsidRDefault="00752A8A">
            <w:pPr>
              <w:jc w:val="right"/>
              <w:rPr>
                <w:rFonts w:ascii="Calibri" w:eastAsia="Times New Roman" w:hAnsi="Calibri"/>
                <w:color w:val="000000"/>
              </w:rPr>
            </w:pPr>
            <w:r>
              <w:rPr>
                <w:rFonts w:ascii="Calibri" w:eastAsia="Times New Roman" w:hAnsi="Calibri"/>
                <w:color w:val="000000"/>
              </w:rPr>
              <w:t>2013</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3977D2D2" w14:textId="77777777" w:rsidR="00752A8A" w:rsidRDefault="00752A8A">
            <w:pPr>
              <w:jc w:val="right"/>
              <w:rPr>
                <w:rFonts w:ascii="Calibri" w:eastAsia="Times New Roman" w:hAnsi="Calibri"/>
                <w:color w:val="000000"/>
              </w:rPr>
            </w:pPr>
            <w:r>
              <w:rPr>
                <w:rFonts w:ascii="Calibri" w:eastAsia="Times New Roman" w:hAnsi="Calibri"/>
                <w:color w:val="000000"/>
              </w:rPr>
              <w:t>2014</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44DF9DB4" w14:textId="77777777" w:rsidR="00752A8A" w:rsidRDefault="00752A8A">
            <w:pPr>
              <w:jc w:val="right"/>
              <w:rPr>
                <w:rFonts w:ascii="Calibri" w:eastAsia="Times New Roman" w:hAnsi="Calibri"/>
                <w:color w:val="000000"/>
              </w:rPr>
            </w:pPr>
            <w:r>
              <w:rPr>
                <w:rFonts w:ascii="Calibri" w:eastAsia="Times New Roman" w:hAnsi="Calibri"/>
                <w:color w:val="000000"/>
              </w:rPr>
              <w:t>2015</w:t>
            </w:r>
          </w:p>
        </w:tc>
        <w:tc>
          <w:tcPr>
            <w:tcW w:w="864" w:type="dxa"/>
            <w:tcBorders>
              <w:top w:val="nil"/>
              <w:left w:val="nil"/>
              <w:bottom w:val="nil"/>
              <w:right w:val="nil"/>
            </w:tcBorders>
            <w:shd w:val="clear" w:color="auto" w:fill="auto"/>
            <w:noWrap/>
            <w:vAlign w:val="bottom"/>
            <w:hideMark/>
          </w:tcPr>
          <w:p w14:paraId="51B1CCF2" w14:textId="77777777" w:rsidR="00752A8A" w:rsidRDefault="00752A8A">
            <w:pPr>
              <w:jc w:val="right"/>
              <w:rPr>
                <w:rFonts w:ascii="Calibri" w:eastAsia="Times New Roman" w:hAnsi="Calibri"/>
                <w:color w:val="000000"/>
              </w:rPr>
            </w:pPr>
          </w:p>
        </w:tc>
      </w:tr>
      <w:tr w:rsidR="00752A8A" w14:paraId="3FC9C905"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0FAA480" w14:textId="77777777" w:rsidR="00752A8A" w:rsidRDefault="00752A8A">
            <w:pPr>
              <w:rPr>
                <w:rFonts w:ascii="Calibri" w:eastAsia="Times New Roman" w:hAnsi="Calibri"/>
                <w:color w:val="000000"/>
              </w:rPr>
            </w:pPr>
            <w:r>
              <w:rPr>
                <w:rFonts w:ascii="Calibri" w:eastAsia="Times New Roman" w:hAnsi="Calibri"/>
                <w:color w:val="000000"/>
              </w:rPr>
              <w:t>All Evictions</w:t>
            </w:r>
          </w:p>
        </w:tc>
        <w:tc>
          <w:tcPr>
            <w:tcW w:w="864" w:type="dxa"/>
            <w:tcBorders>
              <w:top w:val="nil"/>
              <w:left w:val="nil"/>
              <w:bottom w:val="single" w:sz="4" w:space="0" w:color="auto"/>
              <w:right w:val="single" w:sz="4" w:space="0" w:color="auto"/>
            </w:tcBorders>
            <w:shd w:val="clear" w:color="auto" w:fill="auto"/>
            <w:noWrap/>
            <w:vAlign w:val="bottom"/>
            <w:hideMark/>
          </w:tcPr>
          <w:p w14:paraId="0A85B764" w14:textId="77777777" w:rsidR="00752A8A" w:rsidRDefault="00752A8A">
            <w:pPr>
              <w:jc w:val="right"/>
              <w:rPr>
                <w:rFonts w:ascii="Calibri" w:eastAsia="Times New Roman" w:hAnsi="Calibri"/>
                <w:color w:val="000000"/>
              </w:rPr>
            </w:pPr>
            <w:r>
              <w:rPr>
                <w:rFonts w:ascii="Calibri" w:eastAsia="Times New Roman" w:hAnsi="Calibri"/>
                <w:color w:val="000000"/>
              </w:rPr>
              <w:t>1482</w:t>
            </w:r>
          </w:p>
        </w:tc>
        <w:tc>
          <w:tcPr>
            <w:tcW w:w="864" w:type="dxa"/>
            <w:tcBorders>
              <w:top w:val="nil"/>
              <w:left w:val="nil"/>
              <w:bottom w:val="single" w:sz="4" w:space="0" w:color="auto"/>
              <w:right w:val="single" w:sz="4" w:space="0" w:color="auto"/>
            </w:tcBorders>
            <w:shd w:val="clear" w:color="auto" w:fill="auto"/>
            <w:noWrap/>
            <w:vAlign w:val="bottom"/>
            <w:hideMark/>
          </w:tcPr>
          <w:p w14:paraId="46D93897" w14:textId="77777777" w:rsidR="00752A8A" w:rsidRDefault="00752A8A">
            <w:pPr>
              <w:jc w:val="right"/>
              <w:rPr>
                <w:rFonts w:ascii="Calibri" w:eastAsia="Times New Roman" w:hAnsi="Calibri"/>
                <w:color w:val="000000"/>
              </w:rPr>
            </w:pPr>
            <w:r>
              <w:rPr>
                <w:rFonts w:ascii="Calibri" w:eastAsia="Times New Roman" w:hAnsi="Calibri"/>
                <w:color w:val="000000"/>
              </w:rPr>
              <w:t>1413</w:t>
            </w:r>
          </w:p>
        </w:tc>
        <w:tc>
          <w:tcPr>
            <w:tcW w:w="864" w:type="dxa"/>
            <w:tcBorders>
              <w:top w:val="nil"/>
              <w:left w:val="nil"/>
              <w:bottom w:val="single" w:sz="4" w:space="0" w:color="auto"/>
              <w:right w:val="single" w:sz="4" w:space="0" w:color="auto"/>
            </w:tcBorders>
            <w:shd w:val="clear" w:color="auto" w:fill="auto"/>
            <w:noWrap/>
            <w:vAlign w:val="bottom"/>
            <w:hideMark/>
          </w:tcPr>
          <w:p w14:paraId="165CDAB7" w14:textId="77777777" w:rsidR="00752A8A" w:rsidRDefault="00752A8A">
            <w:pPr>
              <w:jc w:val="right"/>
              <w:rPr>
                <w:rFonts w:ascii="Calibri" w:eastAsia="Times New Roman" w:hAnsi="Calibri"/>
                <w:color w:val="000000"/>
              </w:rPr>
            </w:pPr>
            <w:r>
              <w:rPr>
                <w:rFonts w:ascii="Calibri" w:eastAsia="Times New Roman" w:hAnsi="Calibri"/>
                <w:color w:val="000000"/>
              </w:rPr>
              <w:t>1174</w:t>
            </w:r>
          </w:p>
        </w:tc>
        <w:tc>
          <w:tcPr>
            <w:tcW w:w="864" w:type="dxa"/>
            <w:tcBorders>
              <w:top w:val="nil"/>
              <w:left w:val="nil"/>
              <w:bottom w:val="single" w:sz="4" w:space="0" w:color="auto"/>
              <w:right w:val="single" w:sz="4" w:space="0" w:color="auto"/>
            </w:tcBorders>
            <w:shd w:val="clear" w:color="auto" w:fill="auto"/>
            <w:noWrap/>
            <w:vAlign w:val="bottom"/>
            <w:hideMark/>
          </w:tcPr>
          <w:p w14:paraId="033F5A81" w14:textId="77777777" w:rsidR="00752A8A" w:rsidRDefault="00752A8A">
            <w:pPr>
              <w:jc w:val="right"/>
              <w:rPr>
                <w:rFonts w:ascii="Calibri" w:eastAsia="Times New Roman" w:hAnsi="Calibri"/>
                <w:color w:val="000000"/>
              </w:rPr>
            </w:pPr>
            <w:r>
              <w:rPr>
                <w:rFonts w:ascii="Calibri" w:eastAsia="Times New Roman" w:hAnsi="Calibri"/>
                <w:color w:val="000000"/>
              </w:rPr>
              <w:t>1359</w:t>
            </w:r>
          </w:p>
        </w:tc>
        <w:tc>
          <w:tcPr>
            <w:tcW w:w="864" w:type="dxa"/>
            <w:tcBorders>
              <w:top w:val="nil"/>
              <w:left w:val="nil"/>
              <w:bottom w:val="single" w:sz="4" w:space="0" w:color="auto"/>
              <w:right w:val="single" w:sz="4" w:space="0" w:color="auto"/>
            </w:tcBorders>
            <w:shd w:val="clear" w:color="auto" w:fill="auto"/>
            <w:noWrap/>
            <w:vAlign w:val="bottom"/>
            <w:hideMark/>
          </w:tcPr>
          <w:p w14:paraId="307FA6EF" w14:textId="77777777" w:rsidR="00752A8A" w:rsidRDefault="00752A8A">
            <w:pPr>
              <w:jc w:val="right"/>
              <w:rPr>
                <w:rFonts w:ascii="Calibri" w:eastAsia="Times New Roman" w:hAnsi="Calibri"/>
                <w:color w:val="000000"/>
              </w:rPr>
            </w:pPr>
            <w:r>
              <w:rPr>
                <w:rFonts w:ascii="Calibri" w:eastAsia="Times New Roman" w:hAnsi="Calibri"/>
                <w:color w:val="000000"/>
              </w:rPr>
              <w:t>1296</w:t>
            </w:r>
          </w:p>
        </w:tc>
        <w:tc>
          <w:tcPr>
            <w:tcW w:w="864" w:type="dxa"/>
            <w:tcBorders>
              <w:top w:val="nil"/>
              <w:left w:val="nil"/>
              <w:bottom w:val="single" w:sz="4" w:space="0" w:color="auto"/>
              <w:right w:val="single" w:sz="4" w:space="0" w:color="auto"/>
            </w:tcBorders>
            <w:shd w:val="clear" w:color="auto" w:fill="auto"/>
            <w:noWrap/>
            <w:vAlign w:val="bottom"/>
            <w:hideMark/>
          </w:tcPr>
          <w:p w14:paraId="2C33EEC7" w14:textId="77777777" w:rsidR="00752A8A" w:rsidRDefault="00752A8A">
            <w:pPr>
              <w:jc w:val="right"/>
              <w:rPr>
                <w:rFonts w:ascii="Calibri" w:eastAsia="Times New Roman" w:hAnsi="Calibri"/>
                <w:color w:val="000000"/>
              </w:rPr>
            </w:pPr>
            <w:r>
              <w:rPr>
                <w:rFonts w:ascii="Calibri" w:eastAsia="Times New Roman" w:hAnsi="Calibri"/>
                <w:color w:val="000000"/>
              </w:rPr>
              <w:t>1631</w:t>
            </w:r>
          </w:p>
        </w:tc>
        <w:tc>
          <w:tcPr>
            <w:tcW w:w="864" w:type="dxa"/>
            <w:tcBorders>
              <w:top w:val="nil"/>
              <w:left w:val="nil"/>
              <w:bottom w:val="single" w:sz="4" w:space="0" w:color="auto"/>
              <w:right w:val="single" w:sz="4" w:space="0" w:color="auto"/>
            </w:tcBorders>
            <w:shd w:val="clear" w:color="auto" w:fill="auto"/>
            <w:noWrap/>
            <w:vAlign w:val="bottom"/>
            <w:hideMark/>
          </w:tcPr>
          <w:p w14:paraId="5F5C0B81" w14:textId="77777777" w:rsidR="00752A8A" w:rsidRDefault="00752A8A">
            <w:pPr>
              <w:jc w:val="right"/>
              <w:rPr>
                <w:rFonts w:ascii="Calibri" w:eastAsia="Times New Roman" w:hAnsi="Calibri"/>
                <w:color w:val="000000"/>
              </w:rPr>
            </w:pPr>
            <w:r>
              <w:rPr>
                <w:rFonts w:ascii="Calibri" w:eastAsia="Times New Roman" w:hAnsi="Calibri"/>
                <w:color w:val="000000"/>
              </w:rPr>
              <w:t>1871</w:t>
            </w:r>
          </w:p>
        </w:tc>
        <w:tc>
          <w:tcPr>
            <w:tcW w:w="864" w:type="dxa"/>
            <w:tcBorders>
              <w:top w:val="nil"/>
              <w:left w:val="nil"/>
              <w:bottom w:val="single" w:sz="4" w:space="0" w:color="auto"/>
              <w:right w:val="single" w:sz="4" w:space="0" w:color="auto"/>
            </w:tcBorders>
            <w:shd w:val="clear" w:color="auto" w:fill="auto"/>
            <w:noWrap/>
            <w:vAlign w:val="bottom"/>
            <w:hideMark/>
          </w:tcPr>
          <w:p w14:paraId="69322B14" w14:textId="77777777" w:rsidR="00752A8A" w:rsidRDefault="00752A8A">
            <w:pPr>
              <w:jc w:val="right"/>
              <w:rPr>
                <w:rFonts w:ascii="Calibri" w:eastAsia="Times New Roman" w:hAnsi="Calibri"/>
                <w:color w:val="000000"/>
              </w:rPr>
            </w:pPr>
            <w:r>
              <w:rPr>
                <w:rFonts w:ascii="Calibri" w:eastAsia="Times New Roman" w:hAnsi="Calibri"/>
                <w:color w:val="000000"/>
              </w:rPr>
              <w:t>1982</w:t>
            </w:r>
          </w:p>
        </w:tc>
        <w:tc>
          <w:tcPr>
            <w:tcW w:w="864" w:type="dxa"/>
            <w:tcBorders>
              <w:top w:val="nil"/>
              <w:left w:val="nil"/>
              <w:bottom w:val="single" w:sz="4" w:space="0" w:color="auto"/>
              <w:right w:val="single" w:sz="4" w:space="0" w:color="auto"/>
            </w:tcBorders>
            <w:shd w:val="clear" w:color="auto" w:fill="auto"/>
            <w:noWrap/>
            <w:vAlign w:val="bottom"/>
            <w:hideMark/>
          </w:tcPr>
          <w:p w14:paraId="44AB8897" w14:textId="77777777" w:rsidR="00752A8A" w:rsidRDefault="00752A8A">
            <w:pPr>
              <w:jc w:val="right"/>
              <w:rPr>
                <w:rFonts w:ascii="Calibri" w:eastAsia="Times New Roman" w:hAnsi="Calibri"/>
                <w:color w:val="000000"/>
              </w:rPr>
            </w:pPr>
            <w:r>
              <w:rPr>
                <w:rFonts w:ascii="Calibri" w:eastAsia="Times New Roman" w:hAnsi="Calibri"/>
                <w:color w:val="000000"/>
              </w:rPr>
              <w:t>2078</w:t>
            </w:r>
          </w:p>
        </w:tc>
        <w:tc>
          <w:tcPr>
            <w:tcW w:w="864" w:type="dxa"/>
            <w:tcBorders>
              <w:top w:val="nil"/>
              <w:left w:val="nil"/>
              <w:bottom w:val="nil"/>
              <w:right w:val="nil"/>
            </w:tcBorders>
            <w:shd w:val="clear" w:color="auto" w:fill="auto"/>
            <w:noWrap/>
            <w:vAlign w:val="bottom"/>
            <w:hideMark/>
          </w:tcPr>
          <w:p w14:paraId="03A3D908" w14:textId="77777777" w:rsidR="00752A8A" w:rsidRDefault="00752A8A">
            <w:pPr>
              <w:jc w:val="right"/>
              <w:rPr>
                <w:rFonts w:ascii="Calibri" w:eastAsia="Times New Roman" w:hAnsi="Calibri"/>
                <w:color w:val="000000"/>
              </w:rPr>
            </w:pPr>
          </w:p>
        </w:tc>
      </w:tr>
      <w:tr w:rsidR="00752A8A" w14:paraId="6BACAD29"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B3198BD" w14:textId="77777777" w:rsidR="00752A8A" w:rsidRDefault="00752A8A">
            <w:pPr>
              <w:rPr>
                <w:rFonts w:ascii="Calibri" w:eastAsia="Times New Roman" w:hAnsi="Calibri"/>
                <w:color w:val="000000"/>
              </w:rPr>
            </w:pPr>
            <w:r>
              <w:rPr>
                <w:rFonts w:ascii="Calibri" w:eastAsia="Times New Roman" w:hAnsi="Calibri"/>
                <w:color w:val="000000"/>
              </w:rPr>
              <w:t>No Fault</w:t>
            </w:r>
          </w:p>
        </w:tc>
        <w:tc>
          <w:tcPr>
            <w:tcW w:w="864" w:type="dxa"/>
            <w:tcBorders>
              <w:top w:val="nil"/>
              <w:left w:val="nil"/>
              <w:bottom w:val="single" w:sz="4" w:space="0" w:color="auto"/>
              <w:right w:val="single" w:sz="4" w:space="0" w:color="auto"/>
            </w:tcBorders>
            <w:shd w:val="clear" w:color="auto" w:fill="auto"/>
            <w:noWrap/>
            <w:vAlign w:val="bottom"/>
            <w:hideMark/>
          </w:tcPr>
          <w:p w14:paraId="78BD4EEB" w14:textId="77777777" w:rsidR="00752A8A" w:rsidRDefault="00752A8A">
            <w:pPr>
              <w:jc w:val="right"/>
              <w:rPr>
                <w:rFonts w:ascii="Calibri" w:eastAsia="Times New Roman" w:hAnsi="Calibri"/>
                <w:color w:val="000000"/>
              </w:rPr>
            </w:pPr>
            <w:r>
              <w:rPr>
                <w:rFonts w:ascii="Calibri" w:eastAsia="Times New Roman" w:hAnsi="Calibri"/>
                <w:color w:val="000000"/>
              </w:rPr>
              <w:t>584</w:t>
            </w:r>
          </w:p>
        </w:tc>
        <w:tc>
          <w:tcPr>
            <w:tcW w:w="864" w:type="dxa"/>
            <w:tcBorders>
              <w:top w:val="nil"/>
              <w:left w:val="nil"/>
              <w:bottom w:val="single" w:sz="4" w:space="0" w:color="auto"/>
              <w:right w:val="single" w:sz="4" w:space="0" w:color="auto"/>
            </w:tcBorders>
            <w:shd w:val="clear" w:color="auto" w:fill="auto"/>
            <w:noWrap/>
            <w:vAlign w:val="bottom"/>
            <w:hideMark/>
          </w:tcPr>
          <w:p w14:paraId="1189796C" w14:textId="77777777" w:rsidR="00752A8A" w:rsidRDefault="00752A8A">
            <w:pPr>
              <w:jc w:val="right"/>
              <w:rPr>
                <w:rFonts w:ascii="Calibri" w:eastAsia="Times New Roman" w:hAnsi="Calibri"/>
                <w:color w:val="000000"/>
              </w:rPr>
            </w:pPr>
            <w:r>
              <w:rPr>
                <w:rFonts w:ascii="Calibri" w:eastAsia="Times New Roman" w:hAnsi="Calibri"/>
                <w:color w:val="000000"/>
              </w:rPr>
              <w:t>511</w:t>
            </w:r>
          </w:p>
        </w:tc>
        <w:tc>
          <w:tcPr>
            <w:tcW w:w="864" w:type="dxa"/>
            <w:tcBorders>
              <w:top w:val="nil"/>
              <w:left w:val="nil"/>
              <w:bottom w:val="single" w:sz="4" w:space="0" w:color="auto"/>
              <w:right w:val="single" w:sz="4" w:space="0" w:color="auto"/>
            </w:tcBorders>
            <w:shd w:val="clear" w:color="auto" w:fill="auto"/>
            <w:noWrap/>
            <w:vAlign w:val="bottom"/>
            <w:hideMark/>
          </w:tcPr>
          <w:p w14:paraId="6203D503" w14:textId="77777777" w:rsidR="00752A8A" w:rsidRDefault="00752A8A">
            <w:pPr>
              <w:jc w:val="right"/>
              <w:rPr>
                <w:rFonts w:ascii="Calibri" w:eastAsia="Times New Roman" w:hAnsi="Calibri"/>
                <w:color w:val="000000"/>
              </w:rPr>
            </w:pPr>
            <w:r>
              <w:rPr>
                <w:rFonts w:ascii="Calibri" w:eastAsia="Times New Roman" w:hAnsi="Calibri"/>
                <w:color w:val="000000"/>
              </w:rPr>
              <w:t>301</w:t>
            </w:r>
          </w:p>
        </w:tc>
        <w:tc>
          <w:tcPr>
            <w:tcW w:w="864" w:type="dxa"/>
            <w:tcBorders>
              <w:top w:val="nil"/>
              <w:left w:val="nil"/>
              <w:bottom w:val="single" w:sz="4" w:space="0" w:color="auto"/>
              <w:right w:val="single" w:sz="4" w:space="0" w:color="auto"/>
            </w:tcBorders>
            <w:shd w:val="clear" w:color="auto" w:fill="auto"/>
            <w:noWrap/>
            <w:vAlign w:val="bottom"/>
            <w:hideMark/>
          </w:tcPr>
          <w:p w14:paraId="480FB772" w14:textId="77777777" w:rsidR="00752A8A" w:rsidRDefault="00752A8A">
            <w:pPr>
              <w:jc w:val="right"/>
              <w:rPr>
                <w:rFonts w:ascii="Calibri" w:eastAsia="Times New Roman" w:hAnsi="Calibri"/>
                <w:color w:val="000000"/>
              </w:rPr>
            </w:pPr>
            <w:r>
              <w:rPr>
                <w:rFonts w:ascii="Calibri" w:eastAsia="Times New Roman" w:hAnsi="Calibri"/>
                <w:color w:val="000000"/>
              </w:rPr>
              <w:t>464</w:t>
            </w:r>
          </w:p>
        </w:tc>
        <w:tc>
          <w:tcPr>
            <w:tcW w:w="864" w:type="dxa"/>
            <w:tcBorders>
              <w:top w:val="nil"/>
              <w:left w:val="nil"/>
              <w:bottom w:val="single" w:sz="4" w:space="0" w:color="auto"/>
              <w:right w:val="single" w:sz="4" w:space="0" w:color="auto"/>
            </w:tcBorders>
            <w:shd w:val="clear" w:color="auto" w:fill="auto"/>
            <w:noWrap/>
            <w:vAlign w:val="bottom"/>
            <w:hideMark/>
          </w:tcPr>
          <w:p w14:paraId="1DFD64B6" w14:textId="77777777" w:rsidR="00752A8A" w:rsidRDefault="00752A8A">
            <w:pPr>
              <w:jc w:val="right"/>
              <w:rPr>
                <w:rFonts w:ascii="Calibri" w:eastAsia="Times New Roman" w:hAnsi="Calibri"/>
                <w:color w:val="000000"/>
              </w:rPr>
            </w:pPr>
            <w:r>
              <w:rPr>
                <w:rFonts w:ascii="Calibri" w:eastAsia="Times New Roman" w:hAnsi="Calibri"/>
                <w:color w:val="000000"/>
              </w:rPr>
              <w:t>356</w:t>
            </w:r>
          </w:p>
        </w:tc>
        <w:tc>
          <w:tcPr>
            <w:tcW w:w="864" w:type="dxa"/>
            <w:tcBorders>
              <w:top w:val="nil"/>
              <w:left w:val="nil"/>
              <w:bottom w:val="single" w:sz="4" w:space="0" w:color="auto"/>
              <w:right w:val="single" w:sz="4" w:space="0" w:color="auto"/>
            </w:tcBorders>
            <w:shd w:val="clear" w:color="auto" w:fill="auto"/>
            <w:noWrap/>
            <w:vAlign w:val="bottom"/>
            <w:hideMark/>
          </w:tcPr>
          <w:p w14:paraId="1D0D5ADC" w14:textId="77777777" w:rsidR="00752A8A" w:rsidRDefault="00752A8A">
            <w:pPr>
              <w:jc w:val="right"/>
              <w:rPr>
                <w:rFonts w:ascii="Calibri" w:eastAsia="Times New Roman" w:hAnsi="Calibri"/>
                <w:color w:val="000000"/>
              </w:rPr>
            </w:pPr>
            <w:r>
              <w:rPr>
                <w:rFonts w:ascii="Calibri" w:eastAsia="Times New Roman" w:hAnsi="Calibri"/>
                <w:color w:val="000000"/>
              </w:rPr>
              <w:t>695</w:t>
            </w:r>
          </w:p>
        </w:tc>
        <w:tc>
          <w:tcPr>
            <w:tcW w:w="864" w:type="dxa"/>
            <w:tcBorders>
              <w:top w:val="nil"/>
              <w:left w:val="nil"/>
              <w:bottom w:val="single" w:sz="4" w:space="0" w:color="auto"/>
              <w:right w:val="single" w:sz="4" w:space="0" w:color="auto"/>
            </w:tcBorders>
            <w:shd w:val="clear" w:color="auto" w:fill="auto"/>
            <w:noWrap/>
            <w:vAlign w:val="bottom"/>
            <w:hideMark/>
          </w:tcPr>
          <w:p w14:paraId="24635B00" w14:textId="77777777" w:rsidR="00752A8A" w:rsidRDefault="00752A8A">
            <w:pPr>
              <w:jc w:val="right"/>
              <w:rPr>
                <w:rFonts w:ascii="Calibri" w:eastAsia="Times New Roman" w:hAnsi="Calibri"/>
                <w:color w:val="000000"/>
              </w:rPr>
            </w:pPr>
            <w:r>
              <w:rPr>
                <w:rFonts w:ascii="Calibri" w:eastAsia="Times New Roman" w:hAnsi="Calibri"/>
                <w:color w:val="000000"/>
              </w:rPr>
              <w:t>770</w:t>
            </w:r>
          </w:p>
        </w:tc>
        <w:tc>
          <w:tcPr>
            <w:tcW w:w="864" w:type="dxa"/>
            <w:tcBorders>
              <w:top w:val="nil"/>
              <w:left w:val="nil"/>
              <w:bottom w:val="single" w:sz="4" w:space="0" w:color="auto"/>
              <w:right w:val="single" w:sz="4" w:space="0" w:color="auto"/>
            </w:tcBorders>
            <w:shd w:val="clear" w:color="auto" w:fill="auto"/>
            <w:noWrap/>
            <w:vAlign w:val="bottom"/>
            <w:hideMark/>
          </w:tcPr>
          <w:p w14:paraId="12A6E7DE" w14:textId="77777777" w:rsidR="00752A8A" w:rsidRDefault="00752A8A">
            <w:pPr>
              <w:jc w:val="right"/>
              <w:rPr>
                <w:rFonts w:ascii="Calibri" w:eastAsia="Times New Roman" w:hAnsi="Calibri"/>
                <w:color w:val="000000"/>
              </w:rPr>
            </w:pPr>
            <w:r>
              <w:rPr>
                <w:rFonts w:ascii="Calibri" w:eastAsia="Times New Roman" w:hAnsi="Calibri"/>
                <w:color w:val="000000"/>
              </w:rPr>
              <w:t>617</w:t>
            </w:r>
          </w:p>
        </w:tc>
        <w:tc>
          <w:tcPr>
            <w:tcW w:w="864" w:type="dxa"/>
            <w:tcBorders>
              <w:top w:val="nil"/>
              <w:left w:val="nil"/>
              <w:bottom w:val="single" w:sz="4" w:space="0" w:color="auto"/>
              <w:right w:val="single" w:sz="4" w:space="0" w:color="auto"/>
            </w:tcBorders>
            <w:shd w:val="clear" w:color="auto" w:fill="auto"/>
            <w:noWrap/>
            <w:vAlign w:val="bottom"/>
            <w:hideMark/>
          </w:tcPr>
          <w:p w14:paraId="2819F376" w14:textId="77777777" w:rsidR="00752A8A" w:rsidRDefault="00752A8A">
            <w:pPr>
              <w:jc w:val="right"/>
              <w:rPr>
                <w:rFonts w:ascii="Calibri" w:eastAsia="Times New Roman" w:hAnsi="Calibri"/>
                <w:color w:val="000000"/>
              </w:rPr>
            </w:pPr>
            <w:r>
              <w:rPr>
                <w:rFonts w:ascii="Calibri" w:eastAsia="Times New Roman" w:hAnsi="Calibri"/>
                <w:color w:val="000000"/>
              </w:rPr>
              <w:t>792</w:t>
            </w:r>
          </w:p>
        </w:tc>
        <w:tc>
          <w:tcPr>
            <w:tcW w:w="864" w:type="dxa"/>
            <w:tcBorders>
              <w:top w:val="nil"/>
              <w:left w:val="nil"/>
              <w:bottom w:val="nil"/>
              <w:right w:val="nil"/>
            </w:tcBorders>
            <w:shd w:val="clear" w:color="auto" w:fill="auto"/>
            <w:noWrap/>
            <w:vAlign w:val="bottom"/>
            <w:hideMark/>
          </w:tcPr>
          <w:p w14:paraId="069DB81C" w14:textId="77777777" w:rsidR="00752A8A" w:rsidRDefault="00752A8A">
            <w:pPr>
              <w:jc w:val="right"/>
              <w:rPr>
                <w:rFonts w:ascii="Calibri" w:eastAsia="Times New Roman" w:hAnsi="Calibri"/>
                <w:color w:val="000000"/>
              </w:rPr>
            </w:pPr>
          </w:p>
        </w:tc>
      </w:tr>
      <w:tr w:rsidR="00752A8A" w14:paraId="21B79EB5"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7BF76D" w14:textId="452FD993" w:rsidR="00752A8A" w:rsidRDefault="00752A8A">
            <w:pPr>
              <w:rPr>
                <w:rFonts w:ascii="Calibri" w:eastAsia="Times New Roman" w:hAnsi="Calibri"/>
                <w:color w:val="000000"/>
              </w:rPr>
            </w:pPr>
            <w:r>
              <w:rPr>
                <w:rFonts w:ascii="Calibri" w:eastAsia="Times New Roman" w:hAnsi="Calibri"/>
                <w:color w:val="000000"/>
              </w:rPr>
              <w:t>Ellis</w:t>
            </w:r>
            <w:r>
              <w:rPr>
                <w:rFonts w:ascii="Calibri" w:eastAsia="Times New Roman" w:hAnsi="Calibri"/>
                <w:color w:val="000000"/>
              </w:rPr>
              <w:t xml:space="preserve"> Act</w:t>
            </w:r>
          </w:p>
        </w:tc>
        <w:tc>
          <w:tcPr>
            <w:tcW w:w="864" w:type="dxa"/>
            <w:tcBorders>
              <w:top w:val="nil"/>
              <w:left w:val="nil"/>
              <w:bottom w:val="single" w:sz="4" w:space="0" w:color="auto"/>
              <w:right w:val="single" w:sz="4" w:space="0" w:color="auto"/>
            </w:tcBorders>
            <w:shd w:val="clear" w:color="auto" w:fill="auto"/>
            <w:noWrap/>
            <w:vAlign w:val="bottom"/>
            <w:hideMark/>
          </w:tcPr>
          <w:p w14:paraId="60D00269" w14:textId="77777777" w:rsidR="00752A8A" w:rsidRDefault="00752A8A">
            <w:pPr>
              <w:jc w:val="right"/>
              <w:rPr>
                <w:rFonts w:ascii="Calibri" w:eastAsia="Times New Roman" w:hAnsi="Calibri"/>
                <w:color w:val="000000"/>
              </w:rPr>
            </w:pPr>
            <w:r>
              <w:rPr>
                <w:rFonts w:ascii="Calibri" w:eastAsia="Times New Roman" w:hAnsi="Calibri"/>
                <w:color w:val="000000"/>
              </w:rPr>
              <w:t>237</w:t>
            </w:r>
          </w:p>
        </w:tc>
        <w:tc>
          <w:tcPr>
            <w:tcW w:w="864" w:type="dxa"/>
            <w:tcBorders>
              <w:top w:val="nil"/>
              <w:left w:val="nil"/>
              <w:bottom w:val="single" w:sz="4" w:space="0" w:color="auto"/>
              <w:right w:val="single" w:sz="4" w:space="0" w:color="auto"/>
            </w:tcBorders>
            <w:shd w:val="clear" w:color="auto" w:fill="auto"/>
            <w:noWrap/>
            <w:vAlign w:val="bottom"/>
            <w:hideMark/>
          </w:tcPr>
          <w:p w14:paraId="26F972FA" w14:textId="77777777" w:rsidR="00752A8A" w:rsidRDefault="00752A8A">
            <w:pPr>
              <w:jc w:val="right"/>
              <w:rPr>
                <w:rFonts w:ascii="Calibri" w:eastAsia="Times New Roman" w:hAnsi="Calibri"/>
                <w:color w:val="000000"/>
              </w:rPr>
            </w:pPr>
            <w:r>
              <w:rPr>
                <w:rFonts w:ascii="Calibri" w:eastAsia="Times New Roman" w:hAnsi="Calibri"/>
                <w:color w:val="000000"/>
              </w:rPr>
              <w:t>194</w:t>
            </w:r>
          </w:p>
        </w:tc>
        <w:tc>
          <w:tcPr>
            <w:tcW w:w="864" w:type="dxa"/>
            <w:tcBorders>
              <w:top w:val="nil"/>
              <w:left w:val="nil"/>
              <w:bottom w:val="single" w:sz="4" w:space="0" w:color="auto"/>
              <w:right w:val="single" w:sz="4" w:space="0" w:color="auto"/>
            </w:tcBorders>
            <w:shd w:val="clear" w:color="auto" w:fill="auto"/>
            <w:noWrap/>
            <w:vAlign w:val="bottom"/>
            <w:hideMark/>
          </w:tcPr>
          <w:p w14:paraId="4ABCABD3" w14:textId="77777777" w:rsidR="00752A8A" w:rsidRDefault="00752A8A">
            <w:pPr>
              <w:jc w:val="right"/>
              <w:rPr>
                <w:rFonts w:ascii="Calibri" w:eastAsia="Times New Roman" w:hAnsi="Calibri"/>
                <w:color w:val="000000"/>
              </w:rPr>
            </w:pPr>
            <w:r>
              <w:rPr>
                <w:rFonts w:ascii="Calibri" w:eastAsia="Times New Roman" w:hAnsi="Calibri"/>
                <w:color w:val="000000"/>
              </w:rPr>
              <w:t>48</w:t>
            </w:r>
          </w:p>
        </w:tc>
        <w:tc>
          <w:tcPr>
            <w:tcW w:w="864" w:type="dxa"/>
            <w:tcBorders>
              <w:top w:val="nil"/>
              <w:left w:val="nil"/>
              <w:bottom w:val="single" w:sz="4" w:space="0" w:color="auto"/>
              <w:right w:val="single" w:sz="4" w:space="0" w:color="auto"/>
            </w:tcBorders>
            <w:shd w:val="clear" w:color="auto" w:fill="auto"/>
            <w:noWrap/>
            <w:vAlign w:val="bottom"/>
            <w:hideMark/>
          </w:tcPr>
          <w:p w14:paraId="431890AC" w14:textId="77777777" w:rsidR="00752A8A" w:rsidRDefault="00752A8A">
            <w:pPr>
              <w:jc w:val="right"/>
              <w:rPr>
                <w:rFonts w:ascii="Calibri" w:eastAsia="Times New Roman" w:hAnsi="Calibri"/>
                <w:color w:val="000000"/>
              </w:rPr>
            </w:pPr>
            <w:r>
              <w:rPr>
                <w:rFonts w:ascii="Calibri" w:eastAsia="Times New Roman" w:hAnsi="Calibri"/>
                <w:color w:val="000000"/>
              </w:rPr>
              <w:t>70</w:t>
            </w:r>
          </w:p>
        </w:tc>
        <w:tc>
          <w:tcPr>
            <w:tcW w:w="864" w:type="dxa"/>
            <w:tcBorders>
              <w:top w:val="nil"/>
              <w:left w:val="nil"/>
              <w:bottom w:val="single" w:sz="4" w:space="0" w:color="auto"/>
              <w:right w:val="single" w:sz="4" w:space="0" w:color="auto"/>
            </w:tcBorders>
            <w:shd w:val="clear" w:color="auto" w:fill="auto"/>
            <w:noWrap/>
            <w:vAlign w:val="bottom"/>
            <w:hideMark/>
          </w:tcPr>
          <w:p w14:paraId="2072FA37" w14:textId="77777777" w:rsidR="00752A8A" w:rsidRDefault="00752A8A">
            <w:pPr>
              <w:jc w:val="right"/>
              <w:rPr>
                <w:rFonts w:ascii="Calibri" w:eastAsia="Times New Roman" w:hAnsi="Calibri"/>
                <w:color w:val="000000"/>
              </w:rPr>
            </w:pPr>
            <w:r>
              <w:rPr>
                <w:rFonts w:ascii="Calibri" w:eastAsia="Times New Roman" w:hAnsi="Calibri"/>
                <w:color w:val="000000"/>
              </w:rPr>
              <w:t>54</w:t>
            </w:r>
          </w:p>
        </w:tc>
        <w:tc>
          <w:tcPr>
            <w:tcW w:w="864" w:type="dxa"/>
            <w:tcBorders>
              <w:top w:val="nil"/>
              <w:left w:val="nil"/>
              <w:bottom w:val="single" w:sz="4" w:space="0" w:color="auto"/>
              <w:right w:val="single" w:sz="4" w:space="0" w:color="auto"/>
            </w:tcBorders>
            <w:shd w:val="clear" w:color="auto" w:fill="auto"/>
            <w:noWrap/>
            <w:vAlign w:val="bottom"/>
            <w:hideMark/>
          </w:tcPr>
          <w:p w14:paraId="75F5E0C0" w14:textId="77777777" w:rsidR="00752A8A" w:rsidRDefault="00752A8A">
            <w:pPr>
              <w:jc w:val="right"/>
              <w:rPr>
                <w:rFonts w:ascii="Calibri" w:eastAsia="Times New Roman" w:hAnsi="Calibri"/>
                <w:color w:val="000000"/>
              </w:rPr>
            </w:pPr>
            <w:r>
              <w:rPr>
                <w:rFonts w:ascii="Calibri" w:eastAsia="Times New Roman" w:hAnsi="Calibri"/>
                <w:color w:val="000000"/>
              </w:rPr>
              <w:t>99</w:t>
            </w:r>
          </w:p>
        </w:tc>
        <w:tc>
          <w:tcPr>
            <w:tcW w:w="864" w:type="dxa"/>
            <w:tcBorders>
              <w:top w:val="nil"/>
              <w:left w:val="nil"/>
              <w:bottom w:val="single" w:sz="4" w:space="0" w:color="auto"/>
              <w:right w:val="single" w:sz="4" w:space="0" w:color="auto"/>
            </w:tcBorders>
            <w:shd w:val="clear" w:color="auto" w:fill="auto"/>
            <w:noWrap/>
            <w:vAlign w:val="bottom"/>
            <w:hideMark/>
          </w:tcPr>
          <w:p w14:paraId="74BC1E9B" w14:textId="77777777" w:rsidR="00752A8A" w:rsidRDefault="00752A8A">
            <w:pPr>
              <w:jc w:val="right"/>
              <w:rPr>
                <w:rFonts w:ascii="Calibri" w:eastAsia="Times New Roman" w:hAnsi="Calibri"/>
                <w:color w:val="000000"/>
              </w:rPr>
            </w:pPr>
            <w:r>
              <w:rPr>
                <w:rFonts w:ascii="Calibri" w:eastAsia="Times New Roman" w:hAnsi="Calibri"/>
                <w:color w:val="000000"/>
              </w:rPr>
              <w:t>231</w:t>
            </w:r>
          </w:p>
        </w:tc>
        <w:tc>
          <w:tcPr>
            <w:tcW w:w="864" w:type="dxa"/>
            <w:tcBorders>
              <w:top w:val="nil"/>
              <w:left w:val="nil"/>
              <w:bottom w:val="single" w:sz="4" w:space="0" w:color="auto"/>
              <w:right w:val="single" w:sz="4" w:space="0" w:color="auto"/>
            </w:tcBorders>
            <w:shd w:val="clear" w:color="auto" w:fill="auto"/>
            <w:noWrap/>
            <w:vAlign w:val="bottom"/>
            <w:hideMark/>
          </w:tcPr>
          <w:p w14:paraId="6FEF200F" w14:textId="77777777" w:rsidR="00752A8A" w:rsidRDefault="00752A8A">
            <w:pPr>
              <w:jc w:val="right"/>
              <w:rPr>
                <w:rFonts w:ascii="Calibri" w:eastAsia="Times New Roman" w:hAnsi="Calibri"/>
                <w:color w:val="000000"/>
              </w:rPr>
            </w:pPr>
            <w:r>
              <w:rPr>
                <w:rFonts w:ascii="Calibri" w:eastAsia="Times New Roman" w:hAnsi="Calibri"/>
                <w:color w:val="000000"/>
              </w:rPr>
              <w:t>102</w:t>
            </w:r>
          </w:p>
        </w:tc>
        <w:tc>
          <w:tcPr>
            <w:tcW w:w="864" w:type="dxa"/>
            <w:tcBorders>
              <w:top w:val="nil"/>
              <w:left w:val="nil"/>
              <w:bottom w:val="single" w:sz="4" w:space="0" w:color="auto"/>
              <w:right w:val="single" w:sz="4" w:space="0" w:color="auto"/>
            </w:tcBorders>
            <w:shd w:val="clear" w:color="auto" w:fill="auto"/>
            <w:noWrap/>
            <w:vAlign w:val="bottom"/>
            <w:hideMark/>
          </w:tcPr>
          <w:p w14:paraId="43ADD41D" w14:textId="77777777" w:rsidR="00752A8A" w:rsidRDefault="00752A8A">
            <w:pPr>
              <w:jc w:val="right"/>
              <w:rPr>
                <w:rFonts w:ascii="Calibri" w:eastAsia="Times New Roman" w:hAnsi="Calibri"/>
                <w:color w:val="000000"/>
              </w:rPr>
            </w:pPr>
            <w:r>
              <w:rPr>
                <w:rFonts w:ascii="Calibri" w:eastAsia="Times New Roman" w:hAnsi="Calibri"/>
                <w:color w:val="000000"/>
              </w:rPr>
              <w:t>146</w:t>
            </w:r>
          </w:p>
        </w:tc>
        <w:tc>
          <w:tcPr>
            <w:tcW w:w="864" w:type="dxa"/>
            <w:tcBorders>
              <w:top w:val="nil"/>
              <w:left w:val="nil"/>
              <w:bottom w:val="nil"/>
              <w:right w:val="nil"/>
            </w:tcBorders>
            <w:shd w:val="clear" w:color="auto" w:fill="auto"/>
            <w:noWrap/>
            <w:vAlign w:val="bottom"/>
            <w:hideMark/>
          </w:tcPr>
          <w:p w14:paraId="7EAF2F54" w14:textId="77777777" w:rsidR="00752A8A" w:rsidRDefault="00752A8A">
            <w:pPr>
              <w:jc w:val="right"/>
              <w:rPr>
                <w:rFonts w:ascii="Calibri" w:eastAsia="Times New Roman" w:hAnsi="Calibri"/>
                <w:color w:val="000000"/>
              </w:rPr>
            </w:pPr>
          </w:p>
        </w:tc>
      </w:tr>
      <w:tr w:rsidR="00752A8A" w14:paraId="5BA649A6" w14:textId="77777777" w:rsidTr="00752A8A">
        <w:trPr>
          <w:trHeight w:val="32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503C87" w14:textId="77777777" w:rsidR="00752A8A" w:rsidRDefault="00752A8A">
            <w:pPr>
              <w:rPr>
                <w:rFonts w:ascii="Calibri" w:eastAsia="Times New Roman" w:hAnsi="Calibri"/>
                <w:color w:val="000000"/>
              </w:rPr>
            </w:pPr>
            <w:r>
              <w:rPr>
                <w:rFonts w:ascii="Calibri" w:eastAsia="Times New Roman" w:hAnsi="Calibri"/>
                <w:color w:val="000000"/>
              </w:rPr>
              <w:t>Owner Move-ins</w:t>
            </w:r>
          </w:p>
        </w:tc>
        <w:tc>
          <w:tcPr>
            <w:tcW w:w="864" w:type="dxa"/>
            <w:tcBorders>
              <w:top w:val="nil"/>
              <w:left w:val="nil"/>
              <w:bottom w:val="single" w:sz="4" w:space="0" w:color="auto"/>
              <w:right w:val="single" w:sz="4" w:space="0" w:color="auto"/>
            </w:tcBorders>
            <w:shd w:val="clear" w:color="auto" w:fill="auto"/>
            <w:noWrap/>
            <w:vAlign w:val="bottom"/>
            <w:hideMark/>
          </w:tcPr>
          <w:p w14:paraId="4D2ED86A" w14:textId="77777777" w:rsidR="00752A8A" w:rsidRDefault="00752A8A">
            <w:pPr>
              <w:jc w:val="right"/>
              <w:rPr>
                <w:rFonts w:ascii="Calibri" w:eastAsia="Times New Roman" w:hAnsi="Calibri"/>
                <w:color w:val="000000"/>
              </w:rPr>
            </w:pPr>
            <w:r>
              <w:rPr>
                <w:rFonts w:ascii="Calibri" w:eastAsia="Times New Roman" w:hAnsi="Calibri"/>
                <w:color w:val="000000"/>
              </w:rPr>
              <w:t>181</w:t>
            </w:r>
          </w:p>
        </w:tc>
        <w:tc>
          <w:tcPr>
            <w:tcW w:w="864" w:type="dxa"/>
            <w:tcBorders>
              <w:top w:val="nil"/>
              <w:left w:val="nil"/>
              <w:bottom w:val="single" w:sz="4" w:space="0" w:color="auto"/>
              <w:right w:val="single" w:sz="4" w:space="0" w:color="auto"/>
            </w:tcBorders>
            <w:shd w:val="clear" w:color="auto" w:fill="auto"/>
            <w:noWrap/>
            <w:vAlign w:val="bottom"/>
            <w:hideMark/>
          </w:tcPr>
          <w:p w14:paraId="19313E64" w14:textId="77777777" w:rsidR="00752A8A" w:rsidRDefault="00752A8A">
            <w:pPr>
              <w:jc w:val="right"/>
              <w:rPr>
                <w:rFonts w:ascii="Calibri" w:eastAsia="Times New Roman" w:hAnsi="Calibri"/>
                <w:color w:val="000000"/>
              </w:rPr>
            </w:pPr>
            <w:r>
              <w:rPr>
                <w:rFonts w:ascii="Calibri" w:eastAsia="Times New Roman" w:hAnsi="Calibri"/>
                <w:color w:val="000000"/>
              </w:rPr>
              <w:t>169</w:t>
            </w:r>
          </w:p>
        </w:tc>
        <w:tc>
          <w:tcPr>
            <w:tcW w:w="864" w:type="dxa"/>
            <w:tcBorders>
              <w:top w:val="nil"/>
              <w:left w:val="nil"/>
              <w:bottom w:val="single" w:sz="4" w:space="0" w:color="auto"/>
              <w:right w:val="single" w:sz="4" w:space="0" w:color="auto"/>
            </w:tcBorders>
            <w:shd w:val="clear" w:color="auto" w:fill="auto"/>
            <w:noWrap/>
            <w:vAlign w:val="bottom"/>
            <w:hideMark/>
          </w:tcPr>
          <w:p w14:paraId="11333AAD" w14:textId="77777777" w:rsidR="00752A8A" w:rsidRDefault="00752A8A">
            <w:pPr>
              <w:jc w:val="right"/>
              <w:rPr>
                <w:rFonts w:ascii="Calibri" w:eastAsia="Times New Roman" w:hAnsi="Calibri"/>
                <w:color w:val="000000"/>
              </w:rPr>
            </w:pPr>
            <w:r>
              <w:rPr>
                <w:rFonts w:ascii="Calibri" w:eastAsia="Times New Roman" w:hAnsi="Calibri"/>
                <w:color w:val="000000"/>
              </w:rPr>
              <w:t>120</w:t>
            </w:r>
          </w:p>
        </w:tc>
        <w:tc>
          <w:tcPr>
            <w:tcW w:w="864" w:type="dxa"/>
            <w:tcBorders>
              <w:top w:val="nil"/>
              <w:left w:val="nil"/>
              <w:bottom w:val="single" w:sz="4" w:space="0" w:color="auto"/>
              <w:right w:val="single" w:sz="4" w:space="0" w:color="auto"/>
            </w:tcBorders>
            <w:shd w:val="clear" w:color="auto" w:fill="auto"/>
            <w:noWrap/>
            <w:vAlign w:val="bottom"/>
            <w:hideMark/>
          </w:tcPr>
          <w:p w14:paraId="755EC919" w14:textId="77777777" w:rsidR="00752A8A" w:rsidRDefault="00752A8A">
            <w:pPr>
              <w:jc w:val="right"/>
              <w:rPr>
                <w:rFonts w:ascii="Calibri" w:eastAsia="Times New Roman" w:hAnsi="Calibri"/>
                <w:color w:val="000000"/>
              </w:rPr>
            </w:pPr>
            <w:r>
              <w:rPr>
                <w:rFonts w:ascii="Calibri" w:eastAsia="Times New Roman" w:hAnsi="Calibri"/>
                <w:color w:val="000000"/>
              </w:rPr>
              <w:t>127</w:t>
            </w:r>
          </w:p>
        </w:tc>
        <w:tc>
          <w:tcPr>
            <w:tcW w:w="864" w:type="dxa"/>
            <w:tcBorders>
              <w:top w:val="nil"/>
              <w:left w:val="nil"/>
              <w:bottom w:val="single" w:sz="4" w:space="0" w:color="auto"/>
              <w:right w:val="single" w:sz="4" w:space="0" w:color="auto"/>
            </w:tcBorders>
            <w:shd w:val="clear" w:color="auto" w:fill="auto"/>
            <w:noWrap/>
            <w:vAlign w:val="bottom"/>
            <w:hideMark/>
          </w:tcPr>
          <w:p w14:paraId="5055C482" w14:textId="77777777" w:rsidR="00752A8A" w:rsidRDefault="00752A8A">
            <w:pPr>
              <w:jc w:val="right"/>
              <w:rPr>
                <w:rFonts w:ascii="Calibri" w:eastAsia="Times New Roman" w:hAnsi="Calibri"/>
                <w:color w:val="000000"/>
              </w:rPr>
            </w:pPr>
            <w:r>
              <w:rPr>
                <w:rFonts w:ascii="Calibri" w:eastAsia="Times New Roman" w:hAnsi="Calibri"/>
                <w:color w:val="000000"/>
              </w:rPr>
              <w:t>124</w:t>
            </w:r>
          </w:p>
        </w:tc>
        <w:tc>
          <w:tcPr>
            <w:tcW w:w="864" w:type="dxa"/>
            <w:tcBorders>
              <w:top w:val="nil"/>
              <w:left w:val="nil"/>
              <w:bottom w:val="single" w:sz="4" w:space="0" w:color="auto"/>
              <w:right w:val="single" w:sz="4" w:space="0" w:color="auto"/>
            </w:tcBorders>
            <w:shd w:val="clear" w:color="auto" w:fill="auto"/>
            <w:noWrap/>
            <w:vAlign w:val="bottom"/>
            <w:hideMark/>
          </w:tcPr>
          <w:p w14:paraId="056095F5" w14:textId="77777777" w:rsidR="00752A8A" w:rsidRDefault="00752A8A">
            <w:pPr>
              <w:jc w:val="right"/>
              <w:rPr>
                <w:rFonts w:ascii="Calibri" w:eastAsia="Times New Roman" w:hAnsi="Calibri"/>
                <w:color w:val="000000"/>
              </w:rPr>
            </w:pPr>
            <w:r>
              <w:rPr>
                <w:rFonts w:ascii="Calibri" w:eastAsia="Times New Roman" w:hAnsi="Calibri"/>
                <w:color w:val="000000"/>
              </w:rPr>
              <w:t>174</w:t>
            </w:r>
          </w:p>
        </w:tc>
        <w:tc>
          <w:tcPr>
            <w:tcW w:w="864" w:type="dxa"/>
            <w:tcBorders>
              <w:top w:val="nil"/>
              <w:left w:val="nil"/>
              <w:bottom w:val="single" w:sz="4" w:space="0" w:color="auto"/>
              <w:right w:val="single" w:sz="4" w:space="0" w:color="auto"/>
            </w:tcBorders>
            <w:shd w:val="clear" w:color="auto" w:fill="auto"/>
            <w:noWrap/>
            <w:vAlign w:val="bottom"/>
            <w:hideMark/>
          </w:tcPr>
          <w:p w14:paraId="65658C9A" w14:textId="77777777" w:rsidR="00752A8A" w:rsidRDefault="00752A8A">
            <w:pPr>
              <w:jc w:val="right"/>
              <w:rPr>
                <w:rFonts w:ascii="Calibri" w:eastAsia="Times New Roman" w:hAnsi="Calibri"/>
                <w:color w:val="000000"/>
              </w:rPr>
            </w:pPr>
            <w:r>
              <w:rPr>
                <w:rFonts w:ascii="Calibri" w:eastAsia="Times New Roman" w:hAnsi="Calibri"/>
                <w:color w:val="000000"/>
              </w:rPr>
              <w:t>275</w:t>
            </w:r>
          </w:p>
        </w:tc>
        <w:tc>
          <w:tcPr>
            <w:tcW w:w="864" w:type="dxa"/>
            <w:tcBorders>
              <w:top w:val="nil"/>
              <w:left w:val="nil"/>
              <w:bottom w:val="single" w:sz="4" w:space="0" w:color="auto"/>
              <w:right w:val="single" w:sz="4" w:space="0" w:color="auto"/>
            </w:tcBorders>
            <w:shd w:val="clear" w:color="auto" w:fill="auto"/>
            <w:noWrap/>
            <w:vAlign w:val="bottom"/>
            <w:hideMark/>
          </w:tcPr>
          <w:p w14:paraId="03CFDD6B" w14:textId="77777777" w:rsidR="00752A8A" w:rsidRDefault="00752A8A">
            <w:pPr>
              <w:jc w:val="right"/>
              <w:rPr>
                <w:rFonts w:ascii="Calibri" w:eastAsia="Times New Roman" w:hAnsi="Calibri"/>
                <w:color w:val="000000"/>
              </w:rPr>
            </w:pPr>
            <w:r>
              <w:rPr>
                <w:rFonts w:ascii="Calibri" w:eastAsia="Times New Roman" w:hAnsi="Calibri"/>
                <w:color w:val="000000"/>
              </w:rPr>
              <w:t>318</w:t>
            </w:r>
          </w:p>
        </w:tc>
        <w:tc>
          <w:tcPr>
            <w:tcW w:w="864" w:type="dxa"/>
            <w:tcBorders>
              <w:top w:val="nil"/>
              <w:left w:val="nil"/>
              <w:bottom w:val="single" w:sz="4" w:space="0" w:color="auto"/>
              <w:right w:val="single" w:sz="4" w:space="0" w:color="auto"/>
            </w:tcBorders>
            <w:shd w:val="clear" w:color="auto" w:fill="auto"/>
            <w:noWrap/>
            <w:vAlign w:val="bottom"/>
            <w:hideMark/>
          </w:tcPr>
          <w:p w14:paraId="586E13CF" w14:textId="77777777" w:rsidR="00752A8A" w:rsidRDefault="00752A8A">
            <w:pPr>
              <w:jc w:val="right"/>
              <w:rPr>
                <w:rFonts w:ascii="Calibri" w:eastAsia="Times New Roman" w:hAnsi="Calibri"/>
                <w:color w:val="000000"/>
              </w:rPr>
            </w:pPr>
            <w:r>
              <w:rPr>
                <w:rFonts w:ascii="Calibri" w:eastAsia="Times New Roman" w:hAnsi="Calibri"/>
                <w:color w:val="000000"/>
              </w:rPr>
              <w:t>422</w:t>
            </w:r>
          </w:p>
        </w:tc>
        <w:tc>
          <w:tcPr>
            <w:tcW w:w="864" w:type="dxa"/>
            <w:tcBorders>
              <w:top w:val="nil"/>
              <w:left w:val="nil"/>
              <w:bottom w:val="nil"/>
              <w:right w:val="nil"/>
            </w:tcBorders>
            <w:shd w:val="clear" w:color="auto" w:fill="auto"/>
            <w:noWrap/>
            <w:vAlign w:val="bottom"/>
            <w:hideMark/>
          </w:tcPr>
          <w:p w14:paraId="11FAC00C" w14:textId="77777777" w:rsidR="00752A8A" w:rsidRDefault="00752A8A">
            <w:pPr>
              <w:jc w:val="right"/>
              <w:rPr>
                <w:rFonts w:ascii="Calibri" w:eastAsia="Times New Roman" w:hAnsi="Calibri"/>
                <w:color w:val="000000"/>
              </w:rPr>
            </w:pPr>
          </w:p>
        </w:tc>
      </w:tr>
    </w:tbl>
    <w:p w14:paraId="1A035360" w14:textId="47BBD0EE" w:rsidR="001A3297" w:rsidRDefault="001A3297" w:rsidP="007171A6">
      <w:pPr>
        <w:shd w:val="clear" w:color="auto" w:fill="FFFFFF"/>
        <w:spacing w:after="30" w:line="480" w:lineRule="auto"/>
        <w:contextualSpacing/>
        <w:rPr>
          <w:color w:val="333333"/>
        </w:rPr>
      </w:pPr>
    </w:p>
    <w:p w14:paraId="797248FB" w14:textId="3C6C686D" w:rsidR="00A61CE1" w:rsidRDefault="0070507D" w:rsidP="0070507D">
      <w:pPr>
        <w:pStyle w:val="Heading2"/>
      </w:pPr>
      <w:r>
        <w:t>Methods</w:t>
      </w:r>
      <w:r w:rsidR="000C248C">
        <w:t xml:space="preserve"> &amp; Results</w:t>
      </w:r>
    </w:p>
    <w:p w14:paraId="6A4C5A9B" w14:textId="15F77DE3" w:rsidR="00A61CE1" w:rsidRDefault="00A61CE1" w:rsidP="007171A6">
      <w:pPr>
        <w:shd w:val="clear" w:color="auto" w:fill="FFFFFF"/>
        <w:spacing w:after="30" w:line="480" w:lineRule="auto"/>
        <w:contextualSpacing/>
        <w:rPr>
          <w:color w:val="333333"/>
        </w:rPr>
      </w:pPr>
    </w:p>
    <w:p w14:paraId="33FD8D05" w14:textId="1C62F235" w:rsidR="0070507D" w:rsidRDefault="0070507D" w:rsidP="009873E4">
      <w:pPr>
        <w:shd w:val="clear" w:color="auto" w:fill="FFFFFF"/>
        <w:spacing w:after="30" w:line="480" w:lineRule="auto"/>
        <w:ind w:firstLine="720"/>
        <w:contextualSpacing/>
        <w:rPr>
          <w:color w:val="333333"/>
        </w:rPr>
      </w:pPr>
      <w:r>
        <w:rPr>
          <w:color w:val="333333"/>
        </w:rPr>
        <w:t>First, I will look at how many of the eviction notices result in a positive change in price after a 120-day period.</w:t>
      </w:r>
      <w:r w:rsidR="00FC67E7">
        <w:rPr>
          <w:color w:val="333333"/>
        </w:rPr>
        <w:t xml:space="preserve"> I calculated the change in price for each of the eviction notices using the monthly housing value data from Zillow. </w:t>
      </w:r>
      <w:r w:rsidR="00CE741C">
        <w:rPr>
          <w:color w:val="333333"/>
        </w:rPr>
        <w:t xml:space="preserve">I have included the Owner Move-in eviction notices, because Hartman and </w:t>
      </w:r>
      <w:r w:rsidR="00CE741C" w:rsidRPr="001B322A">
        <w:t>Carnochan</w:t>
      </w:r>
      <w:r w:rsidR="00CE741C">
        <w:t xml:space="preserve"> believe landlords also abuse those evictions for property sales</w:t>
      </w:r>
      <w:r w:rsidR="00920A70">
        <w:t xml:space="preserve"> (356)</w:t>
      </w:r>
      <w:r w:rsidR="00CE741C">
        <w:t xml:space="preserve">. </w:t>
      </w:r>
    </w:p>
    <w:tbl>
      <w:tblPr>
        <w:tblStyle w:val="TableGrid"/>
        <w:tblW w:w="0" w:type="auto"/>
        <w:tblLook w:val="04A0" w:firstRow="1" w:lastRow="0" w:firstColumn="1" w:lastColumn="0" w:noHBand="0" w:noVBand="1"/>
      </w:tblPr>
      <w:tblGrid>
        <w:gridCol w:w="4675"/>
        <w:gridCol w:w="4675"/>
      </w:tblGrid>
      <w:tr w:rsidR="00FC67E7" w14:paraId="2270A49B" w14:textId="77777777" w:rsidTr="00FC67E7">
        <w:tc>
          <w:tcPr>
            <w:tcW w:w="4675" w:type="dxa"/>
          </w:tcPr>
          <w:p w14:paraId="3D7AC9F1" w14:textId="7EB568DC" w:rsidR="00FC67E7" w:rsidRDefault="00FC67E7" w:rsidP="007171A6">
            <w:pPr>
              <w:spacing w:after="30" w:line="480" w:lineRule="auto"/>
              <w:contextualSpacing/>
              <w:rPr>
                <w:color w:val="333333"/>
              </w:rPr>
            </w:pPr>
            <w:r>
              <w:rPr>
                <w:color w:val="333333"/>
              </w:rPr>
              <w:t>Types of Evictions Notices</w:t>
            </w:r>
          </w:p>
        </w:tc>
        <w:tc>
          <w:tcPr>
            <w:tcW w:w="4675" w:type="dxa"/>
          </w:tcPr>
          <w:p w14:paraId="081814C5" w14:textId="77281433" w:rsidR="00FC67E7" w:rsidRDefault="00094BEE" w:rsidP="007171A6">
            <w:pPr>
              <w:spacing w:after="30" w:line="480" w:lineRule="auto"/>
              <w:contextualSpacing/>
              <w:rPr>
                <w:color w:val="333333"/>
              </w:rPr>
            </w:pPr>
            <w:r>
              <w:rPr>
                <w:color w:val="333333"/>
              </w:rPr>
              <w:t>Proportion</w:t>
            </w:r>
            <w:r w:rsidR="00FC67E7">
              <w:rPr>
                <w:color w:val="333333"/>
              </w:rPr>
              <w:t xml:space="preserve"> with Positive Change in Price </w:t>
            </w:r>
          </w:p>
          <w:p w14:paraId="2AA1F63F" w14:textId="1EE18177" w:rsidR="00FC67E7" w:rsidRDefault="00FC67E7" w:rsidP="007171A6">
            <w:pPr>
              <w:spacing w:after="30" w:line="480" w:lineRule="auto"/>
              <w:contextualSpacing/>
              <w:rPr>
                <w:color w:val="333333"/>
              </w:rPr>
            </w:pPr>
            <w:r>
              <w:rPr>
                <w:color w:val="333333"/>
              </w:rPr>
              <w:t>(120-days)</w:t>
            </w:r>
          </w:p>
        </w:tc>
      </w:tr>
      <w:tr w:rsidR="00FC67E7" w14:paraId="1A1A9C15" w14:textId="77777777" w:rsidTr="00FC67E7">
        <w:tc>
          <w:tcPr>
            <w:tcW w:w="4675" w:type="dxa"/>
          </w:tcPr>
          <w:p w14:paraId="5667A05B" w14:textId="45AC7486" w:rsidR="00FC67E7" w:rsidRDefault="00FC67E7" w:rsidP="007171A6">
            <w:pPr>
              <w:spacing w:after="30" w:line="480" w:lineRule="auto"/>
              <w:contextualSpacing/>
              <w:rPr>
                <w:color w:val="333333"/>
              </w:rPr>
            </w:pPr>
            <w:r>
              <w:rPr>
                <w:color w:val="333333"/>
              </w:rPr>
              <w:t>All Evictions</w:t>
            </w:r>
          </w:p>
        </w:tc>
        <w:tc>
          <w:tcPr>
            <w:tcW w:w="4675" w:type="dxa"/>
          </w:tcPr>
          <w:p w14:paraId="607F98ED" w14:textId="3F31001B" w:rsidR="00FC67E7" w:rsidRDefault="00A23B4A" w:rsidP="007171A6">
            <w:pPr>
              <w:spacing w:after="30" w:line="480" w:lineRule="auto"/>
              <w:contextualSpacing/>
              <w:rPr>
                <w:color w:val="333333"/>
              </w:rPr>
            </w:pPr>
            <w:r>
              <w:rPr>
                <w:color w:val="333333"/>
              </w:rPr>
              <w:t>77.73%</w:t>
            </w:r>
          </w:p>
        </w:tc>
      </w:tr>
      <w:tr w:rsidR="00FC67E7" w14:paraId="011759EB" w14:textId="77777777" w:rsidTr="00FC67E7">
        <w:tc>
          <w:tcPr>
            <w:tcW w:w="4675" w:type="dxa"/>
          </w:tcPr>
          <w:p w14:paraId="09E29F42" w14:textId="03FF179E" w:rsidR="00FC67E7" w:rsidRDefault="00FC67E7" w:rsidP="007171A6">
            <w:pPr>
              <w:spacing w:after="30" w:line="480" w:lineRule="auto"/>
              <w:contextualSpacing/>
              <w:rPr>
                <w:color w:val="333333"/>
              </w:rPr>
            </w:pPr>
            <w:r>
              <w:rPr>
                <w:color w:val="333333"/>
              </w:rPr>
              <w:t>No-Fault Evictions</w:t>
            </w:r>
          </w:p>
        </w:tc>
        <w:tc>
          <w:tcPr>
            <w:tcW w:w="4675" w:type="dxa"/>
          </w:tcPr>
          <w:p w14:paraId="56046158" w14:textId="55DDED70" w:rsidR="00FC67E7" w:rsidRDefault="00A23B4A" w:rsidP="007171A6">
            <w:pPr>
              <w:spacing w:after="30" w:line="480" w:lineRule="auto"/>
              <w:contextualSpacing/>
              <w:rPr>
                <w:color w:val="333333"/>
              </w:rPr>
            </w:pPr>
            <w:r>
              <w:rPr>
                <w:color w:val="333333"/>
              </w:rPr>
              <w:t>81.45%</w:t>
            </w:r>
          </w:p>
        </w:tc>
      </w:tr>
      <w:tr w:rsidR="00FC67E7" w14:paraId="649444E3" w14:textId="77777777" w:rsidTr="00FC67E7">
        <w:tc>
          <w:tcPr>
            <w:tcW w:w="4675" w:type="dxa"/>
          </w:tcPr>
          <w:p w14:paraId="77E143E4" w14:textId="1084CE10" w:rsidR="00FC67E7" w:rsidRDefault="00FC67E7" w:rsidP="007171A6">
            <w:pPr>
              <w:spacing w:after="30" w:line="480" w:lineRule="auto"/>
              <w:contextualSpacing/>
              <w:rPr>
                <w:color w:val="333333"/>
              </w:rPr>
            </w:pPr>
            <w:r>
              <w:rPr>
                <w:color w:val="333333"/>
              </w:rPr>
              <w:t>Ellis Act Withdrawals</w:t>
            </w:r>
          </w:p>
        </w:tc>
        <w:tc>
          <w:tcPr>
            <w:tcW w:w="4675" w:type="dxa"/>
          </w:tcPr>
          <w:p w14:paraId="17F67286" w14:textId="3DEAD587" w:rsidR="00FC67E7" w:rsidRDefault="00A23B4A" w:rsidP="007171A6">
            <w:pPr>
              <w:spacing w:after="30" w:line="480" w:lineRule="auto"/>
              <w:contextualSpacing/>
              <w:rPr>
                <w:color w:val="333333"/>
              </w:rPr>
            </w:pPr>
            <w:r>
              <w:rPr>
                <w:color w:val="333333"/>
              </w:rPr>
              <w:t>74.17%</w:t>
            </w:r>
          </w:p>
        </w:tc>
      </w:tr>
      <w:tr w:rsidR="00FC67E7" w14:paraId="03BFC914" w14:textId="77777777" w:rsidTr="00FC67E7">
        <w:tc>
          <w:tcPr>
            <w:tcW w:w="4675" w:type="dxa"/>
          </w:tcPr>
          <w:p w14:paraId="272399E0" w14:textId="51E20551" w:rsidR="00FC67E7" w:rsidRDefault="00FC67E7" w:rsidP="007171A6">
            <w:pPr>
              <w:spacing w:after="30" w:line="480" w:lineRule="auto"/>
              <w:contextualSpacing/>
              <w:rPr>
                <w:color w:val="333333"/>
              </w:rPr>
            </w:pPr>
            <w:r>
              <w:rPr>
                <w:color w:val="333333"/>
              </w:rPr>
              <w:t>Owner Move-ins</w:t>
            </w:r>
          </w:p>
        </w:tc>
        <w:tc>
          <w:tcPr>
            <w:tcW w:w="4675" w:type="dxa"/>
          </w:tcPr>
          <w:p w14:paraId="1BD2DEF3" w14:textId="750E6ED6" w:rsidR="00FC67E7" w:rsidRDefault="00A23B4A" w:rsidP="007171A6">
            <w:pPr>
              <w:spacing w:after="30" w:line="480" w:lineRule="auto"/>
              <w:contextualSpacing/>
              <w:rPr>
                <w:color w:val="333333"/>
              </w:rPr>
            </w:pPr>
            <w:r>
              <w:rPr>
                <w:color w:val="333333"/>
              </w:rPr>
              <w:t>84.47%</w:t>
            </w:r>
          </w:p>
        </w:tc>
      </w:tr>
    </w:tbl>
    <w:p w14:paraId="1FD79DB7" w14:textId="77777777" w:rsidR="00FC67E7" w:rsidRDefault="00FC67E7" w:rsidP="007171A6">
      <w:pPr>
        <w:shd w:val="clear" w:color="auto" w:fill="FFFFFF"/>
        <w:spacing w:after="30" w:line="480" w:lineRule="auto"/>
        <w:contextualSpacing/>
        <w:rPr>
          <w:color w:val="333333"/>
        </w:rPr>
      </w:pPr>
    </w:p>
    <w:p w14:paraId="5D586DD4" w14:textId="54521C4C" w:rsidR="00FC67E7" w:rsidRDefault="005B1832" w:rsidP="007171A6">
      <w:pPr>
        <w:shd w:val="clear" w:color="auto" w:fill="FFFFFF"/>
        <w:spacing w:after="30" w:line="480" w:lineRule="auto"/>
        <w:contextualSpacing/>
        <w:rPr>
          <w:color w:val="333333"/>
        </w:rPr>
      </w:pPr>
      <w:r>
        <w:rPr>
          <w:color w:val="333333"/>
        </w:rPr>
        <w:t xml:space="preserve">Because of an upward trend in the housing market in general, the proportions seem to be fairly high. However, </w:t>
      </w:r>
      <w:r w:rsidR="00B36EAD">
        <w:rPr>
          <w:color w:val="333333"/>
        </w:rPr>
        <w:t xml:space="preserve">Ellis Act withdrawals </w:t>
      </w:r>
      <w:r w:rsidR="0048713F">
        <w:rPr>
          <w:color w:val="333333"/>
        </w:rPr>
        <w:t>seems to have a lowest</w:t>
      </w:r>
      <w:r w:rsidR="00B36EAD">
        <w:rPr>
          <w:color w:val="333333"/>
        </w:rPr>
        <w:t xml:space="preserve"> proportion when compared to all evictions in general. </w:t>
      </w:r>
      <w:r w:rsidR="009873E4">
        <w:rPr>
          <w:color w:val="333333"/>
        </w:rPr>
        <w:t xml:space="preserve">I have also calculated the means and medians of all the positive changes in price: </w:t>
      </w:r>
    </w:p>
    <w:tbl>
      <w:tblPr>
        <w:tblStyle w:val="TableGrid"/>
        <w:tblW w:w="0" w:type="auto"/>
        <w:tblLook w:val="04A0" w:firstRow="1" w:lastRow="0" w:firstColumn="1" w:lastColumn="0" w:noHBand="0" w:noVBand="1"/>
      </w:tblPr>
      <w:tblGrid>
        <w:gridCol w:w="4675"/>
        <w:gridCol w:w="4675"/>
      </w:tblGrid>
      <w:tr w:rsidR="009873E4" w14:paraId="152F9A8E" w14:textId="77777777" w:rsidTr="00E50CB2">
        <w:tc>
          <w:tcPr>
            <w:tcW w:w="4675" w:type="dxa"/>
          </w:tcPr>
          <w:p w14:paraId="6A1FA216" w14:textId="77777777" w:rsidR="009873E4" w:rsidRDefault="009873E4" w:rsidP="00E50CB2">
            <w:pPr>
              <w:spacing w:after="30" w:line="480" w:lineRule="auto"/>
              <w:contextualSpacing/>
              <w:rPr>
                <w:color w:val="333333"/>
              </w:rPr>
            </w:pPr>
            <w:r>
              <w:rPr>
                <w:color w:val="333333"/>
              </w:rPr>
              <w:t>Types of Evictions Notices</w:t>
            </w:r>
          </w:p>
        </w:tc>
        <w:tc>
          <w:tcPr>
            <w:tcW w:w="4675" w:type="dxa"/>
          </w:tcPr>
          <w:p w14:paraId="65DAC7CB" w14:textId="04701E06" w:rsidR="009873E4" w:rsidRDefault="009873E4" w:rsidP="00E50CB2">
            <w:pPr>
              <w:spacing w:after="30" w:line="480" w:lineRule="auto"/>
              <w:contextualSpacing/>
              <w:rPr>
                <w:color w:val="333333"/>
              </w:rPr>
            </w:pPr>
            <w:r>
              <w:rPr>
                <w:color w:val="333333"/>
              </w:rPr>
              <w:t>Mean/Median</w:t>
            </w:r>
          </w:p>
        </w:tc>
      </w:tr>
      <w:tr w:rsidR="009873E4" w14:paraId="5357E97F" w14:textId="77777777" w:rsidTr="00E50CB2">
        <w:tc>
          <w:tcPr>
            <w:tcW w:w="4675" w:type="dxa"/>
          </w:tcPr>
          <w:p w14:paraId="5E48EAF6" w14:textId="77777777" w:rsidR="009873E4" w:rsidRDefault="009873E4" w:rsidP="00E50CB2">
            <w:pPr>
              <w:spacing w:after="30" w:line="480" w:lineRule="auto"/>
              <w:contextualSpacing/>
              <w:rPr>
                <w:color w:val="333333"/>
              </w:rPr>
            </w:pPr>
            <w:r>
              <w:rPr>
                <w:color w:val="333333"/>
              </w:rPr>
              <w:t>All Evictions</w:t>
            </w:r>
          </w:p>
        </w:tc>
        <w:tc>
          <w:tcPr>
            <w:tcW w:w="4675" w:type="dxa"/>
          </w:tcPr>
          <w:p w14:paraId="2E6AD41B" w14:textId="4BBD5D5D" w:rsidR="009873E4" w:rsidRDefault="009873E4" w:rsidP="00E50CB2">
            <w:pPr>
              <w:spacing w:after="30" w:line="480" w:lineRule="auto"/>
              <w:contextualSpacing/>
              <w:rPr>
                <w:color w:val="333333"/>
              </w:rPr>
            </w:pPr>
            <w:r>
              <w:rPr>
                <w:color w:val="333333"/>
              </w:rPr>
              <w:t>$23,842.32 / $18,200</w:t>
            </w:r>
          </w:p>
        </w:tc>
      </w:tr>
      <w:tr w:rsidR="009873E4" w14:paraId="7AA7DB82" w14:textId="77777777" w:rsidTr="00E50CB2">
        <w:tc>
          <w:tcPr>
            <w:tcW w:w="4675" w:type="dxa"/>
          </w:tcPr>
          <w:p w14:paraId="6EA5973C" w14:textId="77777777" w:rsidR="009873E4" w:rsidRDefault="009873E4" w:rsidP="00E50CB2">
            <w:pPr>
              <w:spacing w:after="30" w:line="480" w:lineRule="auto"/>
              <w:contextualSpacing/>
              <w:rPr>
                <w:color w:val="333333"/>
              </w:rPr>
            </w:pPr>
            <w:r>
              <w:rPr>
                <w:color w:val="333333"/>
              </w:rPr>
              <w:t>No-Fault Evictions</w:t>
            </w:r>
          </w:p>
        </w:tc>
        <w:tc>
          <w:tcPr>
            <w:tcW w:w="4675" w:type="dxa"/>
          </w:tcPr>
          <w:p w14:paraId="61A7BA6D" w14:textId="14A585F7" w:rsidR="009873E4" w:rsidRDefault="009873E4" w:rsidP="00E50CB2">
            <w:pPr>
              <w:spacing w:after="30" w:line="480" w:lineRule="auto"/>
              <w:contextualSpacing/>
              <w:rPr>
                <w:color w:val="333333"/>
              </w:rPr>
            </w:pPr>
            <w:r>
              <w:rPr>
                <w:color w:val="333333"/>
              </w:rPr>
              <w:t>$23,409.17 / $18,100</w:t>
            </w:r>
          </w:p>
        </w:tc>
      </w:tr>
      <w:tr w:rsidR="009873E4" w14:paraId="75A64917" w14:textId="77777777" w:rsidTr="00E50CB2">
        <w:tc>
          <w:tcPr>
            <w:tcW w:w="4675" w:type="dxa"/>
          </w:tcPr>
          <w:p w14:paraId="149D0A5B" w14:textId="77777777" w:rsidR="009873E4" w:rsidRDefault="009873E4" w:rsidP="00E50CB2">
            <w:pPr>
              <w:spacing w:after="30" w:line="480" w:lineRule="auto"/>
              <w:contextualSpacing/>
              <w:rPr>
                <w:color w:val="333333"/>
              </w:rPr>
            </w:pPr>
            <w:r>
              <w:rPr>
                <w:color w:val="333333"/>
              </w:rPr>
              <w:t>Ellis Act Withdrawals</w:t>
            </w:r>
          </w:p>
        </w:tc>
        <w:tc>
          <w:tcPr>
            <w:tcW w:w="4675" w:type="dxa"/>
          </w:tcPr>
          <w:p w14:paraId="67A30FE9" w14:textId="34643A33" w:rsidR="009873E4" w:rsidRDefault="009873E4" w:rsidP="00E50CB2">
            <w:pPr>
              <w:spacing w:after="30" w:line="480" w:lineRule="auto"/>
              <w:contextualSpacing/>
              <w:rPr>
                <w:color w:val="333333"/>
              </w:rPr>
            </w:pPr>
            <w:r>
              <w:rPr>
                <w:color w:val="333333"/>
              </w:rPr>
              <w:t>$29,850.46 / $27,300</w:t>
            </w:r>
          </w:p>
        </w:tc>
      </w:tr>
      <w:tr w:rsidR="009873E4" w14:paraId="1009B08C" w14:textId="77777777" w:rsidTr="00E50CB2">
        <w:tc>
          <w:tcPr>
            <w:tcW w:w="4675" w:type="dxa"/>
          </w:tcPr>
          <w:p w14:paraId="074EE355" w14:textId="77777777" w:rsidR="009873E4" w:rsidRDefault="009873E4" w:rsidP="00E50CB2">
            <w:pPr>
              <w:spacing w:after="30" w:line="480" w:lineRule="auto"/>
              <w:contextualSpacing/>
              <w:rPr>
                <w:color w:val="333333"/>
              </w:rPr>
            </w:pPr>
            <w:r>
              <w:rPr>
                <w:color w:val="333333"/>
              </w:rPr>
              <w:t>Owner Move-ins</w:t>
            </w:r>
          </w:p>
        </w:tc>
        <w:tc>
          <w:tcPr>
            <w:tcW w:w="4675" w:type="dxa"/>
          </w:tcPr>
          <w:p w14:paraId="7873DD9C" w14:textId="03D8EF62" w:rsidR="009873E4" w:rsidRDefault="009873E4" w:rsidP="00E50CB2">
            <w:pPr>
              <w:spacing w:after="30" w:line="480" w:lineRule="auto"/>
              <w:contextualSpacing/>
              <w:rPr>
                <w:color w:val="333333"/>
              </w:rPr>
            </w:pPr>
            <w:r>
              <w:rPr>
                <w:color w:val="333333"/>
              </w:rPr>
              <w:t>$22,137.47 / $16,200</w:t>
            </w:r>
          </w:p>
        </w:tc>
      </w:tr>
    </w:tbl>
    <w:p w14:paraId="4836FE54" w14:textId="77777777" w:rsidR="0048713F" w:rsidRDefault="0048713F" w:rsidP="007171A6">
      <w:pPr>
        <w:shd w:val="clear" w:color="auto" w:fill="FFFFFF"/>
        <w:spacing w:after="30" w:line="480" w:lineRule="auto"/>
        <w:contextualSpacing/>
        <w:rPr>
          <w:color w:val="333333"/>
        </w:rPr>
      </w:pPr>
    </w:p>
    <w:p w14:paraId="00C7C725" w14:textId="6D147AC1" w:rsidR="0048713F" w:rsidRDefault="0048713F" w:rsidP="007171A6">
      <w:pPr>
        <w:shd w:val="clear" w:color="auto" w:fill="FFFFFF"/>
        <w:spacing w:after="30" w:line="480" w:lineRule="auto"/>
        <w:contextualSpacing/>
        <w:rPr>
          <w:color w:val="333333"/>
        </w:rPr>
      </w:pPr>
      <w:r>
        <w:rPr>
          <w:color w:val="333333"/>
        </w:rPr>
        <w:t xml:space="preserve">In this statistic, Ellis Act withdrawals have the highest mean and median positive change in price of the eviction notices. </w:t>
      </w:r>
    </w:p>
    <w:p w14:paraId="41914FDF" w14:textId="293F3D74" w:rsidR="000B3FDA" w:rsidRDefault="000B3FDA" w:rsidP="007171A6">
      <w:pPr>
        <w:shd w:val="clear" w:color="auto" w:fill="FFFFFF"/>
        <w:spacing w:after="30" w:line="480" w:lineRule="auto"/>
        <w:contextualSpacing/>
        <w:rPr>
          <w:color w:val="333333"/>
        </w:rPr>
      </w:pPr>
      <w:r>
        <w:rPr>
          <w:color w:val="333333"/>
        </w:rPr>
        <w:tab/>
      </w:r>
      <w:r w:rsidR="00322C3A">
        <w:rPr>
          <w:color w:val="333333"/>
        </w:rPr>
        <w:t>Second</w:t>
      </w:r>
      <w:r>
        <w:rPr>
          <w:color w:val="333333"/>
        </w:rPr>
        <w:t xml:space="preserve">, I will run a series of multivariable linear regressions to test the relationship between the number of eviction notices </w:t>
      </w:r>
      <w:r w:rsidR="004D2FEF">
        <w:rPr>
          <w:color w:val="333333"/>
        </w:rPr>
        <w:t xml:space="preserve">per month, </w:t>
      </w:r>
      <w:r>
        <w:rPr>
          <w:color w:val="333333"/>
        </w:rPr>
        <w:t xml:space="preserve">and the change in median home value for the city overall, not individual neighborhoods. </w:t>
      </w:r>
    </w:p>
    <w:p w14:paraId="57B02475" w14:textId="1B7392E5" w:rsidR="000B3FDA" w:rsidRDefault="000B3FDA" w:rsidP="007171A6">
      <w:pPr>
        <w:shd w:val="clear" w:color="auto" w:fill="FFFFFF"/>
        <w:spacing w:after="30" w:line="480" w:lineRule="auto"/>
        <w:contextualSpacing/>
        <w:rPr>
          <w:color w:val="333333"/>
        </w:rPr>
      </w:pPr>
      <w:r w:rsidRPr="001B322A">
        <w:rPr>
          <w:color w:val="333333"/>
        </w:rPr>
        <w:drawing>
          <wp:inline distT="0" distB="0" distL="0" distR="0" wp14:anchorId="26FEA893" wp14:editId="36426654">
            <wp:extent cx="6530340" cy="2288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host_20342_session_file5b6f42a70dde.pdf"/>
                    <pic:cNvPicPr/>
                  </pic:nvPicPr>
                  <pic:blipFill rotWithShape="1">
                    <a:blip r:embed="rId10">
                      <a:extLst>
                        <a:ext uri="{28A0092B-C50C-407E-A947-70E740481C1C}">
                          <a14:useLocalDpi xmlns:a14="http://schemas.microsoft.com/office/drawing/2010/main" val="0"/>
                        </a:ext>
                      </a:extLst>
                    </a:blip>
                    <a:srcRect b="54652"/>
                    <a:stretch/>
                  </pic:blipFill>
                  <pic:spPr bwMode="auto">
                    <a:xfrm>
                      <a:off x="0" y="0"/>
                      <a:ext cx="6530340" cy="2288540"/>
                    </a:xfrm>
                    <a:prstGeom prst="rect">
                      <a:avLst/>
                    </a:prstGeom>
                    <a:ln>
                      <a:noFill/>
                    </a:ln>
                    <a:extLst>
                      <a:ext uri="{53640926-AAD7-44D8-BBD7-CCE9431645EC}">
                        <a14:shadowObscured xmlns:a14="http://schemas.microsoft.com/office/drawing/2010/main"/>
                      </a:ext>
                    </a:extLst>
                  </pic:spPr>
                </pic:pic>
              </a:graphicData>
            </a:graphic>
          </wp:inline>
        </w:drawing>
      </w:r>
    </w:p>
    <w:p w14:paraId="2C5C72D1" w14:textId="7ED22904" w:rsidR="000B3FDA" w:rsidRDefault="000B3FDA" w:rsidP="000C248C">
      <w:pPr>
        <w:shd w:val="clear" w:color="auto" w:fill="FFFFFF"/>
        <w:spacing w:after="30" w:line="480" w:lineRule="auto"/>
        <w:contextualSpacing/>
        <w:rPr>
          <w:color w:val="333333"/>
        </w:rPr>
      </w:pPr>
      <w:r>
        <w:rPr>
          <w:color w:val="333333"/>
        </w:rPr>
        <w:t>I have included the</w:t>
      </w:r>
      <w:r w:rsidR="004D12A5">
        <w:rPr>
          <w:color w:val="333333"/>
        </w:rPr>
        <w:t xml:space="preserve"> national</w:t>
      </w:r>
      <w:r>
        <w:rPr>
          <w:color w:val="333333"/>
        </w:rPr>
        <w:t xml:space="preserve"> unemployment</w:t>
      </w:r>
      <w:r w:rsidR="004D12A5">
        <w:rPr>
          <w:color w:val="333333"/>
        </w:rPr>
        <w:t xml:space="preserve"> rate (X_unemployment)</w:t>
      </w:r>
      <w:r>
        <w:rPr>
          <w:color w:val="333333"/>
        </w:rPr>
        <w:t xml:space="preserve"> to address</w:t>
      </w:r>
      <w:r w:rsidR="004D12A5">
        <w:rPr>
          <w:color w:val="333333"/>
        </w:rPr>
        <w:t xml:space="preserve"> a</w:t>
      </w:r>
      <w:r>
        <w:rPr>
          <w:color w:val="333333"/>
        </w:rPr>
        <w:t xml:space="preserve"> pos</w:t>
      </w:r>
      <w:r w:rsidR="004D12A5">
        <w:rPr>
          <w:color w:val="333333"/>
        </w:rPr>
        <w:t xml:space="preserve">sible confounder between all evictions (X_NumOfEvictions), Ellis Act withdrawals (X_NumOfEllis) and owner move-ins (X_NumOfMoveIns). When unemployment is high, there may be a higher number of evictions for non-payment, late payment, or owners moving back into their home to save rent. </w:t>
      </w:r>
      <w:r w:rsidR="004D2FEF">
        <w:rPr>
          <w:color w:val="333333"/>
        </w:rPr>
        <w:t xml:space="preserve">Each observation represents one month from Jan 1997 to Aug 2015. </w:t>
      </w:r>
      <w:r w:rsidR="007F01F6">
        <w:rPr>
          <w:color w:val="333333"/>
        </w:rPr>
        <w:t xml:space="preserve">It seems that the coefficients to the number of Ellis Act withdrawals and Owner move-ins are not statistically significant at the 95% level, so the null hypothesis cannot be rejected. </w:t>
      </w:r>
    </w:p>
    <w:p w14:paraId="1E6DAFA7" w14:textId="77777777" w:rsidR="00322C3A" w:rsidRDefault="00322C3A" w:rsidP="007171A6">
      <w:pPr>
        <w:shd w:val="clear" w:color="auto" w:fill="FFFFFF"/>
        <w:spacing w:after="30" w:line="480" w:lineRule="auto"/>
        <w:contextualSpacing/>
        <w:rPr>
          <w:color w:val="333333"/>
        </w:rPr>
      </w:pPr>
      <w:r>
        <w:rPr>
          <w:color w:val="333333"/>
        </w:rPr>
        <w:tab/>
      </w:r>
    </w:p>
    <w:p w14:paraId="04AB0877" w14:textId="77777777" w:rsidR="00322C3A" w:rsidRDefault="00322C3A" w:rsidP="007171A6">
      <w:pPr>
        <w:shd w:val="clear" w:color="auto" w:fill="FFFFFF"/>
        <w:spacing w:after="30" w:line="480" w:lineRule="auto"/>
        <w:contextualSpacing/>
        <w:rPr>
          <w:color w:val="333333"/>
        </w:rPr>
      </w:pPr>
    </w:p>
    <w:p w14:paraId="30707368" w14:textId="77777777" w:rsidR="00322C3A" w:rsidRDefault="00322C3A" w:rsidP="007171A6">
      <w:pPr>
        <w:shd w:val="clear" w:color="auto" w:fill="FFFFFF"/>
        <w:spacing w:after="30" w:line="480" w:lineRule="auto"/>
        <w:contextualSpacing/>
        <w:rPr>
          <w:color w:val="333333"/>
        </w:rPr>
      </w:pPr>
    </w:p>
    <w:p w14:paraId="65081CC5" w14:textId="77777777" w:rsidR="00322C3A" w:rsidRDefault="00322C3A" w:rsidP="007171A6">
      <w:pPr>
        <w:shd w:val="clear" w:color="auto" w:fill="FFFFFF"/>
        <w:spacing w:after="30" w:line="480" w:lineRule="auto"/>
        <w:contextualSpacing/>
        <w:rPr>
          <w:color w:val="333333"/>
        </w:rPr>
      </w:pPr>
    </w:p>
    <w:p w14:paraId="0344900E" w14:textId="77777777" w:rsidR="00322C3A" w:rsidRDefault="00322C3A" w:rsidP="007171A6">
      <w:pPr>
        <w:shd w:val="clear" w:color="auto" w:fill="FFFFFF"/>
        <w:spacing w:after="30" w:line="480" w:lineRule="auto"/>
        <w:contextualSpacing/>
        <w:rPr>
          <w:color w:val="333333"/>
        </w:rPr>
      </w:pPr>
    </w:p>
    <w:p w14:paraId="6AE86619" w14:textId="7D388A62" w:rsidR="00322C3A" w:rsidRDefault="00322C3A" w:rsidP="00322C3A">
      <w:pPr>
        <w:shd w:val="clear" w:color="auto" w:fill="FFFFFF"/>
        <w:spacing w:after="30" w:line="480" w:lineRule="auto"/>
        <w:ind w:firstLine="720"/>
        <w:contextualSpacing/>
        <w:rPr>
          <w:color w:val="333333"/>
        </w:rPr>
      </w:pPr>
      <w:r w:rsidRPr="001B322A">
        <w:drawing>
          <wp:anchor distT="0" distB="0" distL="114300" distR="114300" simplePos="0" relativeHeight="251661312" behindDoc="0" locked="0" layoutInCell="1" allowOverlap="1" wp14:anchorId="06A0B836" wp14:editId="4BBB1611">
            <wp:simplePos x="0" y="0"/>
            <wp:positionH relativeFrom="column">
              <wp:posOffset>-634532</wp:posOffset>
            </wp:positionH>
            <wp:positionV relativeFrom="paragraph">
              <wp:posOffset>916372</wp:posOffset>
            </wp:positionV>
            <wp:extent cx="7250352" cy="2401637"/>
            <wp:effectExtent l="0" t="0" r="0" b="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host_20342_session_file5b6f657f8c01.pdf"/>
                    <pic:cNvPicPr/>
                  </pic:nvPicPr>
                  <pic:blipFill rotWithShape="1">
                    <a:blip r:embed="rId11">
                      <a:extLst>
                        <a:ext uri="{28A0092B-C50C-407E-A947-70E740481C1C}">
                          <a14:useLocalDpi xmlns:a14="http://schemas.microsoft.com/office/drawing/2010/main" val="0"/>
                        </a:ext>
                      </a:extLst>
                    </a:blip>
                    <a:srcRect b="57141"/>
                    <a:stretch/>
                  </pic:blipFill>
                  <pic:spPr bwMode="auto">
                    <a:xfrm>
                      <a:off x="0" y="0"/>
                      <a:ext cx="7250352" cy="24016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78C">
        <w:rPr>
          <w:color w:val="333333"/>
        </w:rPr>
        <w:t>Finally</w:t>
      </w:r>
      <w:r>
        <w:rPr>
          <w:color w:val="333333"/>
        </w:rPr>
        <w:t xml:space="preserve">, I will run a series of multivariable linear regressions to test the relationship between the type of eviction notices and the change in median home value of the notice’s neighborhood. </w:t>
      </w:r>
    </w:p>
    <w:p w14:paraId="634A79AB" w14:textId="77777777" w:rsidR="00322C3A" w:rsidRDefault="00322C3A" w:rsidP="00322C3A">
      <w:pPr>
        <w:shd w:val="clear" w:color="auto" w:fill="FFFFFF"/>
        <w:spacing w:after="30" w:line="480" w:lineRule="auto"/>
        <w:ind w:firstLine="720"/>
        <w:contextualSpacing/>
        <w:rPr>
          <w:color w:val="333333"/>
        </w:rPr>
      </w:pPr>
    </w:p>
    <w:p w14:paraId="3B2A79C0" w14:textId="77777777" w:rsidR="00322C3A" w:rsidRDefault="00322C3A" w:rsidP="00322C3A">
      <w:pPr>
        <w:shd w:val="clear" w:color="auto" w:fill="FFFFFF"/>
        <w:spacing w:after="30" w:line="480" w:lineRule="auto"/>
        <w:ind w:firstLine="720"/>
        <w:contextualSpacing/>
        <w:rPr>
          <w:color w:val="333333"/>
        </w:rPr>
      </w:pPr>
    </w:p>
    <w:p w14:paraId="678D926A" w14:textId="77777777" w:rsidR="00322C3A" w:rsidRDefault="00322C3A" w:rsidP="00322C3A">
      <w:pPr>
        <w:shd w:val="clear" w:color="auto" w:fill="FFFFFF"/>
        <w:spacing w:after="30" w:line="480" w:lineRule="auto"/>
        <w:ind w:firstLine="720"/>
        <w:contextualSpacing/>
        <w:rPr>
          <w:color w:val="333333"/>
        </w:rPr>
      </w:pPr>
    </w:p>
    <w:p w14:paraId="3D36DA47" w14:textId="77777777" w:rsidR="00322C3A" w:rsidRDefault="00322C3A" w:rsidP="00322C3A">
      <w:pPr>
        <w:shd w:val="clear" w:color="auto" w:fill="FFFFFF"/>
        <w:spacing w:after="30" w:line="480" w:lineRule="auto"/>
        <w:ind w:firstLine="720"/>
        <w:contextualSpacing/>
        <w:rPr>
          <w:color w:val="333333"/>
        </w:rPr>
      </w:pPr>
    </w:p>
    <w:p w14:paraId="7C60B39A" w14:textId="77777777" w:rsidR="00322C3A" w:rsidRDefault="00322C3A" w:rsidP="00322C3A">
      <w:pPr>
        <w:shd w:val="clear" w:color="auto" w:fill="FFFFFF"/>
        <w:spacing w:after="30" w:line="480" w:lineRule="auto"/>
        <w:ind w:firstLine="720"/>
        <w:contextualSpacing/>
        <w:rPr>
          <w:color w:val="333333"/>
        </w:rPr>
      </w:pPr>
    </w:p>
    <w:p w14:paraId="24D704AC" w14:textId="77777777" w:rsidR="00322C3A" w:rsidRDefault="00322C3A" w:rsidP="00322C3A">
      <w:pPr>
        <w:shd w:val="clear" w:color="auto" w:fill="FFFFFF"/>
        <w:spacing w:after="30" w:line="480" w:lineRule="auto"/>
        <w:ind w:firstLine="720"/>
        <w:contextualSpacing/>
        <w:rPr>
          <w:color w:val="333333"/>
        </w:rPr>
      </w:pPr>
    </w:p>
    <w:p w14:paraId="569CB461" w14:textId="77777777" w:rsidR="00322C3A" w:rsidRDefault="00322C3A" w:rsidP="00322C3A">
      <w:pPr>
        <w:shd w:val="clear" w:color="auto" w:fill="FFFFFF"/>
        <w:spacing w:after="30" w:line="480" w:lineRule="auto"/>
        <w:contextualSpacing/>
        <w:rPr>
          <w:color w:val="333333"/>
        </w:rPr>
      </w:pPr>
    </w:p>
    <w:p w14:paraId="54C0E067" w14:textId="0A4619C3" w:rsidR="00322C3A" w:rsidRDefault="00A369B0" w:rsidP="00322C3A">
      <w:pPr>
        <w:shd w:val="clear" w:color="auto" w:fill="FFFFFF"/>
        <w:spacing w:after="30" w:line="480" w:lineRule="auto"/>
        <w:contextualSpacing/>
        <w:rPr>
          <w:color w:val="333333"/>
        </w:rPr>
      </w:pPr>
      <w:r>
        <w:rPr>
          <w:color w:val="333333"/>
        </w:rPr>
        <w:t xml:space="preserve">Each observation represents an eviction notice that can be matched to Zillow’s neighborhood price data. Note that only 30 out of 34 </w:t>
      </w:r>
      <w:r w:rsidR="006D26C6">
        <w:rPr>
          <w:color w:val="333333"/>
        </w:rPr>
        <w:t>of the eviction notices’ neighborhood had corresponding</w:t>
      </w:r>
      <w:r w:rsidR="00443E03">
        <w:rPr>
          <w:color w:val="333333"/>
        </w:rPr>
        <w:t xml:space="preserve"> Zillow price data. </w:t>
      </w:r>
      <w:r w:rsidR="009344C1">
        <w:rPr>
          <w:color w:val="333333"/>
        </w:rPr>
        <w:t xml:space="preserve">The unemployment rate at the time of the eviction notice is represented by </w:t>
      </w:r>
      <w:r w:rsidR="009344C1" w:rsidRPr="001B478C">
        <w:rPr>
          <w:i/>
          <w:color w:val="333333"/>
        </w:rPr>
        <w:t>evictions$unemployment</w:t>
      </w:r>
      <w:r w:rsidR="009344C1">
        <w:rPr>
          <w:color w:val="333333"/>
        </w:rPr>
        <w:t xml:space="preserve">. </w:t>
      </w:r>
      <w:r w:rsidR="006F31C8">
        <w:rPr>
          <w:color w:val="333333"/>
        </w:rPr>
        <w:t xml:space="preserve">The remaining variables are dummy variables indicating what kind of eviction the notice was. </w:t>
      </w:r>
      <w:r w:rsidR="00E91CE2">
        <w:rPr>
          <w:color w:val="333333"/>
        </w:rPr>
        <w:t xml:space="preserve">All coefficients in the models are statistically significant except the coefficient to Late-Payment eviction notices in model 5. Thus, the null hypothesis for the Ellis Act coefficient cannot be rejected in any of the models it is in. </w:t>
      </w:r>
    </w:p>
    <w:p w14:paraId="7F2F727E" w14:textId="77777777" w:rsidR="00D251AF" w:rsidRDefault="00D251AF" w:rsidP="00D251AF">
      <w:pPr>
        <w:pStyle w:val="Heading2"/>
        <w:spacing w:line="480" w:lineRule="auto"/>
      </w:pPr>
      <w:r>
        <w:t>Discussion</w:t>
      </w:r>
    </w:p>
    <w:p w14:paraId="5A48417C" w14:textId="67B095D0" w:rsidR="00D251AF" w:rsidRDefault="00D251AF" w:rsidP="00D251AF">
      <w:pPr>
        <w:spacing w:line="480" w:lineRule="auto"/>
        <w:ind w:firstLine="720"/>
      </w:pPr>
      <w:r>
        <w:t xml:space="preserve">In the first test of comparing the proportions of eviction notices with a positive price change, Ellis Act eviction notices have a smaller proportion when compared to all evictions. This seems to suggest that when Ellis Act eviction notices are issued, there is a smaller chance of a positive price change in the neighborhood when compared to all other eviction notices. </w:t>
      </w:r>
      <w:r w:rsidR="00141045">
        <w:t>This is contrary to what my theory suggests</w:t>
      </w:r>
      <w:r w:rsidR="00152191">
        <w:t xml:space="preserve">. </w:t>
      </w:r>
      <w:r w:rsidR="00012399">
        <w:t>However, when looking at the means and medians of the positive changes in price for the different eviction notices, it seems to suggest Ellis Act notices result in a higher change in price, despite the lower proportion of of the first test.</w:t>
      </w:r>
      <w:r w:rsidR="007E5656">
        <w:t xml:space="preserve"> </w:t>
      </w:r>
    </w:p>
    <w:p w14:paraId="0022EA6D" w14:textId="7C718390" w:rsidR="00A97DD4" w:rsidRDefault="00CA037B" w:rsidP="00D251AF">
      <w:pPr>
        <w:spacing w:line="480" w:lineRule="auto"/>
        <w:ind w:firstLine="720"/>
      </w:pPr>
      <w:r>
        <w:t xml:space="preserve">In the first group of linear regressions, the coefficient to the number of Ellis Act notices is not statistically significant in any of the models. Thus, the null hypothesis cannot be rejected, and it suggests the effect of the number of Ellis Act notices cannot be proven to be non-zero. </w:t>
      </w:r>
      <w:r w:rsidR="0099684D">
        <w:t xml:space="preserve">This again is contrary to what my theory suggests. </w:t>
      </w:r>
      <w:r w:rsidR="00EC46A3">
        <w:t>However, this group of regression is an aggregate approach without using indiv</w:t>
      </w:r>
      <w:r w:rsidR="00E03AAF">
        <w:t xml:space="preserve">idual neighborhood home values, thus the sample size is much smaller. </w:t>
      </w:r>
      <w:r w:rsidR="007E5656">
        <w:t xml:space="preserve">The coefficient to the </w:t>
      </w:r>
      <w:r w:rsidR="00687FEF">
        <w:t xml:space="preserve">unemployment rate is statistically significant and negative, which suggests when unemployment </w:t>
      </w:r>
      <w:r w:rsidR="00CE0409">
        <w:t>is high, the</w:t>
      </w:r>
      <w:r w:rsidR="00687FEF">
        <w:t xml:space="preserve"> housing market is likely to experience a negative change in price. </w:t>
      </w:r>
    </w:p>
    <w:p w14:paraId="7D2C9CB5" w14:textId="77777777" w:rsidR="00660160" w:rsidRDefault="00A97DD4" w:rsidP="00DF116C">
      <w:pPr>
        <w:spacing w:line="480" w:lineRule="auto"/>
        <w:ind w:firstLine="720"/>
      </w:pPr>
      <w:r>
        <w:t>In the second group of linear regressions, the coefficient to the Ellis Act notice dummy variable is statistically significant in all of the models that includes it. The null hypothesis can be rejected, and it suggests that an Ellis Act eviction notice has a</w:t>
      </w:r>
      <w:r w:rsidR="00E9188F">
        <w:t xml:space="preserve"> positive</w:t>
      </w:r>
      <w:r>
        <w:t xml:space="preserve"> non-zero effect on the neighborhood’s change in price. </w:t>
      </w:r>
      <w:r w:rsidR="00CA037B">
        <w:t xml:space="preserve"> </w:t>
      </w:r>
      <w:r w:rsidR="0099684D">
        <w:t>This</w:t>
      </w:r>
      <w:r w:rsidR="00006C49">
        <w:t xml:space="preserve"> result supports my theory, because </w:t>
      </w:r>
      <w:r w:rsidR="003727C5">
        <w:t>if an eviction notice is an Ellis Act eviction notice, the regression show it will have a positive effect on the neighborhood’s change in price. Thus, it may be true that Ellis Act eviction notices positively affect direction of the housing market. It is also interesting that the coefficients to unemployment and non-payment eviction notices are all statistically significant and negative. This seems to suggest when unemployment is high and landlords are issuing non-payment eviction notices</w:t>
      </w:r>
      <w:r w:rsidR="00CF51BE">
        <w:t xml:space="preserve">, the </w:t>
      </w:r>
      <w:r w:rsidR="00347BA8">
        <w:t xml:space="preserve">neighborhood’s </w:t>
      </w:r>
      <w:r w:rsidR="00CF51BE">
        <w:t xml:space="preserve">housing </w:t>
      </w:r>
      <w:r w:rsidR="00347BA8">
        <w:t>price</w:t>
      </w:r>
      <w:r w:rsidR="00CF51BE">
        <w:t xml:space="preserve"> will decrease. </w:t>
      </w:r>
      <w:r w:rsidR="001B1EA2">
        <w:t xml:space="preserve">It is also interesting to note that the coefficient to development eviction notices is statistically significant, positive, and much higher than the other coefficients. Development eviction notices are issued when landlords enter into an agreement with a land development to develop their plot of land, perhaps for larger complexes or government infrastructures. </w:t>
      </w:r>
      <w:r w:rsidR="00347BA8">
        <w:t>It suggests when a development eviction notice is issued, the neighborhood’s housing price will increase more than the other kinds of eviction notices that w</w:t>
      </w:r>
      <w:r w:rsidR="00092FD8">
        <w:t>ere included in the regressions. Also, as more variables are added to the models, the adjusted R-squared increases, it seems to suggest the model better reflect the variance of the original data</w:t>
      </w:r>
      <w:r w:rsidR="0005201E">
        <w:t xml:space="preserve"> with the additional variables</w:t>
      </w:r>
      <w:r w:rsidR="00092FD8">
        <w:t>.</w:t>
      </w:r>
      <w:r w:rsidR="0005201E">
        <w:t xml:space="preserve"> However, the R-squared remains to be very low. </w:t>
      </w:r>
    </w:p>
    <w:p w14:paraId="335F25F5" w14:textId="3B68B3D6" w:rsidR="00660160" w:rsidRDefault="00660160" w:rsidP="00DF116C">
      <w:pPr>
        <w:pStyle w:val="Heading2"/>
        <w:spacing w:line="480" w:lineRule="auto"/>
      </w:pPr>
      <w:r>
        <w:t>Conclusion</w:t>
      </w:r>
    </w:p>
    <w:p w14:paraId="35C7CB2E" w14:textId="7809578F" w:rsidR="00A83602" w:rsidRDefault="00367F45" w:rsidP="00DF116C">
      <w:pPr>
        <w:spacing w:line="480" w:lineRule="auto"/>
      </w:pPr>
      <w:r>
        <w:tab/>
      </w:r>
      <w:r w:rsidR="00907C70">
        <w:t xml:space="preserve">In the second group of linear regressions, </w:t>
      </w:r>
      <w:r w:rsidR="00DF116C">
        <w:t xml:space="preserve">the results suggest that my theory is true: when Ellis Act eviction notices are filed, they positively affect the change in housing price of the neighborhood, thus property owners could potentially be using Ellis Act eviction notices to speculate on the housing market. </w:t>
      </w:r>
      <w:r w:rsidR="00007D84">
        <w:t xml:space="preserve">The comparison of the means and medians of the changes in price of the different types of eviction notices also seem to suggest Ellis Act eviction notices to bring a higher positive change in price than the other eviction notices. </w:t>
      </w:r>
      <w:r w:rsidR="008C6FBB">
        <w:t xml:space="preserve">However, my first group of linear regressions fail to produce a statistically significant coefficient for Ellis Act evictions, thus it does not support my theory. </w:t>
      </w:r>
      <w:r w:rsidR="00A83602">
        <w:t>In both groups of regressions, unemployment seem</w:t>
      </w:r>
      <w:r w:rsidR="00FA1F44">
        <w:t>s</w:t>
      </w:r>
      <w:r w:rsidR="00A83602">
        <w:t xml:space="preserve"> to negatively affect the change in housing prices, thus when unemployment rises, it seem</w:t>
      </w:r>
      <w:r w:rsidR="00FA1F44">
        <w:t>s</w:t>
      </w:r>
      <w:r w:rsidR="00A83602">
        <w:t xml:space="preserve"> to reflect a negative change in prices in the housing market. </w:t>
      </w:r>
    </w:p>
    <w:p w14:paraId="1970F0E1" w14:textId="4816BF31" w:rsidR="00FA1F44" w:rsidRDefault="00FA1F44" w:rsidP="00DF116C">
      <w:pPr>
        <w:spacing w:line="480" w:lineRule="auto"/>
      </w:pPr>
      <w:r>
        <w:tab/>
        <w:t xml:space="preserve">There are numerous potential errors in my analysis. Pricing data could not be associated with every eviction notices in the data set. Zillow pricing data are accurate estimations of the market, but not the actual housing market. Eviction notices are only required for rental properties built prior to 1979 in San Francisco, so the data set can be significantly underestimating evictions in San Francisco. </w:t>
      </w:r>
    </w:p>
    <w:p w14:paraId="68267EDE" w14:textId="73DA3C1B" w:rsidR="00B8021D" w:rsidRPr="00B8021D" w:rsidRDefault="00B8021D" w:rsidP="00DF116C">
      <w:pPr>
        <w:spacing w:line="480" w:lineRule="auto"/>
      </w:pPr>
      <w:r>
        <w:tab/>
        <w:t xml:space="preserve">My results seem to coincide with </w:t>
      </w:r>
      <w:r w:rsidRPr="001B322A">
        <w:t>Brousseau</w:t>
      </w:r>
      <w:r>
        <w:t xml:space="preserve">’s policy reports for City Supervisor Campos, suggesting a connection between the housing market increase and Ellis Act evictions. But as the City and County of San Francisco argues in </w:t>
      </w:r>
      <w:r>
        <w:rPr>
          <w:i/>
        </w:rPr>
        <w:t>Levin v. CCSF</w:t>
      </w:r>
      <w:r>
        <w:t>, the proportion of Ellis Act evictions is very small compared to the entire San Francisco housing market, their effects on the market is very difficult to measure. But no doubt, the housing displacement and affordability issues of San Francisco remains, and more research can be done to show how evictions affect the demographics of San Francisco.</w:t>
      </w:r>
    </w:p>
    <w:p w14:paraId="26C40A55" w14:textId="5FB56BA5" w:rsidR="00823A9C" w:rsidRDefault="00823A9C" w:rsidP="00DF116C">
      <w:pPr>
        <w:spacing w:line="480" w:lineRule="auto"/>
      </w:pPr>
      <w:r>
        <w:tab/>
        <w:t xml:space="preserve"> </w:t>
      </w:r>
    </w:p>
    <w:p w14:paraId="313FE612" w14:textId="7B69FE0D" w:rsidR="008C6FBB" w:rsidRPr="00367F45" w:rsidRDefault="008C6FBB" w:rsidP="00DF116C">
      <w:pPr>
        <w:spacing w:line="480" w:lineRule="auto"/>
      </w:pPr>
      <w:r>
        <w:tab/>
      </w:r>
    </w:p>
    <w:p w14:paraId="5E9D6013" w14:textId="644004EA" w:rsidR="004A0407" w:rsidRPr="007E5656" w:rsidRDefault="00660160" w:rsidP="00DF116C">
      <w:pPr>
        <w:pStyle w:val="Heading2"/>
        <w:spacing w:line="480" w:lineRule="auto"/>
        <w:rPr>
          <w:color w:val="auto"/>
        </w:rPr>
      </w:pPr>
      <w:r>
        <w:tab/>
      </w:r>
      <w:r w:rsidR="00092FD8">
        <w:t xml:space="preserve"> </w:t>
      </w:r>
    </w:p>
    <w:p w14:paraId="567B9391" w14:textId="77777777" w:rsidR="004A0407" w:rsidRPr="001B322A" w:rsidRDefault="004A0407" w:rsidP="001C3476">
      <w:pPr>
        <w:shd w:val="clear" w:color="auto" w:fill="FFFFFF"/>
        <w:spacing w:after="30" w:line="480" w:lineRule="auto"/>
        <w:ind w:firstLine="720"/>
        <w:contextualSpacing/>
        <w:rPr>
          <w:color w:val="333333"/>
        </w:rPr>
      </w:pPr>
    </w:p>
    <w:p w14:paraId="4B2CC907" w14:textId="3D7AB3AA" w:rsidR="001110F0" w:rsidRPr="001B322A" w:rsidRDefault="007E5656" w:rsidP="00BF1F30">
      <w:r>
        <w:br w:type="page"/>
      </w:r>
    </w:p>
    <w:p w14:paraId="1F92312D" w14:textId="663A18C5" w:rsidR="00531795" w:rsidRPr="001B322A" w:rsidRDefault="00531795" w:rsidP="001C3476">
      <w:pPr>
        <w:spacing w:line="480" w:lineRule="auto"/>
        <w:contextualSpacing/>
        <w:jc w:val="center"/>
      </w:pPr>
      <w:r w:rsidRPr="001B322A">
        <w:t>Works Cited</w:t>
      </w:r>
    </w:p>
    <w:p w14:paraId="02977FEC" w14:textId="4E2C4814" w:rsidR="00EC7353" w:rsidRPr="001B322A" w:rsidRDefault="00EC7353" w:rsidP="001C3476">
      <w:pPr>
        <w:spacing w:line="360" w:lineRule="auto"/>
        <w:ind w:left="720" w:hanging="720"/>
        <w:contextualSpacing/>
      </w:pPr>
      <w:r w:rsidRPr="001B322A">
        <w:t xml:space="preserve">Anderson, Tomikka. "Cost of Average San Francisco Rent Actually Fell (a Little) Last Month." San Francisco Chronicle 11 Dec. 2015. </w:t>
      </w:r>
      <w:r w:rsidR="00366AAC" w:rsidRPr="001B322A">
        <w:t>Web.</w:t>
      </w:r>
    </w:p>
    <w:p w14:paraId="39A46709" w14:textId="04E229EB" w:rsidR="009D4FB7" w:rsidRPr="001B322A" w:rsidRDefault="009D4FB7" w:rsidP="001C3476">
      <w:pPr>
        <w:spacing w:line="360" w:lineRule="auto"/>
        <w:ind w:left="720" w:hanging="720"/>
        <w:contextualSpacing/>
      </w:pPr>
      <w:r w:rsidRPr="001B322A">
        <w:t>Brousseau, Fred. </w:t>
      </w:r>
      <w:r w:rsidR="005847CB" w:rsidRPr="001B322A">
        <w:t>“</w:t>
      </w:r>
      <w:r w:rsidRPr="001B322A">
        <w:t>Analysis of Tenant Displacement in San Francisco.</w:t>
      </w:r>
      <w:r w:rsidR="005847CB" w:rsidRPr="001B322A">
        <w:t>”</w:t>
      </w:r>
      <w:r w:rsidRPr="001B322A">
        <w:t xml:space="preserve"> </w:t>
      </w:r>
      <w:r w:rsidR="00472F7A" w:rsidRPr="001B322A">
        <w:t>City and County of San Francisco Board of Supervisors: Budget &amp; Legislative Analyst</w:t>
      </w:r>
      <w:r w:rsidRPr="001B322A">
        <w:t xml:space="preserve">, </w:t>
      </w:r>
      <w:r w:rsidR="00457FBF" w:rsidRPr="001B322A">
        <w:t xml:space="preserve">30 Oct. </w:t>
      </w:r>
      <w:r w:rsidRPr="001B322A">
        <w:t xml:space="preserve">2013. </w:t>
      </w:r>
      <w:r w:rsidR="00472F7A" w:rsidRPr="001B322A">
        <w:t>Web</w:t>
      </w:r>
      <w:r w:rsidRPr="001B322A">
        <w:t>.</w:t>
      </w:r>
      <w:r w:rsidR="00472F7A" w:rsidRPr="001B322A">
        <w:t xml:space="preserve"> &lt;http://www.sfbos.org/Modules/ShowDocument.aspx?documentid=47040&gt;</w:t>
      </w:r>
      <w:r w:rsidR="002F7E11" w:rsidRPr="001B322A">
        <w:t>.</w:t>
      </w:r>
    </w:p>
    <w:p w14:paraId="6BA3A6E7" w14:textId="2E288702" w:rsidR="00C47A43" w:rsidRPr="001B322A" w:rsidRDefault="00C47A43" w:rsidP="001C3476">
      <w:pPr>
        <w:spacing w:line="360" w:lineRule="auto"/>
        <w:ind w:left="720" w:hanging="720"/>
        <w:contextualSpacing/>
      </w:pPr>
      <w:r w:rsidRPr="001B322A">
        <w:t xml:space="preserve">---. </w:t>
      </w:r>
      <w:r w:rsidR="005847CB" w:rsidRPr="001B322A">
        <w:t>“</w:t>
      </w:r>
      <w:r w:rsidRPr="001B322A">
        <w:t>Analysis of Profits of Ellis Act Evictions Property Sales</w:t>
      </w:r>
      <w:r w:rsidRPr="001B322A">
        <w:rPr>
          <w:i/>
        </w:rPr>
        <w:t>.</w:t>
      </w:r>
      <w:r w:rsidR="005847CB" w:rsidRPr="001B322A">
        <w:rPr>
          <w:i/>
        </w:rPr>
        <w:t>”</w:t>
      </w:r>
      <w:r w:rsidRPr="001B322A">
        <w:rPr>
          <w:i/>
        </w:rPr>
        <w:t xml:space="preserve"> </w:t>
      </w:r>
      <w:r w:rsidRPr="001B322A">
        <w:t xml:space="preserve">City and County of San Francisco Board of Supervisors: Budget &amp; Legislative Analyst, </w:t>
      </w:r>
      <w:r w:rsidR="00974A10" w:rsidRPr="001B322A">
        <w:t xml:space="preserve">17 Mar. </w:t>
      </w:r>
      <w:r w:rsidRPr="001B322A">
        <w:t>2014. Web.</w:t>
      </w:r>
      <w:r w:rsidR="001973D6" w:rsidRPr="001B322A">
        <w:t xml:space="preserve"> &lt;http://www.sfbos.org/Modules/ShowDocument.aspx?documentid=48342&gt;</w:t>
      </w:r>
      <w:r w:rsidR="002F7E11" w:rsidRPr="001B322A">
        <w:t>.</w:t>
      </w:r>
    </w:p>
    <w:p w14:paraId="6A315016" w14:textId="77F4BC13" w:rsidR="00B94B77" w:rsidRPr="001B322A" w:rsidRDefault="00B94B77" w:rsidP="001C3476">
      <w:pPr>
        <w:spacing w:line="360" w:lineRule="auto"/>
        <w:ind w:left="720" w:hanging="720"/>
        <w:contextualSpacing/>
      </w:pPr>
      <w:r w:rsidRPr="001B322A">
        <w:t xml:space="preserve">Castillo, Hugo E. “How California Can Harmonize A Tenant's State Rights and A Landlord's Right To Go Out Of Business Pursuant To The Ellis Act.” </w:t>
      </w:r>
      <w:r w:rsidRPr="001B322A">
        <w:rPr>
          <w:i/>
        </w:rPr>
        <w:t>Golden Gate U</w:t>
      </w:r>
      <w:r w:rsidR="007F5C00" w:rsidRPr="001B322A">
        <w:rPr>
          <w:i/>
        </w:rPr>
        <w:t>niversity Law Review 31.3</w:t>
      </w:r>
      <w:r w:rsidR="007F5C00" w:rsidRPr="001B322A">
        <w:t xml:space="preserve"> (2001): 251-268. Web. </w:t>
      </w:r>
    </w:p>
    <w:p w14:paraId="35BB0187" w14:textId="5CD00760" w:rsidR="00565E8F" w:rsidRPr="001B322A" w:rsidRDefault="00565E8F"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"City ZHVI All Homes."</w:t>
      </w:r>
      <w:r w:rsidRPr="001B322A">
        <w:rPr>
          <w:rStyle w:val="apple-converted-space"/>
          <w:rFonts w:eastAsia="Times New Roman"/>
          <w:color w:val="000000"/>
        </w:rPr>
        <w:t> </w:t>
      </w:r>
      <w:r w:rsidRPr="001B322A">
        <w:rPr>
          <w:rFonts w:eastAsia="Times New Roman"/>
          <w:i/>
          <w:iCs/>
          <w:color w:val="000000"/>
        </w:rPr>
        <w:t>Zillow</w:t>
      </w:r>
      <w:r w:rsidRPr="001B322A">
        <w:rPr>
          <w:rFonts w:eastAsia="Times New Roman"/>
          <w:color w:val="000000"/>
        </w:rPr>
        <w:t>. Zillow Real Estate Research, Jan. 2016. Web. &lt;http://files.zillowstatic.com/research/public/City/City_Zhvi_AllHomes.csv&gt;.</w:t>
      </w:r>
    </w:p>
    <w:p w14:paraId="467552C1" w14:textId="13B25BF0" w:rsidR="00531795" w:rsidRPr="001B322A" w:rsidRDefault="00531795"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Coté, John</w:t>
      </w:r>
      <w:r w:rsidR="00036468" w:rsidRPr="001B322A">
        <w:rPr>
          <w:rFonts w:eastAsia="Times New Roman"/>
          <w:color w:val="000000"/>
        </w:rPr>
        <w:t>.</w:t>
      </w:r>
      <w:r w:rsidRPr="001B322A">
        <w:rPr>
          <w:rFonts w:eastAsia="Times New Roman"/>
          <w:color w:val="000000"/>
        </w:rPr>
        <w:t xml:space="preserve">, and Marisa Lagos. "S.F. Politicians: Restrict Ellis Act Evictions." San Francisco Chronicle, 14 Nov. 2013. Web. </w:t>
      </w:r>
    </w:p>
    <w:p w14:paraId="1DF493ED" w14:textId="5590D296" w:rsidR="00531795" w:rsidRPr="001B322A" w:rsidRDefault="00531795"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"Eviction Notices."</w:t>
      </w:r>
      <w:r w:rsidRPr="001B322A">
        <w:rPr>
          <w:rStyle w:val="apple-converted-space"/>
          <w:rFonts w:eastAsia="Times New Roman"/>
          <w:color w:val="000000"/>
        </w:rPr>
        <w:t> </w:t>
      </w:r>
      <w:r w:rsidRPr="001B322A">
        <w:rPr>
          <w:rFonts w:eastAsia="Times New Roman"/>
          <w:i/>
          <w:iCs/>
          <w:color w:val="000000"/>
        </w:rPr>
        <w:t>SF OpenData</w:t>
      </w:r>
      <w:r w:rsidRPr="001B322A">
        <w:rPr>
          <w:rFonts w:eastAsia="Times New Roman"/>
          <w:color w:val="000000"/>
        </w:rPr>
        <w:t>. Rent Arbitration Board, 6 Feb. 2016. Web. &lt;https://data.sfgov.org/Housing-and-Buildings/Eviction-Notices/5cei-gny5/about&gt;.</w:t>
      </w:r>
    </w:p>
    <w:p w14:paraId="5370B5D2" w14:textId="0DA23FA9" w:rsidR="0044223C" w:rsidRPr="001B322A" w:rsidRDefault="0044223C" w:rsidP="001C3476">
      <w:pPr>
        <w:spacing w:line="360" w:lineRule="auto"/>
        <w:ind w:left="720" w:hanging="720"/>
        <w:contextualSpacing/>
      </w:pPr>
      <w:r w:rsidRPr="001B322A">
        <w:t>Green, Matthew. "Meet the Ellis Act, the Law Driving Many San Francisco Evictions." </w:t>
      </w:r>
      <w:r w:rsidRPr="001B322A">
        <w:rPr>
          <w:i/>
        </w:rPr>
        <w:t>KQED News</w:t>
      </w:r>
      <w:r w:rsidRPr="001B322A">
        <w:t> [San Francisco] 8 Nov. 2013</w:t>
      </w:r>
      <w:r w:rsidR="00840092" w:rsidRPr="001B322A">
        <w:t>. Web.</w:t>
      </w:r>
    </w:p>
    <w:p w14:paraId="604D601D" w14:textId="687C9B37" w:rsidR="006C3441" w:rsidRPr="001B322A" w:rsidRDefault="006C3441"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Gonzales, Richard. "As Rent Soars, Longtime San Francisco Tenants Fight To Stay."</w:t>
      </w:r>
      <w:r w:rsidRPr="001B322A">
        <w:rPr>
          <w:rFonts w:eastAsia="Times New Roman"/>
          <w:i/>
          <w:color w:val="000000"/>
        </w:rPr>
        <w:t xml:space="preserve"> </w:t>
      </w:r>
      <w:r w:rsidRPr="001B322A">
        <w:rPr>
          <w:rFonts w:eastAsia="Times New Roman"/>
          <w:color w:val="000000"/>
        </w:rPr>
        <w:t>NPR, 3 Dec. 2013. Web.</w:t>
      </w:r>
    </w:p>
    <w:p w14:paraId="60EE593C" w14:textId="7CFA9996" w:rsidR="00502A6A" w:rsidRPr="001B322A" w:rsidRDefault="00036468" w:rsidP="001C3476">
      <w:pPr>
        <w:spacing w:line="360" w:lineRule="auto"/>
        <w:ind w:left="720" w:hanging="720"/>
        <w:contextualSpacing/>
      </w:pPr>
      <w:r w:rsidRPr="001B322A">
        <w:t>Hartman, Chester</w:t>
      </w:r>
      <w:r w:rsidR="00502A6A" w:rsidRPr="001B322A">
        <w:t>.</w:t>
      </w:r>
      <w:r w:rsidRPr="001B322A">
        <w:t>, and Sarah Carnochan.</w:t>
      </w:r>
      <w:r w:rsidR="00502A6A" w:rsidRPr="001B322A">
        <w:t xml:space="preserve"> “The Housing Crisis and the Housing Movement”. </w:t>
      </w:r>
      <w:r w:rsidR="00502A6A" w:rsidRPr="001B322A">
        <w:rPr>
          <w:i/>
        </w:rPr>
        <w:t>City for Sale: The Transformation of San Francisco, Revised and Updated Edition</w:t>
      </w:r>
      <w:r w:rsidR="00502A6A" w:rsidRPr="001B322A">
        <w:t>. 1st ed. University of California Press, 2002. 325–391. Web.</w:t>
      </w:r>
    </w:p>
    <w:p w14:paraId="1EFE4897" w14:textId="366DCCFD" w:rsidR="005E4114" w:rsidRPr="001B322A" w:rsidRDefault="005E4114"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Levin v. City and County of San Francisco. United States District Court for the Northern District of California. 21 Oct. 2014. Levin Decision.</w:t>
      </w:r>
      <w:r w:rsidR="00846597" w:rsidRPr="001B322A">
        <w:rPr>
          <w:rFonts w:eastAsia="Times New Roman"/>
          <w:color w:val="000000"/>
        </w:rPr>
        <w:t xml:space="preserve"> Pacific Legal Foundation. </w:t>
      </w:r>
      <w:r w:rsidRPr="001B322A">
        <w:rPr>
          <w:rFonts w:eastAsia="Times New Roman"/>
          <w:color w:val="000000"/>
        </w:rPr>
        <w:t>Web. &lt;http://blog.pacificlegal.org/wp/wp-content/uploads/2014/10/Levin_Decision.pdf&gt;.</w:t>
      </w:r>
    </w:p>
    <w:p w14:paraId="68C0A3A8" w14:textId="4C1CFF19" w:rsidR="00531795" w:rsidRPr="001B322A" w:rsidRDefault="00531795"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"Neighborhood ZHVI All Homes."</w:t>
      </w:r>
      <w:r w:rsidRPr="001B322A">
        <w:rPr>
          <w:rStyle w:val="apple-converted-space"/>
          <w:rFonts w:eastAsia="Times New Roman"/>
          <w:color w:val="000000"/>
        </w:rPr>
        <w:t> </w:t>
      </w:r>
      <w:r w:rsidRPr="001B322A">
        <w:rPr>
          <w:rFonts w:eastAsia="Times New Roman"/>
          <w:i/>
          <w:iCs/>
          <w:color w:val="000000"/>
        </w:rPr>
        <w:t>Zillow</w:t>
      </w:r>
      <w:r w:rsidRPr="001B322A">
        <w:rPr>
          <w:rFonts w:eastAsia="Times New Roman"/>
          <w:color w:val="000000"/>
        </w:rPr>
        <w:t>. Zillow Real Estate Research, Jan. 2016. Web. &lt;http://files.zillowstatic.com/research/public/Neighborhood/Neighborhood_Zhvi_AllHomes.csv&gt;.</w:t>
      </w:r>
    </w:p>
    <w:p w14:paraId="010C8C43" w14:textId="770478C3" w:rsidR="005847CB" w:rsidRPr="001B322A" w:rsidRDefault="005847CB" w:rsidP="001C3476">
      <w:pPr>
        <w:shd w:val="clear" w:color="auto" w:fill="FFFFFF"/>
        <w:spacing w:line="360" w:lineRule="auto"/>
        <w:ind w:left="720" w:hanging="720"/>
        <w:contextualSpacing/>
        <w:rPr>
          <w:rFonts w:eastAsia="Times New Roman"/>
          <w:i/>
          <w:color w:val="000000"/>
        </w:rPr>
      </w:pPr>
      <w:r w:rsidRPr="001B322A">
        <w:rPr>
          <w:rFonts w:eastAsia="Times New Roman"/>
          <w:color w:val="000000"/>
        </w:rPr>
        <w:t>“Residential Rent Ordinances: Economic Impact Report.” City and County of San Francisco: Office of the Controller - Office of Economic Analysis. 18 May 2009. Web. &lt;http://www.sfcontroller.org/ftp/uploadedfiles/controller/oea/090277-79_economic_impact_final.pdf&gt;.</w:t>
      </w:r>
    </w:p>
    <w:p w14:paraId="310A5463" w14:textId="5E3FECE7" w:rsidR="00565E8F" w:rsidRPr="001B322A" w:rsidRDefault="00565E8F" w:rsidP="001C3476">
      <w:pPr>
        <w:spacing w:line="360" w:lineRule="auto"/>
        <w:ind w:left="720" w:hanging="720"/>
        <w:contextualSpacing/>
      </w:pPr>
      <w:r w:rsidRPr="001B322A">
        <w:t xml:space="preserve">“Seasonally adjusted Unemployment Rate.” </w:t>
      </w:r>
      <w:r w:rsidRPr="001B322A">
        <w:rPr>
          <w:i/>
        </w:rPr>
        <w:t>Department of Labor</w:t>
      </w:r>
      <w:r w:rsidRPr="001B322A">
        <w:t>. Bureau of Labor Statistics, Feb 2016. Web. &lt;http://data.bls.gov/timeseries/LNS14000000&gt;.</w:t>
      </w:r>
    </w:p>
    <w:p w14:paraId="410F05B6" w14:textId="0FD936C4" w:rsidR="00FC52B9" w:rsidRPr="001B322A" w:rsidRDefault="00FC52B9" w:rsidP="001C3476">
      <w:pPr>
        <w:spacing w:line="360" w:lineRule="auto"/>
        <w:ind w:left="720" w:hanging="720"/>
        <w:contextualSpacing/>
      </w:pPr>
      <w:r w:rsidRPr="001B322A">
        <w:t xml:space="preserve">Wilson, Mark. “S.F.'s 2-Year Payouts for Ellis Act Evictions Nixed by Fed. Judge.” </w:t>
      </w:r>
      <w:r w:rsidR="000306AE" w:rsidRPr="001B322A">
        <w:t>FindLaw. 28 Oct. 2014. Web.</w:t>
      </w:r>
    </w:p>
    <w:p w14:paraId="4153461D" w14:textId="3EC5FA38" w:rsidR="00531795" w:rsidRPr="001B322A" w:rsidRDefault="00531795" w:rsidP="001C3476">
      <w:pPr>
        <w:shd w:val="clear" w:color="auto" w:fill="FFFFFF"/>
        <w:spacing w:line="360" w:lineRule="auto"/>
        <w:ind w:left="720" w:hanging="720"/>
        <w:contextualSpacing/>
        <w:rPr>
          <w:rFonts w:eastAsia="Times New Roman"/>
          <w:color w:val="000000"/>
        </w:rPr>
      </w:pPr>
      <w:r w:rsidRPr="001B322A">
        <w:rPr>
          <w:rFonts w:eastAsia="Times New Roman"/>
          <w:color w:val="000000"/>
        </w:rPr>
        <w:t>"Zillow Neighborhood Boundaries”</w:t>
      </w:r>
      <w:r w:rsidRPr="001B322A">
        <w:rPr>
          <w:rStyle w:val="apple-converted-space"/>
          <w:rFonts w:eastAsia="Times New Roman"/>
          <w:color w:val="000000"/>
        </w:rPr>
        <w:t> </w:t>
      </w:r>
      <w:r w:rsidRPr="001B322A">
        <w:rPr>
          <w:rFonts w:eastAsia="Times New Roman"/>
          <w:i/>
          <w:iCs/>
          <w:color w:val="000000"/>
        </w:rPr>
        <w:t>Zillow</w:t>
      </w:r>
      <w:r w:rsidR="002F7E11" w:rsidRPr="001B322A">
        <w:rPr>
          <w:rFonts w:eastAsia="Times New Roman"/>
          <w:color w:val="000000"/>
        </w:rPr>
        <w:t xml:space="preserve">. Zillow, Inc., Jan. 2008. Web. </w:t>
      </w:r>
      <w:r w:rsidRPr="001B322A">
        <w:rPr>
          <w:rFonts w:eastAsia="Times New Roman"/>
          <w:color w:val="000000"/>
        </w:rPr>
        <w:t>&lt;http://www.zillow.com/howto/api/neighborhood-boundaries.htm&gt;.</w:t>
      </w:r>
    </w:p>
    <w:p w14:paraId="7B100E53" w14:textId="77777777" w:rsidR="00A91296" w:rsidRPr="001B322A" w:rsidRDefault="00A91296" w:rsidP="001C3476">
      <w:pPr>
        <w:spacing w:line="480" w:lineRule="auto"/>
        <w:contextualSpacing/>
      </w:pPr>
    </w:p>
    <w:sectPr w:rsidR="00A91296" w:rsidRPr="001B322A" w:rsidSect="00565788">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9FC2C" w14:textId="77777777" w:rsidR="00D16D62" w:rsidRDefault="00D16D62">
      <w:r>
        <w:separator/>
      </w:r>
    </w:p>
  </w:endnote>
  <w:endnote w:type="continuationSeparator" w:id="0">
    <w:p w14:paraId="12342668" w14:textId="77777777" w:rsidR="00D16D62" w:rsidRDefault="00D1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4537D" w14:textId="77777777" w:rsidR="00D16D62" w:rsidRDefault="00D16D62">
      <w:r>
        <w:separator/>
      </w:r>
    </w:p>
  </w:footnote>
  <w:footnote w:type="continuationSeparator" w:id="0">
    <w:p w14:paraId="4E14FA3D" w14:textId="77777777" w:rsidR="00D16D62" w:rsidRDefault="00D16D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43EF" w14:textId="77777777" w:rsidR="003639F9" w:rsidRDefault="001C3476" w:rsidP="00325E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BB1F44" w14:textId="77777777" w:rsidR="003639F9" w:rsidRDefault="00D16D62" w:rsidP="003639F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47FE8" w14:textId="77777777" w:rsidR="003639F9" w:rsidRDefault="001C3476" w:rsidP="00325E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D62">
      <w:rPr>
        <w:rStyle w:val="PageNumber"/>
        <w:noProof/>
      </w:rPr>
      <w:t>1</w:t>
    </w:r>
    <w:r>
      <w:rPr>
        <w:rStyle w:val="PageNumber"/>
      </w:rPr>
      <w:fldChar w:fldCharType="end"/>
    </w:r>
  </w:p>
  <w:p w14:paraId="478BBECC" w14:textId="77777777" w:rsidR="003639F9" w:rsidRDefault="001C3476" w:rsidP="003639F9">
    <w:pPr>
      <w:pStyle w:val="Header"/>
      <w:ind w:right="360"/>
      <w:jc w:val="right"/>
    </w:pPr>
    <w:r>
      <w:t>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CCD"/>
    <w:rsid w:val="00006C49"/>
    <w:rsid w:val="00007D84"/>
    <w:rsid w:val="00012399"/>
    <w:rsid w:val="00022E71"/>
    <w:rsid w:val="00024C5A"/>
    <w:rsid w:val="00026C33"/>
    <w:rsid w:val="000306AE"/>
    <w:rsid w:val="00031DED"/>
    <w:rsid w:val="00033579"/>
    <w:rsid w:val="00036468"/>
    <w:rsid w:val="00045E54"/>
    <w:rsid w:val="000475BE"/>
    <w:rsid w:val="0005201E"/>
    <w:rsid w:val="00071613"/>
    <w:rsid w:val="00086F16"/>
    <w:rsid w:val="00092F0E"/>
    <w:rsid w:val="00092FD8"/>
    <w:rsid w:val="00094BEE"/>
    <w:rsid w:val="000B2E8A"/>
    <w:rsid w:val="000B3FDA"/>
    <w:rsid w:val="000B4472"/>
    <w:rsid w:val="000C22D3"/>
    <w:rsid w:val="000C248C"/>
    <w:rsid w:val="000F2158"/>
    <w:rsid w:val="00107A44"/>
    <w:rsid w:val="001110F0"/>
    <w:rsid w:val="00141045"/>
    <w:rsid w:val="001478B2"/>
    <w:rsid w:val="00152191"/>
    <w:rsid w:val="00153606"/>
    <w:rsid w:val="00191CE5"/>
    <w:rsid w:val="001973D6"/>
    <w:rsid w:val="00197D89"/>
    <w:rsid w:val="001A3297"/>
    <w:rsid w:val="001B1EA2"/>
    <w:rsid w:val="001B322A"/>
    <w:rsid w:val="001B478C"/>
    <w:rsid w:val="001C3476"/>
    <w:rsid w:val="001F67F4"/>
    <w:rsid w:val="0020500D"/>
    <w:rsid w:val="002070CE"/>
    <w:rsid w:val="002156AA"/>
    <w:rsid w:val="00263146"/>
    <w:rsid w:val="002947CE"/>
    <w:rsid w:val="002B4B04"/>
    <w:rsid w:val="002D3C28"/>
    <w:rsid w:val="002D401F"/>
    <w:rsid w:val="002E0D2B"/>
    <w:rsid w:val="002F7E11"/>
    <w:rsid w:val="003109B0"/>
    <w:rsid w:val="00322C3A"/>
    <w:rsid w:val="0033403E"/>
    <w:rsid w:val="003479B9"/>
    <w:rsid w:val="00347BA8"/>
    <w:rsid w:val="00361E4F"/>
    <w:rsid w:val="00366AAC"/>
    <w:rsid w:val="00367F45"/>
    <w:rsid w:val="003727C5"/>
    <w:rsid w:val="00382339"/>
    <w:rsid w:val="0039674A"/>
    <w:rsid w:val="003A03C0"/>
    <w:rsid w:val="003B6D4A"/>
    <w:rsid w:val="003D1692"/>
    <w:rsid w:val="004056F9"/>
    <w:rsid w:val="00415167"/>
    <w:rsid w:val="00415783"/>
    <w:rsid w:val="0044223C"/>
    <w:rsid w:val="00443E03"/>
    <w:rsid w:val="00457FBF"/>
    <w:rsid w:val="00467F55"/>
    <w:rsid w:val="00472F7A"/>
    <w:rsid w:val="00473D56"/>
    <w:rsid w:val="0048713F"/>
    <w:rsid w:val="004A0407"/>
    <w:rsid w:val="004A1923"/>
    <w:rsid w:val="004A3717"/>
    <w:rsid w:val="004B67DE"/>
    <w:rsid w:val="004C0C86"/>
    <w:rsid w:val="004C3607"/>
    <w:rsid w:val="004D12A5"/>
    <w:rsid w:val="004D2FEF"/>
    <w:rsid w:val="004D45D1"/>
    <w:rsid w:val="004D695C"/>
    <w:rsid w:val="004E0F23"/>
    <w:rsid w:val="004E3482"/>
    <w:rsid w:val="004F203F"/>
    <w:rsid w:val="004F6F0E"/>
    <w:rsid w:val="00502A6A"/>
    <w:rsid w:val="00505408"/>
    <w:rsid w:val="00531795"/>
    <w:rsid w:val="00564E4D"/>
    <w:rsid w:val="00565E8F"/>
    <w:rsid w:val="005765E2"/>
    <w:rsid w:val="005847CB"/>
    <w:rsid w:val="00586DAE"/>
    <w:rsid w:val="00591BAE"/>
    <w:rsid w:val="0059456C"/>
    <w:rsid w:val="005A0B01"/>
    <w:rsid w:val="005B1832"/>
    <w:rsid w:val="005C4824"/>
    <w:rsid w:val="005C5981"/>
    <w:rsid w:val="005C6C8B"/>
    <w:rsid w:val="005E4114"/>
    <w:rsid w:val="00601462"/>
    <w:rsid w:val="006014CB"/>
    <w:rsid w:val="00623B37"/>
    <w:rsid w:val="00625DBC"/>
    <w:rsid w:val="006428A8"/>
    <w:rsid w:val="0064417B"/>
    <w:rsid w:val="00660160"/>
    <w:rsid w:val="0067416B"/>
    <w:rsid w:val="00685858"/>
    <w:rsid w:val="00687FEF"/>
    <w:rsid w:val="006906C6"/>
    <w:rsid w:val="006907C9"/>
    <w:rsid w:val="00693EBB"/>
    <w:rsid w:val="006A25C0"/>
    <w:rsid w:val="006C2789"/>
    <w:rsid w:val="006C3441"/>
    <w:rsid w:val="006D26C6"/>
    <w:rsid w:val="006D3E01"/>
    <w:rsid w:val="006E3F9D"/>
    <w:rsid w:val="006F31C8"/>
    <w:rsid w:val="006F356E"/>
    <w:rsid w:val="0070507D"/>
    <w:rsid w:val="007171A6"/>
    <w:rsid w:val="00727993"/>
    <w:rsid w:val="00735B02"/>
    <w:rsid w:val="00752A8A"/>
    <w:rsid w:val="00753C03"/>
    <w:rsid w:val="0075427D"/>
    <w:rsid w:val="00765104"/>
    <w:rsid w:val="00766FEE"/>
    <w:rsid w:val="00780900"/>
    <w:rsid w:val="0078108F"/>
    <w:rsid w:val="00786D5C"/>
    <w:rsid w:val="007A3963"/>
    <w:rsid w:val="007C0DD1"/>
    <w:rsid w:val="007E20FE"/>
    <w:rsid w:val="007E5656"/>
    <w:rsid w:val="007F01F6"/>
    <w:rsid w:val="007F0982"/>
    <w:rsid w:val="007F2CD7"/>
    <w:rsid w:val="007F5C00"/>
    <w:rsid w:val="0081164F"/>
    <w:rsid w:val="008145FA"/>
    <w:rsid w:val="00823A9C"/>
    <w:rsid w:val="00840092"/>
    <w:rsid w:val="00845475"/>
    <w:rsid w:val="00846597"/>
    <w:rsid w:val="0086608F"/>
    <w:rsid w:val="00876E7C"/>
    <w:rsid w:val="00881AC7"/>
    <w:rsid w:val="008964EF"/>
    <w:rsid w:val="008A5D5D"/>
    <w:rsid w:val="008C6FBB"/>
    <w:rsid w:val="008C7004"/>
    <w:rsid w:val="008D7816"/>
    <w:rsid w:val="008E241B"/>
    <w:rsid w:val="009041A0"/>
    <w:rsid w:val="00907C70"/>
    <w:rsid w:val="00912B29"/>
    <w:rsid w:val="00912CD5"/>
    <w:rsid w:val="009167B0"/>
    <w:rsid w:val="00920A70"/>
    <w:rsid w:val="009220B4"/>
    <w:rsid w:val="009344C1"/>
    <w:rsid w:val="00940A93"/>
    <w:rsid w:val="00974A10"/>
    <w:rsid w:val="009873E4"/>
    <w:rsid w:val="00995B56"/>
    <w:rsid w:val="0099684D"/>
    <w:rsid w:val="009B4011"/>
    <w:rsid w:val="009C43ED"/>
    <w:rsid w:val="009D116E"/>
    <w:rsid w:val="009D4FB7"/>
    <w:rsid w:val="009E34A9"/>
    <w:rsid w:val="009E4CD0"/>
    <w:rsid w:val="009F1B26"/>
    <w:rsid w:val="009F1F6B"/>
    <w:rsid w:val="00A23B4A"/>
    <w:rsid w:val="00A2774B"/>
    <w:rsid w:val="00A30515"/>
    <w:rsid w:val="00A369B0"/>
    <w:rsid w:val="00A50C92"/>
    <w:rsid w:val="00A610E8"/>
    <w:rsid w:val="00A61CE1"/>
    <w:rsid w:val="00A83602"/>
    <w:rsid w:val="00A846C3"/>
    <w:rsid w:val="00A85609"/>
    <w:rsid w:val="00A91296"/>
    <w:rsid w:val="00A97DD4"/>
    <w:rsid w:val="00AA6A9F"/>
    <w:rsid w:val="00AD1EE3"/>
    <w:rsid w:val="00AD76BB"/>
    <w:rsid w:val="00AE30D7"/>
    <w:rsid w:val="00AF0113"/>
    <w:rsid w:val="00B22CCC"/>
    <w:rsid w:val="00B36EAD"/>
    <w:rsid w:val="00B8021D"/>
    <w:rsid w:val="00B82D6D"/>
    <w:rsid w:val="00B94B77"/>
    <w:rsid w:val="00B957FB"/>
    <w:rsid w:val="00BA1107"/>
    <w:rsid w:val="00BF1F30"/>
    <w:rsid w:val="00C20231"/>
    <w:rsid w:val="00C22E51"/>
    <w:rsid w:val="00C3657F"/>
    <w:rsid w:val="00C40020"/>
    <w:rsid w:val="00C45FA2"/>
    <w:rsid w:val="00C47A43"/>
    <w:rsid w:val="00C5360C"/>
    <w:rsid w:val="00C56796"/>
    <w:rsid w:val="00C57B17"/>
    <w:rsid w:val="00C7184D"/>
    <w:rsid w:val="00C97B7B"/>
    <w:rsid w:val="00CA037B"/>
    <w:rsid w:val="00CC7D2B"/>
    <w:rsid w:val="00CE0409"/>
    <w:rsid w:val="00CE208F"/>
    <w:rsid w:val="00CE741C"/>
    <w:rsid w:val="00CF51BE"/>
    <w:rsid w:val="00D14F77"/>
    <w:rsid w:val="00D16D62"/>
    <w:rsid w:val="00D251AF"/>
    <w:rsid w:val="00D262BE"/>
    <w:rsid w:val="00D32013"/>
    <w:rsid w:val="00D41827"/>
    <w:rsid w:val="00D52256"/>
    <w:rsid w:val="00D81145"/>
    <w:rsid w:val="00D862D2"/>
    <w:rsid w:val="00D96498"/>
    <w:rsid w:val="00DA7A8B"/>
    <w:rsid w:val="00DC3312"/>
    <w:rsid w:val="00DE19B8"/>
    <w:rsid w:val="00DE3E13"/>
    <w:rsid w:val="00DF116C"/>
    <w:rsid w:val="00DF18BC"/>
    <w:rsid w:val="00E016C2"/>
    <w:rsid w:val="00E03200"/>
    <w:rsid w:val="00E03AAF"/>
    <w:rsid w:val="00E04CD9"/>
    <w:rsid w:val="00E2470E"/>
    <w:rsid w:val="00E30142"/>
    <w:rsid w:val="00E3244D"/>
    <w:rsid w:val="00E57273"/>
    <w:rsid w:val="00E60FC5"/>
    <w:rsid w:val="00E6451B"/>
    <w:rsid w:val="00E80BA5"/>
    <w:rsid w:val="00E82CCD"/>
    <w:rsid w:val="00E83CFC"/>
    <w:rsid w:val="00E8724C"/>
    <w:rsid w:val="00E9188F"/>
    <w:rsid w:val="00E91CE2"/>
    <w:rsid w:val="00EC46A3"/>
    <w:rsid w:val="00EC7353"/>
    <w:rsid w:val="00EE6196"/>
    <w:rsid w:val="00F07147"/>
    <w:rsid w:val="00F33416"/>
    <w:rsid w:val="00F34550"/>
    <w:rsid w:val="00F42A01"/>
    <w:rsid w:val="00F460B3"/>
    <w:rsid w:val="00F83299"/>
    <w:rsid w:val="00F97353"/>
    <w:rsid w:val="00FA1F44"/>
    <w:rsid w:val="00FC270A"/>
    <w:rsid w:val="00FC52B9"/>
    <w:rsid w:val="00FC67E7"/>
    <w:rsid w:val="00FC69C1"/>
    <w:rsid w:val="00FE33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AD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23C"/>
    <w:rPr>
      <w:rFonts w:ascii="Times New Roman" w:hAnsi="Times New Roman" w:cs="Times New Roman"/>
    </w:rPr>
  </w:style>
  <w:style w:type="paragraph" w:styleId="Heading1">
    <w:name w:val="heading 1"/>
    <w:basedOn w:val="Normal"/>
    <w:next w:val="Normal"/>
    <w:link w:val="Heading1Char"/>
    <w:uiPriority w:val="9"/>
    <w:qFormat/>
    <w:rsid w:val="007F09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9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098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F09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79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531795"/>
  </w:style>
  <w:style w:type="character" w:styleId="PageNumber">
    <w:name w:val="page number"/>
    <w:basedOn w:val="DefaultParagraphFont"/>
    <w:uiPriority w:val="99"/>
    <w:semiHidden/>
    <w:unhideWhenUsed/>
    <w:rsid w:val="00531795"/>
  </w:style>
  <w:style w:type="character" w:customStyle="1" w:styleId="apple-converted-space">
    <w:name w:val="apple-converted-space"/>
    <w:basedOn w:val="DefaultParagraphFont"/>
    <w:rsid w:val="00531795"/>
  </w:style>
  <w:style w:type="character" w:styleId="Hyperlink">
    <w:name w:val="Hyperlink"/>
    <w:basedOn w:val="DefaultParagraphFont"/>
    <w:uiPriority w:val="99"/>
    <w:unhideWhenUsed/>
    <w:rsid w:val="002F7E11"/>
    <w:rPr>
      <w:color w:val="0563C1" w:themeColor="hyperlink"/>
      <w:u w:val="single"/>
    </w:rPr>
  </w:style>
  <w:style w:type="character" w:customStyle="1" w:styleId="Heading1Char">
    <w:name w:val="Heading 1 Char"/>
    <w:basedOn w:val="DefaultParagraphFont"/>
    <w:link w:val="Heading1"/>
    <w:uiPriority w:val="9"/>
    <w:rsid w:val="007F09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0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098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F09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C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487">
      <w:bodyDiv w:val="1"/>
      <w:marLeft w:val="0"/>
      <w:marRight w:val="0"/>
      <w:marTop w:val="0"/>
      <w:marBottom w:val="0"/>
      <w:divBdr>
        <w:top w:val="none" w:sz="0" w:space="0" w:color="auto"/>
        <w:left w:val="none" w:sz="0" w:space="0" w:color="auto"/>
        <w:bottom w:val="none" w:sz="0" w:space="0" w:color="auto"/>
        <w:right w:val="none" w:sz="0" w:space="0" w:color="auto"/>
      </w:divBdr>
    </w:div>
    <w:div w:id="192773378">
      <w:bodyDiv w:val="1"/>
      <w:marLeft w:val="0"/>
      <w:marRight w:val="0"/>
      <w:marTop w:val="0"/>
      <w:marBottom w:val="0"/>
      <w:divBdr>
        <w:top w:val="none" w:sz="0" w:space="0" w:color="auto"/>
        <w:left w:val="none" w:sz="0" w:space="0" w:color="auto"/>
        <w:bottom w:val="none" w:sz="0" w:space="0" w:color="auto"/>
        <w:right w:val="none" w:sz="0" w:space="0" w:color="auto"/>
      </w:divBdr>
    </w:div>
    <w:div w:id="628703454">
      <w:bodyDiv w:val="1"/>
      <w:marLeft w:val="0"/>
      <w:marRight w:val="0"/>
      <w:marTop w:val="0"/>
      <w:marBottom w:val="0"/>
      <w:divBdr>
        <w:top w:val="none" w:sz="0" w:space="0" w:color="auto"/>
        <w:left w:val="none" w:sz="0" w:space="0" w:color="auto"/>
        <w:bottom w:val="none" w:sz="0" w:space="0" w:color="auto"/>
        <w:right w:val="none" w:sz="0" w:space="0" w:color="auto"/>
      </w:divBdr>
    </w:div>
    <w:div w:id="814957479">
      <w:bodyDiv w:val="1"/>
      <w:marLeft w:val="0"/>
      <w:marRight w:val="0"/>
      <w:marTop w:val="0"/>
      <w:marBottom w:val="0"/>
      <w:divBdr>
        <w:top w:val="none" w:sz="0" w:space="0" w:color="auto"/>
        <w:left w:val="none" w:sz="0" w:space="0" w:color="auto"/>
        <w:bottom w:val="none" w:sz="0" w:space="0" w:color="auto"/>
        <w:right w:val="none" w:sz="0" w:space="0" w:color="auto"/>
      </w:divBdr>
    </w:div>
    <w:div w:id="954365028">
      <w:bodyDiv w:val="1"/>
      <w:marLeft w:val="0"/>
      <w:marRight w:val="0"/>
      <w:marTop w:val="0"/>
      <w:marBottom w:val="0"/>
      <w:divBdr>
        <w:top w:val="none" w:sz="0" w:space="0" w:color="auto"/>
        <w:left w:val="none" w:sz="0" w:space="0" w:color="auto"/>
        <w:bottom w:val="none" w:sz="0" w:space="0" w:color="auto"/>
        <w:right w:val="none" w:sz="0" w:space="0" w:color="auto"/>
      </w:divBdr>
    </w:div>
    <w:div w:id="1465271852">
      <w:bodyDiv w:val="1"/>
      <w:marLeft w:val="0"/>
      <w:marRight w:val="0"/>
      <w:marTop w:val="0"/>
      <w:marBottom w:val="0"/>
      <w:divBdr>
        <w:top w:val="none" w:sz="0" w:space="0" w:color="auto"/>
        <w:left w:val="none" w:sz="0" w:space="0" w:color="auto"/>
        <w:bottom w:val="none" w:sz="0" w:space="0" w:color="auto"/>
        <w:right w:val="none" w:sz="0" w:space="0" w:color="auto"/>
      </w:divBdr>
    </w:div>
    <w:div w:id="1706176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14</Pages>
  <Words>2895</Words>
  <Characters>16503</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Introduction</vt:lpstr>
      <vt:lpstr>    Ellis Act History</vt:lpstr>
      <vt:lpstr>    Theory</vt:lpstr>
      <vt:lpstr>    Data</vt:lpstr>
      <vt:lpstr>    Methods &amp; Results</vt:lpstr>
      <vt:lpstr>    Discussion</vt:lpstr>
      <vt:lpstr>    Conclusion</vt:lpstr>
      <vt:lpstr>    </vt:lpstr>
      <vt:lpstr>    </vt:lpstr>
    </vt:vector>
  </TitlesOfParts>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231</cp:revision>
  <dcterms:created xsi:type="dcterms:W3CDTF">2016-03-18T03:54:00Z</dcterms:created>
  <dcterms:modified xsi:type="dcterms:W3CDTF">2016-03-19T00:00:00Z</dcterms:modified>
</cp:coreProperties>
</file>