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NORTHSTAR COMMUNITY FUND</w:t>
      </w:r>
    </w:p>
    <w:p>
      <w:pPr>
        <w:jc w:val="center"/>
      </w:pPr>
      <w:r>
        <w:rPr>
          <w:b/>
          <w:sz w:val="46"/>
        </w:rPr>
        <w:t>RESTRICTED GRANT AWARD AGREEMENT</w:t>
      </w:r>
    </w:p>
    <w:p>
      <w:pPr>
        <w:jc w:val="center"/>
      </w:pPr>
      <w:r>
        <w:rPr>
          <w:i/>
          <w:sz w:val="28"/>
        </w:rPr>
        <w:t>Family Stability &amp; Housing Navigation Program</w:t>
      </w:r>
    </w:p>
    <w:p>
      <w:pPr>
        <w:jc w:val="center"/>
      </w:pPr>
      <w:r>
        <w:rPr>
          <w:b/>
          <w:sz w:val="20"/>
        </w:rPr>
        <w:t>Synthetic data created solely for GrantDeskHQ testing</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vAlign w:val="center"/>
            <w:shd w:fill="E8F0EA"/>
          </w:tcPr>
          <w:p>
            <w:r/>
            <w:r>
              <w:rPr>
                <w:b/>
                <w:sz w:val="18"/>
              </w:rPr>
              <w:t>Award ID</w:t>
            </w:r>
          </w:p>
        </w:tc>
        <w:tc>
          <w:tcPr>
            <w:tcW w:type="dxa" w:w="5083"/>
            <w:vAlign w:val="center"/>
          </w:tcPr>
          <w:p>
            <w:r/>
            <w:r>
              <w:rPr>
                <w:b w:val="0"/>
                <w:sz w:val="18"/>
              </w:rPr>
              <w:t>NCF-27-118</w:t>
            </w:r>
          </w:p>
        </w:tc>
      </w:tr>
      <w:tr>
        <w:trPr>
          <w:cantSplit/>
        </w:trPr>
        <w:tc>
          <w:tcPr>
            <w:tcW w:type="dxa" w:w="5083"/>
            <w:vAlign w:val="center"/>
            <w:shd w:fill="E8F0EA"/>
          </w:tcPr>
          <w:p>
            <w:r/>
            <w:r>
              <w:rPr>
                <w:b/>
                <w:sz w:val="18"/>
              </w:rPr>
              <w:t>Funder</w:t>
            </w:r>
          </w:p>
        </w:tc>
        <w:tc>
          <w:tcPr>
            <w:tcW w:type="dxa" w:w="5083"/>
            <w:vAlign w:val="center"/>
          </w:tcPr>
          <w:p>
            <w:r/>
            <w:r>
              <w:rPr>
                <w:b w:val="0"/>
                <w:sz w:val="18"/>
              </w:rPr>
              <w:t>Northstar Community Fund</w:t>
            </w:r>
          </w:p>
        </w:tc>
      </w:tr>
      <w:tr>
        <w:trPr>
          <w:cantSplit/>
        </w:trPr>
        <w:tc>
          <w:tcPr>
            <w:tcW w:type="dxa" w:w="5083"/>
            <w:vAlign w:val="center"/>
            <w:shd w:fill="E8F0EA"/>
          </w:tcPr>
          <w:p>
            <w:r/>
            <w:r>
              <w:rPr>
                <w:b/>
                <w:sz w:val="18"/>
              </w:rPr>
              <w:t>Grantee</w:t>
            </w:r>
          </w:p>
        </w:tc>
        <w:tc>
          <w:tcPr>
            <w:tcW w:type="dxa" w:w="5083"/>
            <w:vAlign w:val="center"/>
          </w:tcPr>
          <w:p>
            <w:r/>
            <w:r>
              <w:rPr>
                <w:b w:val="0"/>
                <w:sz w:val="18"/>
              </w:rPr>
              <w:t>BridgeWorks Family Services</w:t>
            </w:r>
          </w:p>
        </w:tc>
      </w:tr>
      <w:tr>
        <w:trPr>
          <w:cantSplit/>
        </w:trPr>
        <w:tc>
          <w:tcPr>
            <w:tcW w:type="dxa" w:w="5083"/>
            <w:vAlign w:val="center"/>
            <w:shd w:fill="E8F0EA"/>
          </w:tcPr>
          <w:p>
            <w:r/>
            <w:r>
              <w:rPr>
                <w:b/>
                <w:sz w:val="18"/>
              </w:rPr>
              <w:t>Award Amount</w:t>
            </w:r>
          </w:p>
        </w:tc>
        <w:tc>
          <w:tcPr>
            <w:tcW w:type="dxa" w:w="5083"/>
            <w:vAlign w:val="center"/>
          </w:tcPr>
          <w:p>
            <w:r/>
            <w:r>
              <w:rPr>
                <w:b w:val="0"/>
                <w:sz w:val="18"/>
              </w:rPr>
              <w:t>$325,000 USD</w:t>
            </w:r>
          </w:p>
        </w:tc>
      </w:tr>
      <w:tr>
        <w:trPr>
          <w:cantSplit/>
        </w:trPr>
        <w:tc>
          <w:tcPr>
            <w:tcW w:type="dxa" w:w="5083"/>
            <w:vAlign w:val="center"/>
            <w:shd w:fill="E8F0EA"/>
          </w:tcPr>
          <w:p>
            <w:r/>
            <w:r>
              <w:rPr>
                <w:b/>
                <w:sz w:val="18"/>
              </w:rPr>
              <w:t>Grant Type</w:t>
            </w:r>
          </w:p>
        </w:tc>
        <w:tc>
          <w:tcPr>
            <w:tcW w:type="dxa" w:w="5083"/>
            <w:vAlign w:val="center"/>
          </w:tcPr>
          <w:p>
            <w:r/>
            <w:r>
              <w:rPr>
                <w:b w:val="0"/>
                <w:sz w:val="18"/>
              </w:rPr>
              <w:t>Restricted program grant</w:t>
            </w:r>
          </w:p>
        </w:tc>
      </w:tr>
      <w:tr>
        <w:trPr>
          <w:cantSplit/>
        </w:trPr>
        <w:tc>
          <w:tcPr>
            <w:tcW w:type="dxa" w:w="5083"/>
            <w:vAlign w:val="center"/>
            <w:shd w:fill="E8F0EA"/>
          </w:tcPr>
          <w:p>
            <w:r/>
            <w:r>
              <w:rPr>
                <w:b/>
                <w:sz w:val="18"/>
              </w:rPr>
              <w:t>Effective Date</w:t>
            </w:r>
          </w:p>
        </w:tc>
        <w:tc>
          <w:tcPr>
            <w:tcW w:type="dxa" w:w="5083"/>
            <w:vAlign w:val="center"/>
          </w:tcPr>
          <w:p>
            <w:r/>
            <w:r>
              <w:rPr>
                <w:b w:val="0"/>
                <w:sz w:val="18"/>
              </w:rPr>
              <w:t>January 15, 2027</w:t>
            </w:r>
          </w:p>
        </w:tc>
      </w:tr>
      <w:tr>
        <w:trPr>
          <w:cantSplit/>
        </w:trPr>
        <w:tc>
          <w:tcPr>
            <w:tcW w:type="dxa" w:w="5083"/>
            <w:vAlign w:val="center"/>
            <w:shd w:fill="E8F0EA"/>
          </w:tcPr>
          <w:p>
            <w:r/>
            <w:r>
              <w:rPr>
                <w:b/>
                <w:sz w:val="18"/>
              </w:rPr>
              <w:t>Grant Period</w:t>
            </w:r>
          </w:p>
        </w:tc>
        <w:tc>
          <w:tcPr>
            <w:tcW w:type="dxa" w:w="5083"/>
            <w:vAlign w:val="center"/>
          </w:tcPr>
          <w:p>
            <w:r/>
            <w:r>
              <w:rPr>
                <w:b w:val="0"/>
                <w:sz w:val="18"/>
              </w:rPr>
              <w:t>February 1, 2027 – July 31, 2028</w:t>
            </w:r>
          </w:p>
        </w:tc>
      </w:tr>
      <w:tr>
        <w:trPr>
          <w:cantSplit/>
        </w:trPr>
        <w:tc>
          <w:tcPr>
            <w:tcW w:type="dxa" w:w="5083"/>
            <w:vAlign w:val="center"/>
            <w:shd w:fill="E8F0EA"/>
          </w:tcPr>
          <w:p>
            <w:r/>
            <w:r>
              <w:rPr>
                <w:b/>
                <w:sz w:val="18"/>
              </w:rPr>
              <w:t>Project</w:t>
            </w:r>
          </w:p>
        </w:tc>
        <w:tc>
          <w:tcPr>
            <w:tcW w:type="dxa" w:w="5083"/>
            <w:vAlign w:val="center"/>
          </w:tcPr>
          <w:p>
            <w:r/>
            <w:r>
              <w:rPr>
                <w:b w:val="0"/>
                <w:sz w:val="18"/>
              </w:rPr>
              <w:t>Family Stability &amp; Housing Navigation Program</w:t>
            </w:r>
          </w:p>
        </w:tc>
      </w:tr>
      <w:tr>
        <w:trPr>
          <w:cantSplit/>
        </w:trPr>
        <w:tc>
          <w:tcPr>
            <w:tcW w:type="dxa" w:w="5083"/>
            <w:vAlign w:val="center"/>
            <w:shd w:fill="E8F0EA"/>
          </w:tcPr>
          <w:p>
            <w:r/>
            <w:r>
              <w:rPr>
                <w:b/>
                <w:sz w:val="18"/>
              </w:rPr>
              <w:t>Service Area</w:t>
            </w:r>
          </w:p>
        </w:tc>
        <w:tc>
          <w:tcPr>
            <w:tcW w:type="dxa" w:w="5083"/>
            <w:vAlign w:val="center"/>
          </w:tcPr>
          <w:p>
            <w:r/>
            <w:r>
              <w:rPr>
                <w:b w:val="0"/>
                <w:sz w:val="18"/>
              </w:rPr>
              <w:t>Lakeview County and East Harbor District</w:t>
            </w:r>
          </w:p>
        </w:tc>
      </w:tr>
    </w:tbl>
    <w:p/>
    <w:p>
      <w:r>
        <w:t>This Restricted Grant Award Agreement (the “Agreement”) is between Northstar Community Fund (the “Fund”) and BridgeWorks Family Services (the “Grantee”). The award is restricted to the Family Stability &amp; Housing Navigation Program and may be used only in accordance with this Agreement.</w:t>
      </w:r>
    </w:p>
    <w:p>
      <w:pPr>
        <w:pStyle w:val="Heading1"/>
        <w:keepNext/>
        <w:keepLines/>
      </w:pPr>
      <w:r>
        <w:t>1. Purpose and Expected Outcomes</w:t>
      </w:r>
    </w:p>
    <w:p>
      <w:r>
        <w:t>The purpose of this award is to help households experiencing housing instability obtain coordinated housing navigation, benefits screening, emergency stabilization support, and referrals to legal and employment services.</w:t>
      </w:r>
    </w:p>
    <w:p>
      <w:pPr>
        <w:pStyle w:val="ListBullet"/>
      </w:pPr>
      <w:r>
        <w:t>Serve at least 300 unduplicated households during the 18-month grant period.</w:t>
      </w:r>
    </w:p>
    <w:p>
      <w:pPr>
        <w:pStyle w:val="ListBullet"/>
      </w:pPr>
      <w:r>
        <w:t>Complete a documented housing stability assessment for at least 270 households (90% of households served).</w:t>
      </w:r>
    </w:p>
    <w:p>
      <w:pPr>
        <w:pStyle w:val="ListBullet"/>
      </w:pPr>
      <w:r>
        <w:t>Secure stable housing placements for at least 180 households (60% of households served).</w:t>
      </w:r>
    </w:p>
    <w:p>
      <w:pPr>
        <w:pStyle w:val="ListBullet"/>
      </w:pPr>
      <w:r>
        <w:t>Maintain stable housing for at least 80% of placed households for 120 days after placement.</w:t>
      </w:r>
    </w:p>
    <w:p>
      <w:pPr>
        <w:pStyle w:val="ListBullet"/>
      </w:pPr>
      <w:r>
        <w:t>Complete public-benefits screening for at least 240 households.</w:t>
      </w:r>
    </w:p>
    <w:p>
      <w:pPr>
        <w:pStyle w:val="ListBullet"/>
      </w:pPr>
      <w:r>
        <w:t>Achieve an average client satisfaction rating of at least 4.3 out of 5.0.</w:t>
      </w:r>
    </w:p>
    <w:p>
      <w:pPr>
        <w:pStyle w:val="Heading1"/>
        <w:keepNext/>
        <w:keepLines/>
      </w:pPr>
      <w:r>
        <w:t>2. Award and Payment Conditions</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vAlign w:val="center"/>
            <w:shd w:fill="E8F0EA"/>
          </w:tcPr>
          <w:p>
            <w:r/>
            <w:r>
              <w:rPr>
                <w:b/>
                <w:sz w:val="18"/>
              </w:rPr>
              <w:t>Total Award</w:t>
            </w:r>
          </w:p>
        </w:tc>
        <w:tc>
          <w:tcPr>
            <w:tcW w:type="dxa" w:w="5083"/>
            <w:vAlign w:val="center"/>
          </w:tcPr>
          <w:p>
            <w:r/>
            <w:r>
              <w:rPr>
                <w:b w:val="0"/>
                <w:sz w:val="18"/>
              </w:rPr>
              <w:t>$325,000</w:t>
            </w:r>
          </w:p>
        </w:tc>
      </w:tr>
      <w:tr>
        <w:trPr>
          <w:cantSplit/>
        </w:trPr>
        <w:tc>
          <w:tcPr>
            <w:tcW w:type="dxa" w:w="5083"/>
            <w:vAlign w:val="center"/>
            <w:shd w:fill="E8F0EA"/>
          </w:tcPr>
          <w:p>
            <w:r/>
            <w:r>
              <w:rPr>
                <w:b/>
                <w:sz w:val="18"/>
              </w:rPr>
              <w:t>Installment 1</w:t>
            </w:r>
          </w:p>
        </w:tc>
        <w:tc>
          <w:tcPr>
            <w:tcW w:type="dxa" w:w="5083"/>
            <w:vAlign w:val="center"/>
          </w:tcPr>
          <w:p>
            <w:r/>
            <w:r>
              <w:rPr>
                <w:b w:val="0"/>
                <w:sz w:val="18"/>
              </w:rPr>
              <w:t>$162,500 following execution of this Agreement</w:t>
            </w:r>
          </w:p>
        </w:tc>
      </w:tr>
      <w:tr>
        <w:trPr>
          <w:cantSplit/>
        </w:trPr>
        <w:tc>
          <w:tcPr>
            <w:tcW w:type="dxa" w:w="5083"/>
            <w:vAlign w:val="center"/>
            <w:shd w:fill="E8F0EA"/>
          </w:tcPr>
          <w:p>
            <w:r/>
            <w:r>
              <w:rPr>
                <w:b/>
                <w:sz w:val="18"/>
              </w:rPr>
              <w:t>Installment 2</w:t>
            </w:r>
          </w:p>
        </w:tc>
        <w:tc>
          <w:tcPr>
            <w:tcW w:type="dxa" w:w="5083"/>
            <w:vAlign w:val="center"/>
          </w:tcPr>
          <w:p>
            <w:r/>
            <w:r>
              <w:rPr>
                <w:b w:val="0"/>
                <w:sz w:val="18"/>
              </w:rPr>
              <w:t>$81,250 following acceptance of the Interim Report due August 31, 2027</w:t>
            </w:r>
          </w:p>
        </w:tc>
      </w:tr>
      <w:tr>
        <w:trPr>
          <w:cantSplit/>
        </w:trPr>
        <w:tc>
          <w:tcPr>
            <w:tcW w:type="dxa" w:w="5083"/>
            <w:vAlign w:val="center"/>
            <w:shd w:fill="E8F0EA"/>
          </w:tcPr>
          <w:p>
            <w:r/>
            <w:r>
              <w:rPr>
                <w:b/>
                <w:sz w:val="18"/>
              </w:rPr>
              <w:t>Installment 3</w:t>
            </w:r>
          </w:p>
        </w:tc>
        <w:tc>
          <w:tcPr>
            <w:tcW w:type="dxa" w:w="5083"/>
            <w:vAlign w:val="center"/>
          </w:tcPr>
          <w:p>
            <w:r/>
            <w:r>
              <w:rPr>
                <w:b w:val="0"/>
                <w:sz w:val="18"/>
              </w:rPr>
              <w:t>$81,250 following acceptance of the Second Interim Report due February 29, 2028 and confirmation that at least 45% of the total award has been expended or contractually committed</w:t>
            </w:r>
          </w:p>
        </w:tc>
      </w:tr>
      <w:tr>
        <w:trPr>
          <w:cantSplit/>
        </w:trPr>
        <w:tc>
          <w:tcPr>
            <w:tcW w:type="dxa" w:w="5083"/>
            <w:vAlign w:val="center"/>
            <w:shd w:fill="E8F0EA"/>
          </w:tcPr>
          <w:p>
            <w:r/>
            <w:r>
              <w:rPr>
                <w:b/>
                <w:sz w:val="18"/>
              </w:rPr>
              <w:t>Unspent Funds</w:t>
            </w:r>
          </w:p>
        </w:tc>
        <w:tc>
          <w:tcPr>
            <w:tcW w:type="dxa" w:w="5083"/>
            <w:vAlign w:val="center"/>
          </w:tcPr>
          <w:p>
            <w:r/>
            <w:r>
              <w:rPr>
                <w:b w:val="0"/>
                <w:sz w:val="18"/>
              </w:rPr>
              <w:t>Any unspent balance remaining 60 calendar days after the grant end date must be returned unless a written extension is approved.</w:t>
            </w:r>
          </w:p>
        </w:tc>
      </w:tr>
    </w:tbl>
    <w:p/>
    <w:p>
      <w:pPr>
        <w:pStyle w:val="Heading1"/>
        <w:keepNext/>
        <w:keepLines/>
      </w:pPr>
      <w:r>
        <w:t>3. Approved Grant Budget</w:t>
      </w:r>
    </w:p>
    <w:tbl>
      <w:tblPr>
        <w:tblStyle w:val="TableGrid"/>
        <w:tblW w:type="auto" w:w="0"/>
        <w:jc w:val="center"/>
        <w:tblLook w:firstColumn="1" w:firstRow="1" w:lastColumn="0" w:lastRow="0" w:noHBand="0" w:noVBand="1" w:val="04A0"/>
      </w:tblPr>
      <w:tblGrid>
        <w:gridCol w:w="2541"/>
        <w:gridCol w:w="2541"/>
        <w:gridCol w:w="2541"/>
        <w:gridCol w:w="2541"/>
      </w:tblGrid>
      <w:tr>
        <w:trPr>
          <w:cantSplit/>
        </w:trPr>
        <w:tc>
          <w:tcPr>
            <w:tcW w:type="dxa" w:w="2541"/>
            <w:vAlign w:val="center"/>
            <w:shd w:fill="D9E9DD"/>
          </w:tcPr>
          <w:p>
            <w:r/>
            <w:r>
              <w:rPr>
                <w:b/>
                <w:sz w:val="18"/>
              </w:rPr>
              <w:t>Category</w:t>
            </w:r>
          </w:p>
        </w:tc>
        <w:tc>
          <w:tcPr>
            <w:tcW w:type="dxa" w:w="2541"/>
            <w:vAlign w:val="center"/>
            <w:shd w:fill="D9E9DD"/>
          </w:tcPr>
          <w:p>
            <w:r/>
            <w:r>
              <w:rPr>
                <w:b/>
                <w:sz w:val="18"/>
              </w:rPr>
              <w:t>Approved Amount</w:t>
            </w:r>
          </w:p>
        </w:tc>
        <w:tc>
          <w:tcPr>
            <w:tcW w:type="dxa" w:w="2541"/>
            <w:vAlign w:val="center"/>
            <w:shd w:fill="D9E9DD"/>
          </w:tcPr>
          <w:p>
            <w:r/>
            <w:r>
              <w:rPr>
                <w:b/>
                <w:sz w:val="18"/>
              </w:rPr>
              <w:t>% of Award</w:t>
            </w:r>
          </w:p>
        </w:tc>
        <w:tc>
          <w:tcPr>
            <w:tcW w:type="dxa" w:w="2541"/>
            <w:vAlign w:val="center"/>
            <w:shd w:fill="D9E9DD"/>
          </w:tcPr>
          <w:p>
            <w:r/>
            <w:r>
              <w:rPr>
                <w:b/>
                <w:sz w:val="18"/>
              </w:rPr>
              <w:t>Notes</w:t>
            </w:r>
          </w:p>
        </w:tc>
      </w:tr>
      <w:tr>
        <w:trPr>
          <w:cantSplit/>
        </w:trPr>
        <w:tc>
          <w:tcPr>
            <w:tcW w:type="dxa" w:w="2541"/>
            <w:vAlign w:val="center"/>
          </w:tcPr>
          <w:p>
            <w:r/>
            <w:r>
              <w:rPr>
                <w:b w:val="0"/>
                <w:sz w:val="18"/>
              </w:rPr>
              <w:t>Personnel</w:t>
            </w:r>
          </w:p>
        </w:tc>
        <w:tc>
          <w:tcPr>
            <w:tcW w:type="dxa" w:w="2541"/>
            <w:vAlign w:val="center"/>
          </w:tcPr>
          <w:p>
            <w:r/>
            <w:r>
              <w:rPr>
                <w:b w:val="0"/>
                <w:sz w:val="18"/>
              </w:rPr>
              <w:t>$152,000</w:t>
            </w:r>
          </w:p>
        </w:tc>
        <w:tc>
          <w:tcPr>
            <w:tcW w:type="dxa" w:w="2541"/>
            <w:vAlign w:val="center"/>
          </w:tcPr>
          <w:p>
            <w:r/>
            <w:r>
              <w:rPr>
                <w:b w:val="0"/>
                <w:sz w:val="18"/>
              </w:rPr>
              <w:t>46.8%</w:t>
            </w:r>
          </w:p>
        </w:tc>
        <w:tc>
          <w:tcPr>
            <w:tcW w:type="dxa" w:w="2541"/>
            <w:vAlign w:val="center"/>
          </w:tcPr>
          <w:p>
            <w:r/>
            <w:r>
              <w:rPr>
                <w:b w:val="0"/>
                <w:sz w:val="18"/>
              </w:rPr>
              <w:t>Housing navigators, program manager, data support</w:t>
            </w:r>
          </w:p>
        </w:tc>
      </w:tr>
      <w:tr>
        <w:trPr>
          <w:cantSplit/>
        </w:trPr>
        <w:tc>
          <w:tcPr>
            <w:tcW w:type="dxa" w:w="2541"/>
            <w:vAlign w:val="center"/>
          </w:tcPr>
          <w:p>
            <w:r/>
            <w:r>
              <w:rPr>
                <w:b w:val="0"/>
                <w:sz w:val="18"/>
              </w:rPr>
              <w:t>Fringe Benefits</w:t>
            </w:r>
          </w:p>
        </w:tc>
        <w:tc>
          <w:tcPr>
            <w:tcW w:type="dxa" w:w="2541"/>
            <w:vAlign w:val="center"/>
          </w:tcPr>
          <w:p>
            <w:r/>
            <w:r>
              <w:rPr>
                <w:b w:val="0"/>
                <w:sz w:val="18"/>
              </w:rPr>
              <w:t>$38,000</w:t>
            </w:r>
          </w:p>
        </w:tc>
        <w:tc>
          <w:tcPr>
            <w:tcW w:type="dxa" w:w="2541"/>
            <w:vAlign w:val="center"/>
          </w:tcPr>
          <w:p>
            <w:r/>
            <w:r>
              <w:rPr>
                <w:b w:val="0"/>
                <w:sz w:val="18"/>
              </w:rPr>
              <w:t>11.7%</w:t>
            </w:r>
          </w:p>
        </w:tc>
        <w:tc>
          <w:tcPr>
            <w:tcW w:type="dxa" w:w="2541"/>
            <w:vAlign w:val="center"/>
          </w:tcPr>
          <w:p>
            <w:r/>
            <w:r>
              <w:rPr>
                <w:b w:val="0"/>
                <w:sz w:val="18"/>
              </w:rPr>
              <w:t>Benefits attributable to grant-funded staff</w:t>
            </w:r>
          </w:p>
        </w:tc>
      </w:tr>
      <w:tr>
        <w:trPr>
          <w:cantSplit/>
        </w:trPr>
        <w:tc>
          <w:tcPr>
            <w:tcW w:type="dxa" w:w="2541"/>
            <w:vAlign w:val="center"/>
          </w:tcPr>
          <w:p>
            <w:r/>
            <w:r>
              <w:rPr>
                <w:b w:val="0"/>
                <w:sz w:val="18"/>
              </w:rPr>
              <w:t>Emergency Client Assistance</w:t>
            </w:r>
          </w:p>
        </w:tc>
        <w:tc>
          <w:tcPr>
            <w:tcW w:type="dxa" w:w="2541"/>
            <w:vAlign w:val="center"/>
          </w:tcPr>
          <w:p>
            <w:r/>
            <w:r>
              <w:rPr>
                <w:b w:val="0"/>
                <w:sz w:val="18"/>
              </w:rPr>
              <w:t>$52,000</w:t>
            </w:r>
          </w:p>
        </w:tc>
        <w:tc>
          <w:tcPr>
            <w:tcW w:type="dxa" w:w="2541"/>
            <w:vAlign w:val="center"/>
          </w:tcPr>
          <w:p>
            <w:r/>
            <w:r>
              <w:rPr>
                <w:b w:val="0"/>
                <w:sz w:val="18"/>
              </w:rPr>
              <w:t>16.0%</w:t>
            </w:r>
          </w:p>
        </w:tc>
        <w:tc>
          <w:tcPr>
            <w:tcW w:type="dxa" w:w="2541"/>
            <w:vAlign w:val="center"/>
          </w:tcPr>
          <w:p>
            <w:r/>
            <w:r>
              <w:rPr>
                <w:b w:val="0"/>
                <w:sz w:val="18"/>
              </w:rPr>
              <w:t>Short-term stabilization assistance; individual assistance above $1,500 requires written program-director approval</w:t>
            </w:r>
          </w:p>
        </w:tc>
      </w:tr>
      <w:tr>
        <w:trPr>
          <w:cantSplit/>
        </w:trPr>
        <w:tc>
          <w:tcPr>
            <w:tcW w:type="dxa" w:w="2541"/>
            <w:vAlign w:val="center"/>
          </w:tcPr>
          <w:p>
            <w:r/>
            <w:r>
              <w:rPr>
                <w:b w:val="0"/>
                <w:sz w:val="18"/>
              </w:rPr>
              <w:t>Legal &amp; Benefits Navigation</w:t>
            </w:r>
          </w:p>
        </w:tc>
        <w:tc>
          <w:tcPr>
            <w:tcW w:type="dxa" w:w="2541"/>
            <w:vAlign w:val="center"/>
          </w:tcPr>
          <w:p>
            <w:r/>
            <w:r>
              <w:rPr>
                <w:b w:val="0"/>
                <w:sz w:val="18"/>
              </w:rPr>
              <w:t>$22,000</w:t>
            </w:r>
          </w:p>
        </w:tc>
        <w:tc>
          <w:tcPr>
            <w:tcW w:type="dxa" w:w="2541"/>
            <w:vAlign w:val="center"/>
          </w:tcPr>
          <w:p>
            <w:r/>
            <w:r>
              <w:rPr>
                <w:b w:val="0"/>
                <w:sz w:val="18"/>
              </w:rPr>
              <w:t>6.8%</w:t>
            </w:r>
          </w:p>
        </w:tc>
        <w:tc>
          <w:tcPr>
            <w:tcW w:type="dxa" w:w="2541"/>
            <w:vAlign w:val="center"/>
          </w:tcPr>
          <w:p>
            <w:r/>
            <w:r>
              <w:rPr>
                <w:b w:val="0"/>
                <w:sz w:val="18"/>
              </w:rPr>
              <w:t>External legal clinic and benefits-navigation services</w:t>
            </w:r>
          </w:p>
        </w:tc>
      </w:tr>
      <w:tr>
        <w:trPr>
          <w:cantSplit/>
        </w:trPr>
        <w:tc>
          <w:tcPr>
            <w:tcW w:type="dxa" w:w="2541"/>
            <w:vAlign w:val="center"/>
          </w:tcPr>
          <w:p>
            <w:r/>
            <w:r>
              <w:rPr>
                <w:b w:val="0"/>
                <w:sz w:val="18"/>
              </w:rPr>
              <w:t>Technology &amp; Data Systems</w:t>
            </w:r>
          </w:p>
        </w:tc>
        <w:tc>
          <w:tcPr>
            <w:tcW w:type="dxa" w:w="2541"/>
            <w:vAlign w:val="center"/>
          </w:tcPr>
          <w:p>
            <w:r/>
            <w:r>
              <w:rPr>
                <w:b w:val="0"/>
                <w:sz w:val="18"/>
              </w:rPr>
              <w:t>$18,000</w:t>
            </w:r>
          </w:p>
        </w:tc>
        <w:tc>
          <w:tcPr>
            <w:tcW w:type="dxa" w:w="2541"/>
            <w:vAlign w:val="center"/>
          </w:tcPr>
          <w:p>
            <w:r/>
            <w:r>
              <w:rPr>
                <w:b w:val="0"/>
                <w:sz w:val="18"/>
              </w:rPr>
              <w:t>5.5%</w:t>
            </w:r>
          </w:p>
        </w:tc>
        <w:tc>
          <w:tcPr>
            <w:tcW w:type="dxa" w:w="2541"/>
            <w:vAlign w:val="center"/>
          </w:tcPr>
          <w:p>
            <w:r/>
            <w:r>
              <w:rPr>
                <w:b w:val="0"/>
                <w:sz w:val="18"/>
              </w:rPr>
              <w:t>Case-management and reporting tools</w:t>
            </w:r>
          </w:p>
        </w:tc>
      </w:tr>
      <w:tr>
        <w:trPr>
          <w:cantSplit/>
        </w:trPr>
        <w:tc>
          <w:tcPr>
            <w:tcW w:type="dxa" w:w="2541"/>
            <w:vAlign w:val="center"/>
          </w:tcPr>
          <w:p>
            <w:r/>
            <w:r>
              <w:rPr>
                <w:b w:val="0"/>
                <w:sz w:val="18"/>
              </w:rPr>
              <w:t>Local Travel</w:t>
            </w:r>
          </w:p>
        </w:tc>
        <w:tc>
          <w:tcPr>
            <w:tcW w:type="dxa" w:w="2541"/>
            <w:vAlign w:val="center"/>
          </w:tcPr>
          <w:p>
            <w:r/>
            <w:r>
              <w:rPr>
                <w:b w:val="0"/>
                <w:sz w:val="18"/>
              </w:rPr>
              <w:t>$8,500</w:t>
            </w:r>
          </w:p>
        </w:tc>
        <w:tc>
          <w:tcPr>
            <w:tcW w:type="dxa" w:w="2541"/>
            <w:vAlign w:val="center"/>
          </w:tcPr>
          <w:p>
            <w:r/>
            <w:r>
              <w:rPr>
                <w:b w:val="0"/>
                <w:sz w:val="18"/>
              </w:rPr>
              <w:t>2.6%</w:t>
            </w:r>
          </w:p>
        </w:tc>
        <w:tc>
          <w:tcPr>
            <w:tcW w:type="dxa" w:w="2541"/>
            <w:vAlign w:val="center"/>
          </w:tcPr>
          <w:p>
            <w:r/>
            <w:r>
              <w:rPr>
                <w:b w:val="0"/>
                <w:sz w:val="18"/>
              </w:rPr>
              <w:t>Local mileage, public transportation, and outreach travel</w:t>
            </w:r>
          </w:p>
        </w:tc>
      </w:tr>
      <w:tr>
        <w:trPr>
          <w:cantSplit/>
        </w:trPr>
        <w:tc>
          <w:tcPr>
            <w:tcW w:type="dxa" w:w="2541"/>
            <w:vAlign w:val="center"/>
          </w:tcPr>
          <w:p>
            <w:r/>
            <w:r>
              <w:rPr>
                <w:b w:val="0"/>
                <w:sz w:val="18"/>
              </w:rPr>
              <w:t>Evaluation</w:t>
            </w:r>
          </w:p>
        </w:tc>
        <w:tc>
          <w:tcPr>
            <w:tcW w:type="dxa" w:w="2541"/>
            <w:vAlign w:val="center"/>
          </w:tcPr>
          <w:p>
            <w:r/>
            <w:r>
              <w:rPr>
                <w:b w:val="0"/>
                <w:sz w:val="18"/>
              </w:rPr>
              <w:t>$14,500</w:t>
            </w:r>
          </w:p>
        </w:tc>
        <w:tc>
          <w:tcPr>
            <w:tcW w:type="dxa" w:w="2541"/>
            <w:vAlign w:val="center"/>
          </w:tcPr>
          <w:p>
            <w:r/>
            <w:r>
              <w:rPr>
                <w:b w:val="0"/>
                <w:sz w:val="18"/>
              </w:rPr>
              <w:t>4.5%</w:t>
            </w:r>
          </w:p>
        </w:tc>
        <w:tc>
          <w:tcPr>
            <w:tcW w:type="dxa" w:w="2541"/>
            <w:vAlign w:val="center"/>
          </w:tcPr>
          <w:p>
            <w:r/>
            <w:r>
              <w:rPr>
                <w:b w:val="0"/>
                <w:sz w:val="18"/>
              </w:rPr>
              <w:t>Outcome evaluation and data-quality review</w:t>
            </w:r>
          </w:p>
        </w:tc>
      </w:tr>
      <w:tr>
        <w:trPr>
          <w:cantSplit/>
        </w:trPr>
        <w:tc>
          <w:tcPr>
            <w:tcW w:type="dxa" w:w="2541"/>
            <w:vAlign w:val="center"/>
          </w:tcPr>
          <w:p>
            <w:r/>
            <w:r>
              <w:rPr>
                <w:b w:val="0"/>
                <w:sz w:val="18"/>
              </w:rPr>
              <w:t>Indirect Costs</w:t>
            </w:r>
          </w:p>
        </w:tc>
        <w:tc>
          <w:tcPr>
            <w:tcW w:type="dxa" w:w="2541"/>
            <w:vAlign w:val="center"/>
          </w:tcPr>
          <w:p>
            <w:r/>
            <w:r>
              <w:rPr>
                <w:b w:val="0"/>
                <w:sz w:val="18"/>
              </w:rPr>
              <w:t>$20,000</w:t>
            </w:r>
          </w:p>
        </w:tc>
        <w:tc>
          <w:tcPr>
            <w:tcW w:type="dxa" w:w="2541"/>
            <w:vAlign w:val="center"/>
          </w:tcPr>
          <w:p>
            <w:r/>
            <w:r>
              <w:rPr>
                <w:b w:val="0"/>
                <w:sz w:val="18"/>
              </w:rPr>
              <w:t>6.2%</w:t>
            </w:r>
          </w:p>
        </w:tc>
        <w:tc>
          <w:tcPr>
            <w:tcW w:type="dxa" w:w="2541"/>
            <w:vAlign w:val="center"/>
          </w:tcPr>
          <w:p>
            <w:r/>
            <w:r>
              <w:rPr>
                <w:b w:val="0"/>
                <w:sz w:val="18"/>
              </w:rPr>
              <w:t>Subject to the indirect-cost limitation in Section 5</w:t>
            </w:r>
          </w:p>
        </w:tc>
      </w:tr>
      <w:tr>
        <w:trPr>
          <w:cantSplit/>
        </w:trPr>
        <w:tc>
          <w:tcPr>
            <w:tcW w:type="dxa" w:w="2541"/>
            <w:vAlign w:val="center"/>
            <w:shd w:fill="EDF4EF"/>
          </w:tcPr>
          <w:p>
            <w:r/>
            <w:r>
              <w:rPr>
                <w:b/>
                <w:sz w:val="18"/>
              </w:rPr>
              <w:t>TOTAL</w:t>
            </w:r>
          </w:p>
        </w:tc>
        <w:tc>
          <w:tcPr>
            <w:tcW w:type="dxa" w:w="2541"/>
            <w:vAlign w:val="center"/>
            <w:shd w:fill="EDF4EF"/>
          </w:tcPr>
          <w:p>
            <w:r/>
            <w:r>
              <w:rPr>
                <w:b/>
                <w:sz w:val="18"/>
              </w:rPr>
              <w:t>$325,000</w:t>
            </w:r>
          </w:p>
        </w:tc>
        <w:tc>
          <w:tcPr>
            <w:tcW w:type="dxa" w:w="2541"/>
            <w:vAlign w:val="center"/>
            <w:shd w:fill="EDF4EF"/>
          </w:tcPr>
          <w:p>
            <w:r/>
            <w:r>
              <w:rPr>
                <w:b/>
                <w:sz w:val="18"/>
              </w:rPr>
              <w:t>100.0%</w:t>
            </w:r>
          </w:p>
        </w:tc>
        <w:tc>
          <w:tcPr>
            <w:tcW w:type="dxa" w:w="2541"/>
            <w:vAlign w:val="center"/>
            <w:shd w:fill="EDF4EF"/>
          </w:tcPr>
          <w:p>
            <w:r/>
            <w:r>
              <w:rPr>
                <w:b/>
                <w:sz w:val="18"/>
              </w:rPr>
            </w:r>
          </w:p>
        </w:tc>
      </w:tr>
    </w:tbl>
    <w:p/>
    <w:p>
      <w:pPr>
        <w:pStyle w:val="Heading1"/>
        <w:keepNext/>
        <w:keepLines/>
      </w:pPr>
      <w:r>
        <w:t>4. Allowable and Prohibited Costs</w:t>
      </w:r>
    </w:p>
    <w:p>
      <w:r>
        <w:t>Allowable costs include:</w:t>
      </w:r>
    </w:p>
    <w:p>
      <w:pPr>
        <w:pStyle w:val="ListBullet"/>
      </w:pPr>
      <w:r>
        <w:t>Grant-funded salaries and fringe benefits.</w:t>
      </w:r>
    </w:p>
    <w:p>
      <w:pPr>
        <w:pStyle w:val="ListBullet"/>
      </w:pPr>
      <w:r>
        <w:t>Emergency housing stabilization assistance that is documented and directly related to participant housing stability.</w:t>
      </w:r>
    </w:p>
    <w:p>
      <w:pPr>
        <w:pStyle w:val="ListBullet"/>
      </w:pPr>
      <w:r>
        <w:t>Contracted legal, benefits-navigation, data, and evaluation services included in the approved budget.</w:t>
      </w:r>
    </w:p>
    <w:p>
      <w:pPr>
        <w:pStyle w:val="ListBullet"/>
      </w:pPr>
      <w:r>
        <w:t>Reasonable local travel directly related to program delivery or participant outreach.</w:t>
      </w:r>
    </w:p>
    <w:p>
      <w:r>
        <w:t>Grant funds may not be used for:</w:t>
      </w:r>
    </w:p>
    <w:p>
      <w:pPr>
        <w:pStyle w:val="ListBullet"/>
      </w:pPr>
      <w:r>
        <w:t>Political campaign activity or lobbying.</w:t>
      </w:r>
    </w:p>
    <w:p>
      <w:pPr>
        <w:pStyle w:val="ListBullet"/>
      </w:pPr>
      <w:r>
        <w:t>Alcohol, entertainment, fines, penalties, or personal expenses.</w:t>
      </w:r>
    </w:p>
    <w:p>
      <w:pPr>
        <w:pStyle w:val="ListBullet"/>
      </w:pPr>
      <w:r>
        <w:t>Debt service or repayment of organizational loans.</w:t>
      </w:r>
    </w:p>
    <w:p>
      <w:pPr>
        <w:pStyle w:val="ListBullet"/>
      </w:pPr>
      <w:r>
        <w:t>Construction or capital improvements.</w:t>
      </w:r>
    </w:p>
    <w:p>
      <w:pPr>
        <w:pStyle w:val="ListBullet"/>
      </w:pPr>
      <w:r>
        <w:t>Cash assistance lacking sufficient participant-level documentation.</w:t>
      </w:r>
    </w:p>
    <w:p>
      <w:pPr>
        <w:pStyle w:val="ListBullet"/>
      </w:pPr>
      <w:r>
        <w:t>Costs incurred outside the approved grant period unless expressly authorized in writing.</w:t>
      </w:r>
    </w:p>
    <w:p>
      <w:pPr>
        <w:pStyle w:val="Heading1"/>
        <w:keepNext/>
        <w:keepLines/>
      </w:pPr>
      <w:r>
        <w:t>5. Budget Reallocation and Indirect Cost Rules</w:t>
      </w:r>
    </w:p>
    <w:p>
      <w:r>
        <w:t>The Grantee may move funds among approved direct-cost categories without prior Fund approval when the change to any single category is less than 15% of that category’s approved amount. Prior written approval is required for any change of 15% or more, for creation of a new budget category, or for any increase to the approved Indirect Costs amount.</w:t>
      </w:r>
    </w:p>
    <w:p>
      <w:r>
        <w:t>Indirect Costs may not exceed the lesser of $20,000 or 8% of total direct costs actually charged to the grant.</w:t>
      </w:r>
    </w:p>
    <w:p>
      <w:r>
        <w:t>Each financial report must explain any category variance of $7,500 or more from the approved budget, regardless of percentage.</w:t>
      </w:r>
    </w:p>
    <w:p>
      <w:pPr>
        <w:pStyle w:val="Heading1"/>
        <w:keepNext/>
        <w:keepLines/>
      </w:pPr>
      <w:r>
        <w:t>6. Reporting Schedule</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cantSplit/>
        </w:trPr>
        <w:tc>
          <w:tcPr>
            <w:tcW w:type="dxa" w:w="2033"/>
            <w:vAlign w:val="center"/>
            <w:shd w:fill="D9E9DD"/>
          </w:tcPr>
          <w:p>
            <w:r/>
            <w:r>
              <w:rPr>
                <w:b/>
                <w:sz w:val="18"/>
              </w:rPr>
              <w:t>Report</w:t>
            </w:r>
          </w:p>
        </w:tc>
        <w:tc>
          <w:tcPr>
            <w:tcW w:type="dxa" w:w="2033"/>
            <w:vAlign w:val="center"/>
            <w:shd w:fill="D9E9DD"/>
          </w:tcPr>
          <w:p>
            <w:r/>
            <w:r>
              <w:rPr>
                <w:b/>
                <w:sz w:val="18"/>
              </w:rPr>
              <w:t>Period Covered</w:t>
            </w:r>
          </w:p>
        </w:tc>
        <w:tc>
          <w:tcPr>
            <w:tcW w:type="dxa" w:w="2033"/>
            <w:vAlign w:val="center"/>
            <w:shd w:fill="D9E9DD"/>
          </w:tcPr>
          <w:p>
            <w:r/>
            <w:r>
              <w:rPr>
                <w:b/>
                <w:sz w:val="18"/>
              </w:rPr>
              <w:t>Due Date</w:t>
            </w:r>
          </w:p>
        </w:tc>
        <w:tc>
          <w:tcPr>
            <w:tcW w:type="dxa" w:w="2033"/>
            <w:vAlign w:val="center"/>
            <w:shd w:fill="D9E9DD"/>
          </w:tcPr>
          <w:p>
            <w:r/>
            <w:r>
              <w:rPr>
                <w:b/>
                <w:sz w:val="18"/>
              </w:rPr>
              <w:t>Required Components</w:t>
            </w:r>
          </w:p>
        </w:tc>
        <w:tc>
          <w:tcPr>
            <w:tcW w:type="dxa" w:w="2033"/>
            <w:vAlign w:val="center"/>
            <w:shd w:fill="D9E9DD"/>
          </w:tcPr>
          <w:p>
            <w:r/>
            <w:r>
              <w:rPr>
                <w:b/>
                <w:sz w:val="18"/>
              </w:rPr>
              <w:t>Submission</w:t>
            </w:r>
          </w:p>
        </w:tc>
      </w:tr>
      <w:tr>
        <w:trPr>
          <w:cantSplit/>
        </w:trPr>
        <w:tc>
          <w:tcPr>
            <w:tcW w:type="dxa" w:w="2033"/>
            <w:vAlign w:val="center"/>
          </w:tcPr>
          <w:p>
            <w:r/>
            <w:r>
              <w:rPr>
                <w:b w:val="0"/>
                <w:sz w:val="18"/>
              </w:rPr>
              <w:t>Interim Report 1</w:t>
            </w:r>
          </w:p>
        </w:tc>
        <w:tc>
          <w:tcPr>
            <w:tcW w:type="dxa" w:w="2033"/>
            <w:vAlign w:val="center"/>
          </w:tcPr>
          <w:p>
            <w:r/>
            <w:r>
              <w:rPr>
                <w:b w:val="0"/>
                <w:sz w:val="18"/>
              </w:rPr>
              <w:t>Feb 1–Jul 31, 2027</w:t>
            </w:r>
          </w:p>
        </w:tc>
        <w:tc>
          <w:tcPr>
            <w:tcW w:type="dxa" w:w="2033"/>
            <w:vAlign w:val="center"/>
          </w:tcPr>
          <w:p>
            <w:r/>
            <w:r>
              <w:rPr>
                <w:b w:val="0"/>
                <w:sz w:val="18"/>
              </w:rPr>
              <w:t>August 31, 2027</w:t>
            </w:r>
          </w:p>
        </w:tc>
        <w:tc>
          <w:tcPr>
            <w:tcW w:type="dxa" w:w="2033"/>
            <w:vAlign w:val="center"/>
          </w:tcPr>
          <w:p>
            <w:r/>
            <w:r>
              <w:rPr>
                <w:b w:val="0"/>
                <w:sz w:val="18"/>
              </w:rPr>
              <w:t>Narrative; KPI table; budget-to-actual; variance explanations; evidence checklist</w:t>
            </w:r>
          </w:p>
        </w:tc>
        <w:tc>
          <w:tcPr>
            <w:tcW w:type="dxa" w:w="2033"/>
            <w:vAlign w:val="center"/>
          </w:tcPr>
          <w:p>
            <w:r/>
            <w:r>
              <w:rPr>
                <w:b w:val="0"/>
                <w:sz w:val="18"/>
              </w:rPr>
              <w:t>Fund portal</w:t>
            </w:r>
          </w:p>
        </w:tc>
      </w:tr>
      <w:tr>
        <w:trPr>
          <w:cantSplit/>
        </w:trPr>
        <w:tc>
          <w:tcPr>
            <w:tcW w:type="dxa" w:w="2033"/>
            <w:vAlign w:val="center"/>
          </w:tcPr>
          <w:p>
            <w:r/>
            <w:r>
              <w:rPr>
                <w:b w:val="0"/>
                <w:sz w:val="18"/>
              </w:rPr>
              <w:t>Interim Report 2</w:t>
            </w:r>
          </w:p>
        </w:tc>
        <w:tc>
          <w:tcPr>
            <w:tcW w:type="dxa" w:w="2033"/>
            <w:vAlign w:val="center"/>
          </w:tcPr>
          <w:p>
            <w:r/>
            <w:r>
              <w:rPr>
                <w:b w:val="0"/>
                <w:sz w:val="18"/>
              </w:rPr>
              <w:t>Aug 1, 2027–Jan 31, 2028</w:t>
            </w:r>
          </w:p>
        </w:tc>
        <w:tc>
          <w:tcPr>
            <w:tcW w:type="dxa" w:w="2033"/>
            <w:vAlign w:val="center"/>
          </w:tcPr>
          <w:p>
            <w:r/>
            <w:r>
              <w:rPr>
                <w:b w:val="0"/>
                <w:sz w:val="18"/>
              </w:rPr>
              <w:t>February 29, 2028</w:t>
            </w:r>
          </w:p>
        </w:tc>
        <w:tc>
          <w:tcPr>
            <w:tcW w:type="dxa" w:w="2033"/>
            <w:vAlign w:val="center"/>
          </w:tcPr>
          <w:p>
            <w:r/>
            <w:r>
              <w:rPr>
                <w:b w:val="0"/>
                <w:sz w:val="18"/>
              </w:rPr>
              <w:t>Narrative; cumulative KPIs; budget-to-actual; variance explanations; matching-funds status</w:t>
            </w:r>
          </w:p>
        </w:tc>
        <w:tc>
          <w:tcPr>
            <w:tcW w:type="dxa" w:w="2033"/>
            <w:vAlign w:val="center"/>
          </w:tcPr>
          <w:p>
            <w:r/>
            <w:r>
              <w:rPr>
                <w:b w:val="0"/>
                <w:sz w:val="18"/>
              </w:rPr>
              <w:t>Fund portal</w:t>
            </w:r>
          </w:p>
        </w:tc>
      </w:tr>
      <w:tr>
        <w:trPr>
          <w:cantSplit/>
        </w:trPr>
        <w:tc>
          <w:tcPr>
            <w:tcW w:type="dxa" w:w="2033"/>
            <w:vAlign w:val="center"/>
          </w:tcPr>
          <w:p>
            <w:r/>
            <w:r>
              <w:rPr>
                <w:b w:val="0"/>
                <w:sz w:val="18"/>
              </w:rPr>
              <w:t>Interim Report 3</w:t>
            </w:r>
          </w:p>
        </w:tc>
        <w:tc>
          <w:tcPr>
            <w:tcW w:type="dxa" w:w="2033"/>
            <w:vAlign w:val="center"/>
          </w:tcPr>
          <w:p>
            <w:r/>
            <w:r>
              <w:rPr>
                <w:b w:val="0"/>
                <w:sz w:val="18"/>
              </w:rPr>
              <w:t>Feb 1–Apr 30, 2028</w:t>
            </w:r>
          </w:p>
        </w:tc>
        <w:tc>
          <w:tcPr>
            <w:tcW w:type="dxa" w:w="2033"/>
            <w:vAlign w:val="center"/>
          </w:tcPr>
          <w:p>
            <w:r/>
            <w:r>
              <w:rPr>
                <w:b w:val="0"/>
                <w:sz w:val="18"/>
              </w:rPr>
              <w:t>May 31, 2028</w:t>
            </w:r>
          </w:p>
        </w:tc>
        <w:tc>
          <w:tcPr>
            <w:tcW w:type="dxa" w:w="2033"/>
            <w:vAlign w:val="center"/>
          </w:tcPr>
          <w:p>
            <w:r/>
            <w:r>
              <w:rPr>
                <w:b w:val="0"/>
                <w:sz w:val="18"/>
              </w:rPr>
              <w:t>Short narrative update; KPI status; budget-to-actual; risk/issues update</w:t>
            </w:r>
          </w:p>
        </w:tc>
        <w:tc>
          <w:tcPr>
            <w:tcW w:type="dxa" w:w="2033"/>
            <w:vAlign w:val="center"/>
          </w:tcPr>
          <w:p>
            <w:r/>
            <w:r>
              <w:rPr>
                <w:b w:val="0"/>
                <w:sz w:val="18"/>
              </w:rPr>
              <w:t>Fund portal</w:t>
            </w:r>
          </w:p>
        </w:tc>
      </w:tr>
      <w:tr>
        <w:trPr>
          <w:cantSplit/>
        </w:trPr>
        <w:tc>
          <w:tcPr>
            <w:tcW w:type="dxa" w:w="2033"/>
            <w:vAlign w:val="center"/>
          </w:tcPr>
          <w:p>
            <w:r/>
            <w:r>
              <w:rPr>
                <w:b w:val="0"/>
                <w:sz w:val="18"/>
              </w:rPr>
              <w:t>Final Report</w:t>
            </w:r>
          </w:p>
        </w:tc>
        <w:tc>
          <w:tcPr>
            <w:tcW w:type="dxa" w:w="2033"/>
            <w:vAlign w:val="center"/>
          </w:tcPr>
          <w:p>
            <w:r/>
            <w:r>
              <w:rPr>
                <w:b w:val="0"/>
                <w:sz w:val="18"/>
              </w:rPr>
              <w:t>Feb 1, 2027–Jul 31, 2028</w:t>
            </w:r>
          </w:p>
        </w:tc>
        <w:tc>
          <w:tcPr>
            <w:tcW w:type="dxa" w:w="2033"/>
            <w:vAlign w:val="center"/>
          </w:tcPr>
          <w:p>
            <w:r/>
            <w:r>
              <w:rPr>
                <w:b w:val="0"/>
                <w:sz w:val="18"/>
              </w:rPr>
              <w:t>September 29, 2028</w:t>
            </w:r>
          </w:p>
        </w:tc>
        <w:tc>
          <w:tcPr>
            <w:tcW w:type="dxa" w:w="2033"/>
            <w:vAlign w:val="center"/>
          </w:tcPr>
          <w:p>
            <w:r/>
            <w:r>
              <w:rPr>
                <w:b w:val="0"/>
                <w:sz w:val="18"/>
              </w:rPr>
              <w:t>Final narrative; cumulative KPI results; final financial report; match certification; sustainability; lessons learned; evidence index</w:t>
            </w:r>
          </w:p>
        </w:tc>
        <w:tc>
          <w:tcPr>
            <w:tcW w:type="dxa" w:w="2033"/>
            <w:vAlign w:val="center"/>
          </w:tcPr>
          <w:p>
            <w:r/>
            <w:r>
              <w:rPr>
                <w:b w:val="0"/>
                <w:sz w:val="18"/>
              </w:rPr>
              <w:t>Fund portal</w:t>
            </w:r>
          </w:p>
        </w:tc>
      </w:tr>
    </w:tbl>
    <w:p/>
    <w:p>
      <w:pPr>
        <w:pStyle w:val="Heading1"/>
        <w:keepNext/>
        <w:keepLines/>
      </w:pPr>
      <w:r>
        <w:t>7. Program Performance Metrics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cantSplit/>
        </w:trPr>
        <w:tc>
          <w:tcPr>
            <w:tcW w:type="dxa" w:w="2033"/>
            <w:vAlign w:val="center"/>
            <w:shd w:fill="D9E9DD"/>
          </w:tcPr>
          <w:p>
            <w:r/>
            <w:r>
              <w:rPr>
                <w:b/>
                <w:sz w:val="18"/>
              </w:rPr>
              <w:t>ID</w:t>
            </w:r>
          </w:p>
        </w:tc>
        <w:tc>
          <w:tcPr>
            <w:tcW w:type="dxa" w:w="2033"/>
            <w:vAlign w:val="center"/>
            <w:shd w:fill="D9E9DD"/>
          </w:tcPr>
          <w:p>
            <w:r/>
            <w:r>
              <w:rPr>
                <w:b/>
                <w:sz w:val="18"/>
              </w:rPr>
              <w:t>Metric</w:t>
            </w:r>
          </w:p>
        </w:tc>
        <w:tc>
          <w:tcPr>
            <w:tcW w:type="dxa" w:w="2033"/>
            <w:vAlign w:val="center"/>
            <w:shd w:fill="D9E9DD"/>
          </w:tcPr>
          <w:p>
            <w:r/>
            <w:r>
              <w:rPr>
                <w:b/>
                <w:sz w:val="18"/>
              </w:rPr>
              <w:t>Target</w:t>
            </w:r>
          </w:p>
        </w:tc>
        <w:tc>
          <w:tcPr>
            <w:tcW w:type="dxa" w:w="2033"/>
            <w:vAlign w:val="center"/>
            <w:shd w:fill="D9E9DD"/>
          </w:tcPr>
          <w:p>
            <w:r/>
            <w:r>
              <w:rPr>
                <w:b/>
                <w:sz w:val="18"/>
              </w:rPr>
              <w:t>Frequency</w:t>
            </w:r>
          </w:p>
        </w:tc>
        <w:tc>
          <w:tcPr>
            <w:tcW w:type="dxa" w:w="2033"/>
            <w:vAlign w:val="center"/>
            <w:shd w:fill="D9E9DD"/>
          </w:tcPr>
          <w:p>
            <w:r/>
            <w:r>
              <w:rPr>
                <w:b/>
                <w:sz w:val="18"/>
              </w:rPr>
              <w:t>Evidence</w:t>
            </w:r>
          </w:p>
        </w:tc>
      </w:tr>
      <w:tr>
        <w:trPr>
          <w:cantSplit/>
        </w:trPr>
        <w:tc>
          <w:tcPr>
            <w:tcW w:type="dxa" w:w="2033"/>
            <w:vAlign w:val="center"/>
          </w:tcPr>
          <w:p>
            <w:r/>
            <w:r>
              <w:rPr>
                <w:b w:val="0"/>
                <w:sz w:val="18"/>
              </w:rPr>
              <w:t>P1</w:t>
            </w:r>
          </w:p>
        </w:tc>
        <w:tc>
          <w:tcPr>
            <w:tcW w:type="dxa" w:w="2033"/>
            <w:vAlign w:val="center"/>
          </w:tcPr>
          <w:p>
            <w:r/>
            <w:r>
              <w:rPr>
                <w:b w:val="0"/>
                <w:sz w:val="18"/>
              </w:rPr>
              <w:t>Unduplicated households served</w:t>
            </w:r>
          </w:p>
        </w:tc>
        <w:tc>
          <w:tcPr>
            <w:tcW w:type="dxa" w:w="2033"/>
            <w:vAlign w:val="center"/>
          </w:tcPr>
          <w:p>
            <w:r/>
            <w:r>
              <w:rPr>
                <w:b w:val="0"/>
                <w:sz w:val="18"/>
              </w:rPr>
              <w:t>300</w:t>
            </w:r>
          </w:p>
        </w:tc>
        <w:tc>
          <w:tcPr>
            <w:tcW w:type="dxa" w:w="2033"/>
            <w:vAlign w:val="center"/>
          </w:tcPr>
          <w:p>
            <w:r/>
            <w:r>
              <w:rPr>
                <w:b w:val="0"/>
                <w:sz w:val="18"/>
              </w:rPr>
              <w:t>Cumulative</w:t>
            </w:r>
          </w:p>
        </w:tc>
        <w:tc>
          <w:tcPr>
            <w:tcW w:type="dxa" w:w="2033"/>
            <w:vAlign w:val="center"/>
          </w:tcPr>
          <w:p>
            <w:r/>
            <w:r>
              <w:rPr>
                <w:b w:val="0"/>
                <w:sz w:val="18"/>
              </w:rPr>
              <w:t>Case-management enrollment record</w:t>
            </w:r>
          </w:p>
        </w:tc>
      </w:tr>
      <w:tr>
        <w:trPr>
          <w:cantSplit/>
        </w:trPr>
        <w:tc>
          <w:tcPr>
            <w:tcW w:type="dxa" w:w="2033"/>
            <w:vAlign w:val="center"/>
          </w:tcPr>
          <w:p>
            <w:r/>
            <w:r>
              <w:rPr>
                <w:b w:val="0"/>
                <w:sz w:val="18"/>
              </w:rPr>
              <w:t>P2</w:t>
            </w:r>
          </w:p>
        </w:tc>
        <w:tc>
          <w:tcPr>
            <w:tcW w:type="dxa" w:w="2033"/>
            <w:vAlign w:val="center"/>
          </w:tcPr>
          <w:p>
            <w:r/>
            <w:r>
              <w:rPr>
                <w:b w:val="0"/>
                <w:sz w:val="18"/>
              </w:rPr>
              <w:t>Housing stability assessments completed</w:t>
            </w:r>
          </w:p>
        </w:tc>
        <w:tc>
          <w:tcPr>
            <w:tcW w:type="dxa" w:w="2033"/>
            <w:vAlign w:val="center"/>
          </w:tcPr>
          <w:p>
            <w:r/>
            <w:r>
              <w:rPr>
                <w:b w:val="0"/>
                <w:sz w:val="18"/>
              </w:rPr>
              <w:t>270 / 90%</w:t>
            </w:r>
          </w:p>
        </w:tc>
        <w:tc>
          <w:tcPr>
            <w:tcW w:type="dxa" w:w="2033"/>
            <w:vAlign w:val="center"/>
          </w:tcPr>
          <w:p>
            <w:r/>
            <w:r>
              <w:rPr>
                <w:b w:val="0"/>
                <w:sz w:val="18"/>
              </w:rPr>
              <w:t>Cumulative</w:t>
            </w:r>
          </w:p>
        </w:tc>
        <w:tc>
          <w:tcPr>
            <w:tcW w:type="dxa" w:w="2033"/>
            <w:vAlign w:val="center"/>
          </w:tcPr>
          <w:p>
            <w:r/>
            <w:r>
              <w:rPr>
                <w:b w:val="0"/>
                <w:sz w:val="18"/>
              </w:rPr>
              <w:t>Completed assessment record</w:t>
            </w:r>
          </w:p>
        </w:tc>
      </w:tr>
      <w:tr>
        <w:trPr>
          <w:cantSplit/>
        </w:trPr>
        <w:tc>
          <w:tcPr>
            <w:tcW w:type="dxa" w:w="2033"/>
            <w:vAlign w:val="center"/>
          </w:tcPr>
          <w:p>
            <w:r/>
            <w:r>
              <w:rPr>
                <w:b w:val="0"/>
                <w:sz w:val="18"/>
              </w:rPr>
              <w:t>P3</w:t>
            </w:r>
          </w:p>
        </w:tc>
        <w:tc>
          <w:tcPr>
            <w:tcW w:type="dxa" w:w="2033"/>
            <w:vAlign w:val="center"/>
          </w:tcPr>
          <w:p>
            <w:r/>
            <w:r>
              <w:rPr>
                <w:b w:val="0"/>
                <w:sz w:val="18"/>
              </w:rPr>
              <w:t>Households placed into stable housing</w:t>
            </w:r>
          </w:p>
        </w:tc>
        <w:tc>
          <w:tcPr>
            <w:tcW w:type="dxa" w:w="2033"/>
            <w:vAlign w:val="center"/>
          </w:tcPr>
          <w:p>
            <w:r/>
            <w:r>
              <w:rPr>
                <w:b w:val="0"/>
                <w:sz w:val="18"/>
              </w:rPr>
              <w:t>180 / 60%</w:t>
            </w:r>
          </w:p>
        </w:tc>
        <w:tc>
          <w:tcPr>
            <w:tcW w:type="dxa" w:w="2033"/>
            <w:vAlign w:val="center"/>
          </w:tcPr>
          <w:p>
            <w:r/>
            <w:r>
              <w:rPr>
                <w:b w:val="0"/>
                <w:sz w:val="18"/>
              </w:rPr>
              <w:t>Cumulative</w:t>
            </w:r>
          </w:p>
        </w:tc>
        <w:tc>
          <w:tcPr>
            <w:tcW w:type="dxa" w:w="2033"/>
            <w:vAlign w:val="center"/>
          </w:tcPr>
          <w:p>
            <w:r/>
            <w:r>
              <w:rPr>
                <w:b w:val="0"/>
                <w:sz w:val="18"/>
              </w:rPr>
              <w:t>Lease, landlord confirmation, or verified placement record</w:t>
            </w:r>
          </w:p>
        </w:tc>
      </w:tr>
      <w:tr>
        <w:trPr>
          <w:cantSplit/>
        </w:trPr>
        <w:tc>
          <w:tcPr>
            <w:tcW w:type="dxa" w:w="2033"/>
            <w:vAlign w:val="center"/>
          </w:tcPr>
          <w:p>
            <w:r/>
            <w:r>
              <w:rPr>
                <w:b w:val="0"/>
                <w:sz w:val="18"/>
              </w:rPr>
              <w:t>P4</w:t>
            </w:r>
          </w:p>
        </w:tc>
        <w:tc>
          <w:tcPr>
            <w:tcW w:type="dxa" w:w="2033"/>
            <w:vAlign w:val="center"/>
          </w:tcPr>
          <w:p>
            <w:r/>
            <w:r>
              <w:rPr>
                <w:b w:val="0"/>
                <w:sz w:val="18"/>
              </w:rPr>
              <w:t>Placed households stably housed at 120 days</w:t>
            </w:r>
          </w:p>
        </w:tc>
        <w:tc>
          <w:tcPr>
            <w:tcW w:type="dxa" w:w="2033"/>
            <w:vAlign w:val="center"/>
          </w:tcPr>
          <w:p>
            <w:r/>
            <w:r>
              <w:rPr>
                <w:b w:val="0"/>
                <w:sz w:val="18"/>
              </w:rPr>
              <w:t>80% of placed households</w:t>
            </w:r>
          </w:p>
        </w:tc>
        <w:tc>
          <w:tcPr>
            <w:tcW w:type="dxa" w:w="2033"/>
            <w:vAlign w:val="center"/>
          </w:tcPr>
          <w:p>
            <w:r/>
            <w:r>
              <w:rPr>
                <w:b w:val="0"/>
                <w:sz w:val="18"/>
              </w:rPr>
              <w:t>Cohort measure</w:t>
            </w:r>
          </w:p>
        </w:tc>
        <w:tc>
          <w:tcPr>
            <w:tcW w:type="dxa" w:w="2033"/>
            <w:vAlign w:val="center"/>
          </w:tcPr>
          <w:p>
            <w:r/>
            <w:r>
              <w:rPr>
                <w:b w:val="0"/>
                <w:sz w:val="18"/>
              </w:rPr>
              <w:t>120-day follow-up record</w:t>
            </w:r>
          </w:p>
        </w:tc>
      </w:tr>
      <w:tr>
        <w:trPr>
          <w:cantSplit/>
        </w:trPr>
        <w:tc>
          <w:tcPr>
            <w:tcW w:type="dxa" w:w="2033"/>
            <w:vAlign w:val="center"/>
          </w:tcPr>
          <w:p>
            <w:r/>
            <w:r>
              <w:rPr>
                <w:b w:val="0"/>
                <w:sz w:val="18"/>
              </w:rPr>
              <w:t>P5</w:t>
            </w:r>
          </w:p>
        </w:tc>
        <w:tc>
          <w:tcPr>
            <w:tcW w:type="dxa" w:w="2033"/>
            <w:vAlign w:val="center"/>
          </w:tcPr>
          <w:p>
            <w:r/>
            <w:r>
              <w:rPr>
                <w:b w:val="0"/>
                <w:sz w:val="18"/>
              </w:rPr>
              <w:t>Households receiving benefits screening</w:t>
            </w:r>
          </w:p>
        </w:tc>
        <w:tc>
          <w:tcPr>
            <w:tcW w:type="dxa" w:w="2033"/>
            <w:vAlign w:val="center"/>
          </w:tcPr>
          <w:p>
            <w:r/>
            <w:r>
              <w:rPr>
                <w:b w:val="0"/>
                <w:sz w:val="18"/>
              </w:rPr>
              <w:t>240</w:t>
            </w:r>
          </w:p>
        </w:tc>
        <w:tc>
          <w:tcPr>
            <w:tcW w:type="dxa" w:w="2033"/>
            <w:vAlign w:val="center"/>
          </w:tcPr>
          <w:p>
            <w:r/>
            <w:r>
              <w:rPr>
                <w:b w:val="0"/>
                <w:sz w:val="18"/>
              </w:rPr>
              <w:t>Cumulative</w:t>
            </w:r>
          </w:p>
        </w:tc>
        <w:tc>
          <w:tcPr>
            <w:tcW w:type="dxa" w:w="2033"/>
            <w:vAlign w:val="center"/>
          </w:tcPr>
          <w:p>
            <w:r/>
            <w:r>
              <w:rPr>
                <w:b w:val="0"/>
                <w:sz w:val="18"/>
              </w:rPr>
              <w:t>Benefits-screening checklist</w:t>
            </w:r>
          </w:p>
        </w:tc>
      </w:tr>
      <w:tr>
        <w:trPr>
          <w:cantSplit/>
        </w:trPr>
        <w:tc>
          <w:tcPr>
            <w:tcW w:type="dxa" w:w="2033"/>
            <w:vAlign w:val="center"/>
          </w:tcPr>
          <w:p>
            <w:r/>
            <w:r>
              <w:rPr>
                <w:b w:val="0"/>
                <w:sz w:val="18"/>
              </w:rPr>
              <w:t>P6</w:t>
            </w:r>
          </w:p>
        </w:tc>
        <w:tc>
          <w:tcPr>
            <w:tcW w:type="dxa" w:w="2033"/>
            <w:vAlign w:val="center"/>
          </w:tcPr>
          <w:p>
            <w:r/>
            <w:r>
              <w:rPr>
                <w:b w:val="0"/>
                <w:sz w:val="18"/>
              </w:rPr>
              <w:t>Average client satisfaction</w:t>
            </w:r>
          </w:p>
        </w:tc>
        <w:tc>
          <w:tcPr>
            <w:tcW w:type="dxa" w:w="2033"/>
            <w:vAlign w:val="center"/>
          </w:tcPr>
          <w:p>
            <w:r/>
            <w:r>
              <w:rPr>
                <w:b w:val="0"/>
                <w:sz w:val="18"/>
              </w:rPr>
              <w:t>≥4.3 / 5.0</w:t>
            </w:r>
          </w:p>
        </w:tc>
        <w:tc>
          <w:tcPr>
            <w:tcW w:type="dxa" w:w="2033"/>
            <w:vAlign w:val="center"/>
          </w:tcPr>
          <w:p>
            <w:r/>
            <w:r>
              <w:rPr>
                <w:b w:val="0"/>
                <w:sz w:val="18"/>
              </w:rPr>
              <w:t>Reported at each interim and final report</w:t>
            </w:r>
          </w:p>
        </w:tc>
        <w:tc>
          <w:tcPr>
            <w:tcW w:type="dxa" w:w="2033"/>
            <w:vAlign w:val="center"/>
          </w:tcPr>
          <w:p>
            <w:r/>
            <w:r>
              <w:rPr>
                <w:b w:val="0"/>
                <w:sz w:val="18"/>
              </w:rPr>
              <w:t>Client survey</w:t>
            </w:r>
          </w:p>
        </w:tc>
      </w:tr>
    </w:tbl>
    <w:p/>
    <w:p>
      <w:pPr>
        <w:pStyle w:val="Heading1"/>
        <w:keepNext/>
        <w:keepLines/>
      </w:pPr>
      <w:r>
        <w:t>8. Narrative Questions</w:t>
      </w:r>
    </w:p>
    <w:p>
      <w:pPr>
        <w:pStyle w:val="ListNumber"/>
      </w:pPr>
      <w:r>
        <w:t>Describe major activities completed during the reporting period and any material changes to implementation.</w:t>
      </w:r>
    </w:p>
    <w:p>
      <w:pPr>
        <w:pStyle w:val="ListNumber"/>
      </w:pPr>
      <w:r>
        <w:t>Summarize progress toward each required outcome and explain material shortfalls or unexpected results.</w:t>
      </w:r>
    </w:p>
    <w:p>
      <w:pPr>
        <w:pStyle w:val="ListNumber"/>
      </w:pPr>
      <w:r>
        <w:t>Describe the principal housing barriers experienced by participants and how the program responded.</w:t>
      </w:r>
    </w:p>
    <w:p>
      <w:pPr>
        <w:pStyle w:val="ListNumber"/>
      </w:pPr>
      <w:r>
        <w:t>Explain all financial variances of $7,500 or more and identify any approved budget modifications.</w:t>
      </w:r>
    </w:p>
    <w:p>
      <w:pPr>
        <w:pStyle w:val="ListNumber"/>
      </w:pPr>
      <w:r>
        <w:t>Describe significant operational, staffing, data-quality, safeguarding, or service-delivery risks.</w:t>
      </w:r>
    </w:p>
    <w:p>
      <w:pPr>
        <w:pStyle w:val="ListNumber"/>
      </w:pPr>
      <w:r>
        <w:t>For the final report, describe lessons learned, sustainability, and any program activities expected to continue after Fund support ends.</w:t>
      </w:r>
    </w:p>
    <w:p>
      <w:pPr>
        <w:pStyle w:val="Heading1"/>
        <w:keepNext/>
        <w:keepLines/>
      </w:pPr>
      <w:r>
        <w:t>9. Matching Funds Requirement</w:t>
      </w:r>
    </w:p>
    <w:p>
      <w:r>
        <w:t>The Grantee must document at least $40,000 in eligible non-Fund cash contributions during the grant period. In-kind contributions do not satisfy this requirement. Matching funds must support the funded program and must not originate from Northstar Community Fund.</w:t>
      </w:r>
    </w:p>
    <w:p>
      <w:r>
        <w:t>Match status must be reported in Interim Report 2. Final documentation and certification of the full match are required with the Final Report.</w:t>
      </w:r>
    </w:p>
    <w:p>
      <w:pPr>
        <w:pStyle w:val="Heading1"/>
        <w:keepNext/>
        <w:keepLines/>
      </w:pPr>
      <w:r>
        <w:t>10. Required Supporting Evidence</w:t>
      </w:r>
    </w:p>
    <w:p>
      <w:pPr>
        <w:pStyle w:val="ListBullet"/>
      </w:pPr>
      <w:r>
        <w:t>Budget-to-actual report for each reporting period.</w:t>
      </w:r>
    </w:p>
    <w:p>
      <w:pPr>
        <w:pStyle w:val="ListBullet"/>
      </w:pPr>
      <w:r>
        <w:t>General-ledger detail supporting grant expenditures.</w:t>
      </w:r>
    </w:p>
    <w:p>
      <w:pPr>
        <w:pStyle w:val="ListBullet"/>
      </w:pPr>
      <w:r>
        <w:t>Evidence index linking each reported KPI to an underlying source.</w:t>
      </w:r>
    </w:p>
    <w:p>
      <w:pPr>
        <w:pStyle w:val="ListBullet"/>
      </w:pPr>
      <w:r>
        <w:t>For emergency client assistance: payment record plus documentation of the housing-related purpose. Assistance above $1,500 per household must also include written program-director approval.</w:t>
      </w:r>
    </w:p>
    <w:p>
      <w:pPr>
        <w:pStyle w:val="ListBullet"/>
      </w:pPr>
      <w:r>
        <w:t>Written Fund approval for any budget modification requiring prior consent.</w:t>
      </w:r>
    </w:p>
    <w:p>
      <w:pPr>
        <w:pStyle w:val="ListBullet"/>
      </w:pPr>
      <w:r>
        <w:t>Documentation of eligible matching contributions.</w:t>
      </w:r>
    </w:p>
    <w:p>
      <w:pPr>
        <w:pStyle w:val="ListBullet"/>
      </w:pPr>
      <w:r>
        <w:t>Final report: certification signed by the Executive Director or Chief Financial Officer.</w:t>
      </w:r>
    </w:p>
    <w:p>
      <w:pPr>
        <w:pStyle w:val="Heading1"/>
        <w:keepNext/>
        <w:keepLines/>
      </w:pPr>
      <w:r>
        <w:t>11. Data Privacy and Safeguarding</w:t>
      </w:r>
    </w:p>
    <w:p>
      <w:r>
        <w:t>Routine reports must use aggregated or de-identified participant information. The Grantee must not include Social Security numbers, bank account information, full dates of birth, medical diagnoses, immigration-status documentation, or unredacted legal case files in routine submissions.</w:t>
      </w:r>
    </w:p>
    <w:p>
      <w:r>
        <w:t>If the Fund requests participant-level evidence, the Grantee must use the Fund’s secure document-transfer process and provide only the minimum information necessary.</w:t>
      </w:r>
    </w:p>
    <w:p>
      <w:pPr>
        <w:pStyle w:val="Heading1"/>
        <w:keepNext/>
        <w:keepLines/>
      </w:pPr>
      <w:r>
        <w:t>12. Records Retention and Monitoring</w:t>
      </w:r>
    </w:p>
    <w:p>
      <w:r>
        <w:t>The Grantee must retain financial, programmatic, match, and supporting records related to this award for seven (7) years after the Final Report is accepted.</w:t>
      </w:r>
    </w:p>
    <w:p>
      <w:r>
        <w:t>The Fund may request documentation supporting reported expenditures or outcomes and may conduct a financial or programmatic review upon reasonable notice.</w:t>
      </w:r>
    </w:p>
    <w:p>
      <w:pPr>
        <w:pStyle w:val="Heading1"/>
        <w:keepNext/>
        <w:keepLines/>
      </w:pPr>
      <w:r>
        <w:t>13. Material Incident and Change Notification</w:t>
      </w:r>
    </w:p>
    <w:p>
      <w:r>
        <w:t>The Grantee must notify the Fund within five (5) business days after becoming aware of: suspected misuse of grant funds; a material data breach involving program participants; loss of required insurance; a change in Executive Director or Program Director; or a material event likely to prevent achievement of the funded outcomes.</w:t>
      </w:r>
    </w:p>
    <w:p>
      <w:pPr>
        <w:pStyle w:val="Heading1"/>
        <w:keepNext/>
        <w:keepLines/>
      </w:pPr>
      <w:r>
        <w:t>14. Extension and Closeout</w:t>
      </w:r>
    </w:p>
    <w:p>
      <w:r>
        <w:t>A no-cost extension request must be submitted at least 45 calendar days before July 31, 2028 and must include the requested new end date, reason for delay, revised work plan, remaining budget, and updated reporting schedule. Approval is not automatic.</w:t>
      </w:r>
    </w:p>
    <w:p>
      <w:r>
        <w:t>The Final Report is due September 29, 2028. Any unspent balance not covered by an approved extension must be returned within 60 calendar days after July 31, 2028.</w:t>
      </w:r>
    </w:p>
    <w:p>
      <w:pPr>
        <w:pStyle w:val="Heading1"/>
        <w:keepNext/>
        <w:keepLines/>
      </w:pPr>
      <w:r>
        <w:t>15. Contacts</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vAlign w:val="center"/>
            <w:shd w:fill="E8F0EA"/>
          </w:tcPr>
          <w:p>
            <w:r/>
            <w:r>
              <w:rPr>
                <w:b/>
                <w:sz w:val="18"/>
              </w:rPr>
              <w:t>Fund Program Officer</w:t>
            </w:r>
          </w:p>
        </w:tc>
        <w:tc>
          <w:tcPr>
            <w:tcW w:type="dxa" w:w="5083"/>
            <w:vAlign w:val="center"/>
          </w:tcPr>
          <w:p>
            <w:r/>
            <w:r>
              <w:rPr>
                <w:b w:val="0"/>
                <w:sz w:val="18"/>
              </w:rPr>
              <w:t>Morgan Reed, Program Officer</w:t>
            </w:r>
          </w:p>
        </w:tc>
      </w:tr>
      <w:tr>
        <w:trPr>
          <w:cantSplit/>
        </w:trPr>
        <w:tc>
          <w:tcPr>
            <w:tcW w:type="dxa" w:w="5083"/>
            <w:vAlign w:val="center"/>
            <w:shd w:fill="E8F0EA"/>
          </w:tcPr>
          <w:p>
            <w:r/>
            <w:r>
              <w:rPr>
                <w:b/>
                <w:sz w:val="18"/>
              </w:rPr>
              <w:t>Program Officer Email</w:t>
            </w:r>
          </w:p>
        </w:tc>
        <w:tc>
          <w:tcPr>
            <w:tcW w:type="dxa" w:w="5083"/>
            <w:vAlign w:val="center"/>
          </w:tcPr>
          <w:p>
            <w:r/>
            <w:r>
              <w:rPr>
                <w:b w:val="0"/>
                <w:sz w:val="18"/>
              </w:rPr>
              <w:t>morgan.reed@northstarcommunity.example</w:t>
            </w:r>
          </w:p>
        </w:tc>
      </w:tr>
      <w:tr>
        <w:trPr>
          <w:cantSplit/>
        </w:trPr>
        <w:tc>
          <w:tcPr>
            <w:tcW w:type="dxa" w:w="5083"/>
            <w:vAlign w:val="center"/>
            <w:shd w:fill="E8F0EA"/>
          </w:tcPr>
          <w:p>
            <w:r/>
            <w:r>
              <w:rPr>
                <w:b/>
                <w:sz w:val="18"/>
              </w:rPr>
              <w:t>Grant Reporting</w:t>
            </w:r>
          </w:p>
        </w:tc>
        <w:tc>
          <w:tcPr>
            <w:tcW w:type="dxa" w:w="5083"/>
            <w:vAlign w:val="center"/>
          </w:tcPr>
          <w:p>
            <w:r/>
            <w:r>
              <w:rPr>
                <w:b w:val="0"/>
                <w:sz w:val="18"/>
              </w:rPr>
              <w:t>Submit through the Northstar Community Fund grantee portal</w:t>
            </w:r>
          </w:p>
        </w:tc>
      </w:tr>
      <w:tr>
        <w:trPr>
          <w:cantSplit/>
        </w:trPr>
        <w:tc>
          <w:tcPr>
            <w:tcW w:type="dxa" w:w="5083"/>
            <w:vAlign w:val="center"/>
            <w:shd w:fill="E8F0EA"/>
          </w:tcPr>
          <w:p>
            <w:r/>
            <w:r>
              <w:rPr>
                <w:b/>
                <w:sz w:val="18"/>
              </w:rPr>
              <w:t>Grantee Executive Director</w:t>
            </w:r>
          </w:p>
        </w:tc>
        <w:tc>
          <w:tcPr>
            <w:tcW w:type="dxa" w:w="5083"/>
            <w:vAlign w:val="center"/>
          </w:tcPr>
          <w:p>
            <w:r/>
            <w:r>
              <w:rPr>
                <w:b w:val="0"/>
                <w:sz w:val="18"/>
              </w:rPr>
              <w:t>Dana Brooks</w:t>
            </w:r>
          </w:p>
        </w:tc>
      </w:tr>
      <w:tr>
        <w:trPr>
          <w:cantSplit/>
        </w:trPr>
        <w:tc>
          <w:tcPr>
            <w:tcW w:type="dxa" w:w="5083"/>
            <w:vAlign w:val="center"/>
            <w:shd w:fill="E8F0EA"/>
          </w:tcPr>
          <w:p>
            <w:r/>
            <w:r>
              <w:rPr>
                <w:b/>
                <w:sz w:val="18"/>
              </w:rPr>
              <w:t>Grantee Grants Lead</w:t>
            </w:r>
          </w:p>
        </w:tc>
        <w:tc>
          <w:tcPr>
            <w:tcW w:type="dxa" w:w="5083"/>
            <w:vAlign w:val="center"/>
          </w:tcPr>
          <w:p>
            <w:r/>
            <w:r>
              <w:rPr>
                <w:b w:val="0"/>
                <w:sz w:val="18"/>
              </w:rPr>
              <w:t>Casey Nguyen</w:t>
            </w:r>
          </w:p>
        </w:tc>
      </w:tr>
      <w:tr>
        <w:trPr>
          <w:cantSplit/>
        </w:trPr>
        <w:tc>
          <w:tcPr>
            <w:tcW w:type="dxa" w:w="5083"/>
            <w:vAlign w:val="center"/>
            <w:shd w:fill="E8F0EA"/>
          </w:tcPr>
          <w:p>
            <w:r/>
            <w:r>
              <w:rPr>
                <w:b/>
                <w:sz w:val="18"/>
              </w:rPr>
              <w:t>Grantee Finance Lead</w:t>
            </w:r>
          </w:p>
        </w:tc>
        <w:tc>
          <w:tcPr>
            <w:tcW w:type="dxa" w:w="5083"/>
            <w:vAlign w:val="center"/>
          </w:tcPr>
          <w:p>
            <w:r/>
            <w:r>
              <w:rPr>
                <w:b w:val="0"/>
                <w:sz w:val="18"/>
              </w:rPr>
              <w:t>Riley Carter, Chief Financial Officer</w:t>
            </w:r>
          </w:p>
        </w:tc>
      </w:tr>
    </w:tbl>
    <w:p/>
    <w:p>
      <w:pPr>
        <w:pStyle w:val="Heading1"/>
        <w:keepNext/>
        <w:keepLines/>
      </w:pPr>
      <w:r>
        <w:t>16. Acceptance</w:t>
      </w:r>
    </w:p>
    <w:p>
      <w:r>
        <w:t>By signing this Agreement, the parties acknowledge the award terms above. The Grantee is responsible for reviewing all reports for completeness and accuracy before submission.</w:t>
      </w:r>
    </w:p>
    <w:tbl>
      <w:tblPr>
        <w:tblStyle w:val="TableGrid"/>
        <w:tblW w:type="auto" w:w="0"/>
        <w:tblLook w:firstColumn="1" w:firstRow="1" w:lastColumn="0" w:lastRow="0" w:noHBand="0" w:noVBand="1" w:val="04A0"/>
      </w:tblPr>
      <w:tblGrid>
        <w:gridCol w:w="5083"/>
        <w:gridCol w:w="5083"/>
      </w:tblGrid>
      <w:tr>
        <w:trPr>
          <w:cantSplit/>
        </w:trPr>
        <w:tc>
          <w:tcPr>
            <w:tcW w:type="dxa" w:w="5083"/>
            <w:vAlign w:val="center"/>
            <w:shd w:fill="D9E9DD"/>
          </w:tcPr>
          <w:p>
            <w:r/>
            <w:r>
              <w:rPr>
                <w:b/>
                <w:sz w:val="18"/>
              </w:rPr>
              <w:t>Northstar Community Fund</w:t>
            </w:r>
          </w:p>
        </w:tc>
        <w:tc>
          <w:tcPr>
            <w:tcW w:type="dxa" w:w="5083"/>
            <w:vAlign w:val="center"/>
            <w:shd w:fill="D9E9DD"/>
          </w:tcPr>
          <w:p>
            <w:r/>
            <w:r>
              <w:rPr>
                <w:b/>
                <w:sz w:val="18"/>
              </w:rPr>
              <w:t>BridgeWorks Family Services</w:t>
            </w:r>
          </w:p>
        </w:tc>
      </w:tr>
      <w:tr>
        <w:trPr>
          <w:cantSplit/>
        </w:trPr>
        <w:tc>
          <w:tcPr>
            <w:tcW w:type="dxa" w:w="5083"/>
            <w:vAlign w:val="center"/>
          </w:tcPr>
          <w:p>
            <w:r/>
            <w:r>
              <w:rPr>
                <w:b w:val="0"/>
                <w:sz w:val="18"/>
              </w:rPr>
              <w:t>Morgan Reed, Program Officer</w:t>
            </w:r>
          </w:p>
        </w:tc>
        <w:tc>
          <w:tcPr>
            <w:tcW w:type="dxa" w:w="5083"/>
            <w:vAlign w:val="center"/>
          </w:tcPr>
          <w:p>
            <w:r/>
            <w:r>
              <w:rPr>
                <w:b w:val="0"/>
                <w:sz w:val="18"/>
              </w:rPr>
              <w:t>Dana Brooks, Executive Director</w:t>
            </w:r>
          </w:p>
        </w:tc>
      </w:tr>
      <w:tr>
        <w:trPr>
          <w:cantSplit/>
        </w:trPr>
        <w:tc>
          <w:tcPr>
            <w:tcW w:type="dxa" w:w="5083"/>
            <w:vAlign w:val="center"/>
          </w:tcPr>
          <w:p>
            <w:r/>
            <w:r>
              <w:rPr>
                <w:b w:val="0"/>
                <w:sz w:val="18"/>
              </w:rPr>
              <w:t>Signature: ______________________</w:t>
            </w:r>
          </w:p>
        </w:tc>
        <w:tc>
          <w:tcPr>
            <w:tcW w:type="dxa" w:w="5083"/>
            <w:vAlign w:val="center"/>
          </w:tcPr>
          <w:p>
            <w:r/>
            <w:r>
              <w:rPr>
                <w:b w:val="0"/>
                <w:sz w:val="18"/>
              </w:rPr>
              <w:t>Signature: ______________________</w:t>
            </w:r>
          </w:p>
        </w:tc>
      </w:tr>
      <w:tr>
        <w:trPr>
          <w:cantSplit/>
        </w:trPr>
        <w:tc>
          <w:tcPr>
            <w:tcW w:type="dxa" w:w="5083"/>
            <w:vAlign w:val="center"/>
          </w:tcPr>
          <w:p>
            <w:r/>
            <w:r>
              <w:rPr>
                <w:b w:val="0"/>
                <w:sz w:val="18"/>
              </w:rPr>
              <w:t>Date: January 15, 2027</w:t>
            </w:r>
          </w:p>
        </w:tc>
        <w:tc>
          <w:tcPr>
            <w:tcW w:type="dxa" w:w="5083"/>
            <w:vAlign w:val="center"/>
          </w:tcPr>
          <w:p>
            <w:r/>
            <w:r>
              <w:rPr>
                <w:b w:val="0"/>
                <w:sz w:val="18"/>
              </w:rPr>
              <w:t>Date: January 20, 2027</w:t>
            </w:r>
          </w:p>
        </w:tc>
      </w:tr>
    </w:tbl>
    <w:p/>
    <w:p>
      <w:pPr>
        <w:jc w:val="center"/>
      </w:pPr>
      <w:r>
        <w:rPr>
          <w:b/>
          <w:sz w:val="18"/>
        </w:rPr>
        <w:t>END OF SYNTHETIC TEST AGREEMENT</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Northstar Community Fund | BridgeWorks Family Services | Award NCF-27-118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SYNTHETIC TEST DOCUMENT — NOT A REAL GRANT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9"/>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