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BRIDGEWORKS FAMILY SERVICES</w:t>
      </w:r>
    </w:p>
    <w:p>
      <w:pPr>
        <w:jc w:val="center"/>
      </w:pPr>
      <w:r>
        <w:rPr>
          <w:b/>
          <w:sz w:val="46"/>
        </w:rPr>
        <w:t>INTERIM PROGRAM UPDATE</w:t>
      </w:r>
    </w:p>
    <w:p>
      <w:pPr>
        <w:jc w:val="center"/>
      </w:pPr>
      <w:r>
        <w:rPr>
          <w:i/>
          <w:sz w:val="28"/>
        </w:rPr>
        <w:t>Family Stability &amp; Housing Navigation Program</w:t>
      </w:r>
    </w:p>
    <w:p>
      <w:pPr>
        <w:jc w:val="center"/>
      </w:pPr>
      <w:r>
        <w:rPr>
          <w:b/>
          <w:sz w:val="20"/>
        </w:rPr>
        <w:t>Synthetic data created solely for GrantDeskHQ workflow testing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F1EB"/>
          </w:tcPr>
          <w:p>
            <w:r/>
            <w:r>
              <w:rPr>
                <w:b/>
                <w:sz w:val="18"/>
              </w:rPr>
              <w:t>Award ID</w:t>
            </w:r>
          </w:p>
        </w:tc>
        <w:tc>
          <w:tcPr>
            <w:tcW w:type="dxa" w:w="5040"/>
            <w:vAlign w:val="center"/>
          </w:tcPr>
          <w:p>
            <w:r/>
            <w:r>
              <w:rPr>
                <w:b w:val="0"/>
                <w:sz w:val="18"/>
              </w:rPr>
              <w:t>NCF-27-118</w:t>
            </w:r>
          </w:p>
        </w:tc>
      </w:tr>
      <w:tr>
        <w:tc>
          <w:tcPr>
            <w:tcW w:type="dxa" w:w="5040"/>
            <w:vAlign w:val="center"/>
            <w:shd w:fill="E9F1EB"/>
          </w:tcPr>
          <w:p>
            <w:r/>
            <w:r>
              <w:rPr>
                <w:b/>
                <w:sz w:val="18"/>
              </w:rPr>
              <w:t>Funder</w:t>
            </w:r>
          </w:p>
        </w:tc>
        <w:tc>
          <w:tcPr>
            <w:tcW w:type="dxa" w:w="5040"/>
            <w:vAlign w:val="center"/>
          </w:tcPr>
          <w:p>
            <w:r/>
            <w:r>
              <w:rPr>
                <w:b w:val="0"/>
                <w:sz w:val="18"/>
              </w:rPr>
              <w:t>Northstar Community Fund</w:t>
            </w:r>
          </w:p>
        </w:tc>
      </w:tr>
      <w:tr>
        <w:tc>
          <w:tcPr>
            <w:tcW w:type="dxa" w:w="5040"/>
            <w:vAlign w:val="center"/>
            <w:shd w:fill="E9F1EB"/>
          </w:tcPr>
          <w:p>
            <w:r/>
            <w:r>
              <w:rPr>
                <w:b/>
                <w:sz w:val="18"/>
              </w:rPr>
              <w:t>Grantee</w:t>
            </w:r>
          </w:p>
        </w:tc>
        <w:tc>
          <w:tcPr>
            <w:tcW w:type="dxa" w:w="5040"/>
            <w:vAlign w:val="center"/>
          </w:tcPr>
          <w:p>
            <w:r/>
            <w:r>
              <w:rPr>
                <w:b w:val="0"/>
                <w:sz w:val="18"/>
              </w:rPr>
              <w:t>BridgeWorks Family Services</w:t>
            </w:r>
          </w:p>
        </w:tc>
      </w:tr>
      <w:tr>
        <w:tc>
          <w:tcPr>
            <w:tcW w:type="dxa" w:w="5040"/>
            <w:vAlign w:val="center"/>
            <w:shd w:fill="E9F1EB"/>
          </w:tcPr>
          <w:p>
            <w:r/>
            <w:r>
              <w:rPr>
                <w:b/>
                <w:sz w:val="18"/>
              </w:rPr>
              <w:t>Reporting Period</w:t>
            </w:r>
          </w:p>
        </w:tc>
        <w:tc>
          <w:tcPr>
            <w:tcW w:type="dxa" w:w="5040"/>
            <w:vAlign w:val="center"/>
          </w:tcPr>
          <w:p>
            <w:r/>
            <w:r>
              <w:rPr>
                <w:b w:val="0"/>
                <w:sz w:val="18"/>
              </w:rPr>
              <w:t>February 1, 2027 – July 31, 2027</w:t>
            </w:r>
          </w:p>
        </w:tc>
      </w:tr>
      <w:tr>
        <w:tc>
          <w:tcPr>
            <w:tcW w:type="dxa" w:w="5040"/>
            <w:vAlign w:val="center"/>
            <w:shd w:fill="E9F1EB"/>
          </w:tcPr>
          <w:p>
            <w:r/>
            <w:r>
              <w:rPr>
                <w:b/>
                <w:sz w:val="18"/>
              </w:rPr>
              <w:t>Report</w:t>
            </w:r>
          </w:p>
        </w:tc>
        <w:tc>
          <w:tcPr>
            <w:tcW w:type="dxa" w:w="5040"/>
            <w:vAlign w:val="center"/>
          </w:tcPr>
          <w:p>
            <w:r/>
            <w:r>
              <w:rPr>
                <w:b w:val="0"/>
                <w:sz w:val="18"/>
              </w:rPr>
              <w:t>Interim Report 1</w:t>
            </w:r>
          </w:p>
        </w:tc>
      </w:tr>
      <w:tr>
        <w:tc>
          <w:tcPr>
            <w:tcW w:type="dxa" w:w="5040"/>
            <w:vAlign w:val="center"/>
            <w:shd w:fill="E9F1EB"/>
          </w:tcPr>
          <w:p>
            <w:r/>
            <w:r>
              <w:rPr>
                <w:b/>
                <w:sz w:val="18"/>
              </w:rPr>
              <w:t>Report Due Date</w:t>
            </w:r>
          </w:p>
        </w:tc>
        <w:tc>
          <w:tcPr>
            <w:tcW w:type="dxa" w:w="5040"/>
            <w:vAlign w:val="center"/>
          </w:tcPr>
          <w:p>
            <w:r/>
            <w:r>
              <w:rPr>
                <w:b w:val="0"/>
                <w:sz w:val="18"/>
              </w:rPr>
              <w:t>August 31, 2027</w:t>
            </w:r>
          </w:p>
        </w:tc>
      </w:tr>
      <w:tr>
        <w:tc>
          <w:tcPr>
            <w:tcW w:type="dxa" w:w="5040"/>
            <w:vAlign w:val="center"/>
            <w:shd w:fill="E9F1EB"/>
          </w:tcPr>
          <w:p>
            <w:r/>
            <w:r>
              <w:rPr>
                <w:b/>
                <w:sz w:val="18"/>
              </w:rPr>
              <w:t>Prepared By</w:t>
            </w:r>
          </w:p>
        </w:tc>
        <w:tc>
          <w:tcPr>
            <w:tcW w:type="dxa" w:w="5040"/>
            <w:vAlign w:val="center"/>
          </w:tcPr>
          <w:p>
            <w:r/>
            <w:r>
              <w:rPr>
                <w:b w:val="0"/>
                <w:sz w:val="18"/>
              </w:rPr>
              <w:t>Casey Nguyen, Grants Lead</w:t>
            </w:r>
          </w:p>
        </w:tc>
      </w:tr>
      <w:tr>
        <w:tc>
          <w:tcPr>
            <w:tcW w:type="dxa" w:w="5040"/>
            <w:vAlign w:val="center"/>
            <w:shd w:fill="E9F1EB"/>
          </w:tcPr>
          <w:p>
            <w:r/>
            <w:r>
              <w:rPr>
                <w:b/>
                <w:sz w:val="18"/>
              </w:rPr>
              <w:t>Program Lead</w:t>
            </w:r>
          </w:p>
        </w:tc>
        <w:tc>
          <w:tcPr>
            <w:tcW w:type="dxa" w:w="5040"/>
            <w:vAlign w:val="center"/>
          </w:tcPr>
          <w:p>
            <w:r/>
            <w:r>
              <w:rPr>
                <w:b w:val="0"/>
                <w:sz w:val="18"/>
              </w:rPr>
              <w:t>Jordan Ellis, Interim Program Director</w:t>
            </w:r>
          </w:p>
        </w:tc>
      </w:tr>
    </w:tbl>
    <w:p/>
    <w:p>
      <w:pPr>
        <w:pStyle w:val="Heading1"/>
      </w:pPr>
      <w:r>
        <w:t>1. Executive Summary</w:t>
      </w:r>
    </w:p>
    <w:p>
      <w:r>
        <w:t>During the first six months of the grant period, BridgeWorks Family Services launched expanded housing-navigation services, added evening intake hours, formalized referral relationships with two legal-service partners, and increased outreach in the East Harbor District. Demand for emergency stabilization support was higher than anticipated, while housing placement activity was constrained by limited landlord participation and low vacancy rates.</w:t>
      </w:r>
    </w:p>
    <w:p>
      <w:r>
        <w:t>The program served 172 unduplicated households during the reporting period. Staff focused on rapid housing-stability assessment, benefits screening, landlord engagement, and individualized navigation. The team considers implementation generally on track but has identified landlord recruitment and data-quality consistency as priority areas for the next reporting period.</w:t>
      </w:r>
    </w:p>
    <w:p>
      <w:pPr>
        <w:pStyle w:val="Heading1"/>
      </w:pPr>
      <w:r>
        <w:t>2. Program Performance Metrics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DEADF"/>
          </w:tcPr>
          <w:p>
            <w:r/>
            <w:r>
              <w:rPr>
                <w:b/>
                <w:sz w:val="18"/>
              </w:rPr>
              <w:t>ID</w:t>
            </w:r>
          </w:p>
        </w:tc>
        <w:tc>
          <w:tcPr>
            <w:tcW w:type="dxa" w:w="1680"/>
            <w:vAlign w:val="center"/>
            <w:shd w:fill="DDEADF"/>
          </w:tcPr>
          <w:p>
            <w:r/>
            <w:r>
              <w:rPr>
                <w:b/>
                <w:sz w:val="18"/>
              </w:rPr>
              <w:t>Metric</w:t>
            </w:r>
          </w:p>
        </w:tc>
        <w:tc>
          <w:tcPr>
            <w:tcW w:type="dxa" w:w="1680"/>
            <w:vAlign w:val="center"/>
            <w:shd w:fill="DDEADF"/>
          </w:tcPr>
          <w:p>
            <w:r/>
            <w:r>
              <w:rPr>
                <w:b/>
                <w:sz w:val="18"/>
              </w:rPr>
              <w:t>Grant Target</w:t>
            </w:r>
          </w:p>
        </w:tc>
        <w:tc>
          <w:tcPr>
            <w:tcW w:type="dxa" w:w="1680"/>
            <w:vAlign w:val="center"/>
            <w:shd w:fill="DDEADF"/>
          </w:tcPr>
          <w:p>
            <w:r/>
            <w:r>
              <w:rPr>
                <w:b/>
                <w:sz w:val="18"/>
              </w:rPr>
              <w:t>Current Result</w:t>
            </w:r>
          </w:p>
        </w:tc>
        <w:tc>
          <w:tcPr>
            <w:tcW w:type="dxa" w:w="1680"/>
            <w:vAlign w:val="center"/>
            <w:shd w:fill="DDEADF"/>
          </w:tcPr>
          <w:p>
            <w:r/>
            <w:r>
              <w:rPr>
                <w:b/>
                <w:sz w:val="18"/>
              </w:rPr>
              <w:t>Status / Notes</w:t>
            </w:r>
          </w:p>
        </w:tc>
        <w:tc>
          <w:tcPr>
            <w:tcW w:type="dxa" w:w="1680"/>
            <w:vAlign w:val="center"/>
            <w:shd w:fill="DDEADF"/>
          </w:tcPr>
          <w:p>
            <w:r/>
            <w:r>
              <w:rPr>
                <w:b/>
                <w:sz w:val="18"/>
              </w:rPr>
              <w:t>Evidence Source</w:t>
            </w:r>
          </w:p>
        </w:tc>
      </w:tr>
      <w:tr>
        <w:tc>
          <w:tcPr>
            <w:tcW w:type="dxa" w:w="1680"/>
            <w:vAlign w:val="center"/>
          </w:tcPr>
          <w:p>
            <w:r/>
            <w:r>
              <w:rPr>
                <w:b w:val="0"/>
                <w:sz w:val="18"/>
              </w:rPr>
              <w:t>P1</w:t>
            </w:r>
          </w:p>
        </w:tc>
        <w:tc>
          <w:tcPr>
            <w:tcW w:type="dxa" w:w="1680"/>
            <w:vAlign w:val="center"/>
          </w:tcPr>
          <w:p>
            <w:r/>
            <w:r>
              <w:rPr>
                <w:b w:val="0"/>
                <w:sz w:val="18"/>
              </w:rPr>
              <w:t>Unduplicated households served</w:t>
            </w:r>
          </w:p>
        </w:tc>
        <w:tc>
          <w:tcPr>
            <w:tcW w:type="dxa" w:w="1680"/>
            <w:vAlign w:val="center"/>
          </w:tcPr>
          <w:p>
            <w:r/>
            <w:r>
              <w:rPr>
                <w:b w:val="0"/>
                <w:sz w:val="18"/>
              </w:rPr>
              <w:t>300 cumulative</w:t>
            </w:r>
          </w:p>
        </w:tc>
        <w:tc>
          <w:tcPr>
            <w:tcW w:type="dxa" w:w="1680"/>
            <w:vAlign w:val="center"/>
          </w:tcPr>
          <w:p>
            <w:r/>
            <w:r>
              <w:rPr>
                <w:b w:val="0"/>
                <w:sz w:val="18"/>
              </w:rPr>
              <w:t>172</w:t>
            </w:r>
          </w:p>
        </w:tc>
        <w:tc>
          <w:tcPr>
            <w:tcW w:type="dxa" w:w="1680"/>
            <w:vAlign w:val="center"/>
          </w:tcPr>
          <w:p>
            <w:r/>
            <w:r>
              <w:rPr>
                <w:b w:val="0"/>
                <w:sz w:val="18"/>
              </w:rPr>
              <w:t>Progressing</w:t>
            </w:r>
          </w:p>
        </w:tc>
        <w:tc>
          <w:tcPr>
            <w:tcW w:type="dxa" w:w="1680"/>
            <w:vAlign w:val="center"/>
          </w:tcPr>
          <w:p>
            <w:r/>
            <w:r>
              <w:rPr>
                <w:b w:val="0"/>
                <w:sz w:val="18"/>
              </w:rPr>
              <w:t>Case-management enrollment report</w:t>
            </w:r>
          </w:p>
        </w:tc>
      </w:tr>
      <w:tr>
        <w:tc>
          <w:tcPr>
            <w:tcW w:type="dxa" w:w="1680"/>
            <w:vAlign w:val="center"/>
          </w:tcPr>
          <w:p>
            <w:r/>
            <w:r>
              <w:rPr>
                <w:b w:val="0"/>
                <w:sz w:val="18"/>
              </w:rPr>
              <w:t>P2</w:t>
            </w:r>
          </w:p>
        </w:tc>
        <w:tc>
          <w:tcPr>
            <w:tcW w:type="dxa" w:w="1680"/>
            <w:vAlign w:val="center"/>
          </w:tcPr>
          <w:p>
            <w:r/>
            <w:r>
              <w:rPr>
                <w:b w:val="0"/>
                <w:sz w:val="18"/>
              </w:rPr>
              <w:t>Housing stability assessments completed</w:t>
            </w:r>
          </w:p>
        </w:tc>
        <w:tc>
          <w:tcPr>
            <w:tcW w:type="dxa" w:w="1680"/>
            <w:vAlign w:val="center"/>
          </w:tcPr>
          <w:p>
            <w:r/>
            <w:r>
              <w:rPr>
                <w:b w:val="0"/>
                <w:sz w:val="18"/>
              </w:rPr>
              <w:t>270 / 90%</w:t>
            </w:r>
          </w:p>
        </w:tc>
        <w:tc>
          <w:tcPr>
            <w:tcW w:type="dxa" w:w="1680"/>
            <w:vAlign w:val="center"/>
          </w:tcPr>
          <w:p>
            <w:r/>
            <w:r>
              <w:rPr>
                <w:b w:val="0"/>
                <w:sz w:val="18"/>
              </w:rPr>
              <w:t>158</w:t>
            </w:r>
          </w:p>
        </w:tc>
        <w:tc>
          <w:tcPr>
            <w:tcW w:type="dxa" w:w="1680"/>
            <w:vAlign w:val="center"/>
          </w:tcPr>
          <w:p>
            <w:r/>
            <w:r>
              <w:rPr>
                <w:b w:val="0"/>
                <w:sz w:val="18"/>
              </w:rPr>
              <w:t>92% of households served</w:t>
            </w:r>
          </w:p>
        </w:tc>
        <w:tc>
          <w:tcPr>
            <w:tcW w:type="dxa" w:w="1680"/>
            <w:vAlign w:val="center"/>
          </w:tcPr>
          <w:p>
            <w:r/>
            <w:r>
              <w:rPr>
                <w:b w:val="0"/>
                <w:sz w:val="18"/>
              </w:rPr>
              <w:t>Completed assessment records</w:t>
            </w:r>
          </w:p>
        </w:tc>
      </w:tr>
      <w:tr>
        <w:tc>
          <w:tcPr>
            <w:tcW w:type="dxa" w:w="1680"/>
            <w:vAlign w:val="center"/>
          </w:tcPr>
          <w:p>
            <w:r/>
            <w:r>
              <w:rPr>
                <w:b w:val="0"/>
                <w:sz w:val="18"/>
              </w:rPr>
              <w:t>P3</w:t>
            </w:r>
          </w:p>
        </w:tc>
        <w:tc>
          <w:tcPr>
            <w:tcW w:type="dxa" w:w="1680"/>
            <w:vAlign w:val="center"/>
          </w:tcPr>
          <w:p>
            <w:r/>
            <w:r>
              <w:rPr>
                <w:b w:val="0"/>
                <w:sz w:val="18"/>
              </w:rPr>
              <w:t>Households placed into stable housing</w:t>
            </w:r>
          </w:p>
        </w:tc>
        <w:tc>
          <w:tcPr>
            <w:tcW w:type="dxa" w:w="1680"/>
            <w:vAlign w:val="center"/>
          </w:tcPr>
          <w:p>
            <w:r/>
            <w:r>
              <w:rPr>
                <w:b w:val="0"/>
                <w:sz w:val="18"/>
              </w:rPr>
              <w:t>180 / 60%</w:t>
            </w:r>
          </w:p>
        </w:tc>
        <w:tc>
          <w:tcPr>
            <w:tcW w:type="dxa" w:w="1680"/>
            <w:vAlign w:val="center"/>
          </w:tcPr>
          <w:p>
            <w:r/>
            <w:r>
              <w:rPr>
                <w:b w:val="0"/>
                <w:sz w:val="18"/>
              </w:rPr>
              <w:t>98</w:t>
            </w:r>
          </w:p>
        </w:tc>
        <w:tc>
          <w:tcPr>
            <w:tcW w:type="dxa" w:w="1680"/>
            <w:vAlign w:val="center"/>
          </w:tcPr>
          <w:p>
            <w:r/>
            <w:r>
              <w:rPr>
                <w:b w:val="0"/>
                <w:sz w:val="18"/>
              </w:rPr>
              <w:t>57% of households served</w:t>
            </w:r>
          </w:p>
        </w:tc>
        <w:tc>
          <w:tcPr>
            <w:tcW w:type="dxa" w:w="1680"/>
            <w:vAlign w:val="center"/>
          </w:tcPr>
          <w:p>
            <w:r/>
            <w:r>
              <w:rPr>
                <w:b w:val="0"/>
                <w:sz w:val="18"/>
              </w:rPr>
              <w:t>Verified placement records</w:t>
            </w:r>
          </w:p>
        </w:tc>
      </w:tr>
      <w:tr>
        <w:tc>
          <w:tcPr>
            <w:tcW w:type="dxa" w:w="1680"/>
            <w:vAlign w:val="center"/>
          </w:tcPr>
          <w:p>
            <w:r/>
            <w:r>
              <w:rPr>
                <w:b w:val="0"/>
                <w:sz w:val="18"/>
              </w:rPr>
              <w:t>P4</w:t>
            </w:r>
          </w:p>
        </w:tc>
        <w:tc>
          <w:tcPr>
            <w:tcW w:type="dxa" w:w="1680"/>
            <w:vAlign w:val="center"/>
          </w:tcPr>
          <w:p>
            <w:r/>
            <w:r>
              <w:rPr>
                <w:b w:val="0"/>
                <w:sz w:val="18"/>
              </w:rPr>
              <w:t>Placed households stably housed at 120 days</w:t>
            </w:r>
          </w:p>
        </w:tc>
        <w:tc>
          <w:tcPr>
            <w:tcW w:type="dxa" w:w="1680"/>
            <w:vAlign w:val="center"/>
          </w:tcPr>
          <w:p>
            <w:r/>
            <w:r>
              <w:rPr>
                <w:b w:val="0"/>
                <w:sz w:val="18"/>
              </w:rPr>
              <w:t>80% of placed households</w:t>
            </w:r>
          </w:p>
        </w:tc>
        <w:tc>
          <w:tcPr>
            <w:tcW w:type="dxa" w:w="1680"/>
            <w:vAlign w:val="center"/>
          </w:tcPr>
          <w:p>
            <w:r/>
            <w:r>
              <w:rPr>
                <w:b w:val="0"/>
                <w:sz w:val="18"/>
              </w:rPr>
              <w:t>40 of 49 eligible households</w:t>
            </w:r>
          </w:p>
        </w:tc>
        <w:tc>
          <w:tcPr>
            <w:tcW w:type="dxa" w:w="1680"/>
            <w:vAlign w:val="center"/>
          </w:tcPr>
          <w:p>
            <w:r/>
            <w:r>
              <w:rPr>
                <w:b w:val="0"/>
                <w:sz w:val="18"/>
              </w:rPr>
              <w:t>81.6% of eligible cohort</w:t>
            </w:r>
          </w:p>
        </w:tc>
        <w:tc>
          <w:tcPr>
            <w:tcW w:type="dxa" w:w="1680"/>
            <w:vAlign w:val="center"/>
          </w:tcPr>
          <w:p>
            <w:r/>
            <w:r>
              <w:rPr>
                <w:b w:val="0"/>
                <w:sz w:val="18"/>
              </w:rPr>
              <w:t>120-day follow-up records</w:t>
            </w:r>
          </w:p>
        </w:tc>
      </w:tr>
      <w:tr>
        <w:tc>
          <w:tcPr>
            <w:tcW w:type="dxa" w:w="1680"/>
            <w:vAlign w:val="center"/>
          </w:tcPr>
          <w:p>
            <w:r/>
            <w:r>
              <w:rPr>
                <w:b w:val="0"/>
                <w:sz w:val="18"/>
              </w:rPr>
              <w:t>P5</w:t>
            </w:r>
          </w:p>
        </w:tc>
        <w:tc>
          <w:tcPr>
            <w:tcW w:type="dxa" w:w="1680"/>
            <w:vAlign w:val="center"/>
          </w:tcPr>
          <w:p>
            <w:r/>
            <w:r>
              <w:rPr>
                <w:b w:val="0"/>
                <w:sz w:val="18"/>
              </w:rPr>
              <w:t>Households receiving benefits screening</w:t>
            </w:r>
          </w:p>
        </w:tc>
        <w:tc>
          <w:tcPr>
            <w:tcW w:type="dxa" w:w="1680"/>
            <w:vAlign w:val="center"/>
          </w:tcPr>
          <w:p>
            <w:r/>
            <w:r>
              <w:rPr>
                <w:b w:val="0"/>
                <w:sz w:val="18"/>
              </w:rPr>
              <w:t>240</w:t>
            </w:r>
          </w:p>
        </w:tc>
        <w:tc>
          <w:tcPr>
            <w:tcW w:type="dxa" w:w="1680"/>
            <w:vAlign w:val="center"/>
          </w:tcPr>
          <w:p>
            <w:r/>
            <w:r>
              <w:rPr>
                <w:b w:val="0"/>
                <w:sz w:val="18"/>
              </w:rPr>
              <w:t>139</w:t>
            </w:r>
          </w:p>
        </w:tc>
        <w:tc>
          <w:tcPr>
            <w:tcW w:type="dxa" w:w="1680"/>
            <w:vAlign w:val="center"/>
          </w:tcPr>
          <w:p>
            <w:r/>
            <w:r>
              <w:rPr>
                <w:b w:val="0"/>
                <w:sz w:val="18"/>
              </w:rPr>
              <w:t>81% of households served</w:t>
            </w:r>
          </w:p>
        </w:tc>
        <w:tc>
          <w:tcPr>
            <w:tcW w:type="dxa" w:w="1680"/>
            <w:vAlign w:val="center"/>
          </w:tcPr>
          <w:p>
            <w:r/>
            <w:r>
              <w:rPr>
                <w:b w:val="0"/>
                <w:sz w:val="18"/>
              </w:rPr>
              <w:t>Benefits-screening checklist</w:t>
            </w:r>
          </w:p>
        </w:tc>
      </w:tr>
      <w:tr>
        <w:tc>
          <w:tcPr>
            <w:tcW w:type="dxa" w:w="1680"/>
            <w:vAlign w:val="center"/>
          </w:tcPr>
          <w:p>
            <w:r/>
            <w:r>
              <w:rPr>
                <w:b w:val="0"/>
                <w:sz w:val="18"/>
              </w:rPr>
              <w:t>P6</w:t>
            </w:r>
          </w:p>
        </w:tc>
        <w:tc>
          <w:tcPr>
            <w:tcW w:type="dxa" w:w="1680"/>
            <w:vAlign w:val="center"/>
          </w:tcPr>
          <w:p>
            <w:r/>
            <w:r>
              <w:rPr>
                <w:b w:val="0"/>
                <w:sz w:val="18"/>
              </w:rPr>
              <w:t>Average client satisfaction</w:t>
            </w:r>
          </w:p>
        </w:tc>
        <w:tc>
          <w:tcPr>
            <w:tcW w:type="dxa" w:w="1680"/>
            <w:vAlign w:val="center"/>
          </w:tcPr>
          <w:p>
            <w:r/>
            <w:r>
              <w:rPr>
                <w:b w:val="0"/>
                <w:sz w:val="18"/>
              </w:rPr>
              <w:t>≥4.3 / 5.0</w:t>
            </w:r>
          </w:p>
        </w:tc>
        <w:tc>
          <w:tcPr>
            <w:tcW w:type="dxa" w:w="1680"/>
            <w:vAlign w:val="center"/>
          </w:tcPr>
          <w:p>
            <w:r/>
            <w:r>
              <w:rPr>
                <w:b w:val="0"/>
                <w:sz w:val="18"/>
              </w:rPr>
              <w:t>Not yet finalized</w:t>
            </w:r>
          </w:p>
        </w:tc>
        <w:tc>
          <w:tcPr>
            <w:tcW w:type="dxa" w:w="1680"/>
            <w:vAlign w:val="center"/>
          </w:tcPr>
          <w:p>
            <w:r/>
            <w:r>
              <w:rPr>
                <w:b w:val="0"/>
                <w:sz w:val="18"/>
              </w:rPr>
              <w:t>Survey dataset still under validation</w:t>
            </w:r>
          </w:p>
        </w:tc>
        <w:tc>
          <w:tcPr>
            <w:tcW w:type="dxa" w:w="1680"/>
            <w:vAlign w:val="center"/>
          </w:tcPr>
          <w:p>
            <w:r/>
            <w:r>
              <w:rPr>
                <w:b w:val="0"/>
                <w:sz w:val="18"/>
              </w:rPr>
              <w:t>Client survey platform</w:t>
            </w:r>
          </w:p>
        </w:tc>
      </w:tr>
    </w:tbl>
    <w:p/>
    <w:p>
      <w:pPr>
        <w:pStyle w:val="Heading1"/>
      </w:pPr>
      <w:r>
        <w:t>3. Major Activities Completed</w:t>
      </w:r>
    </w:p>
    <w:p>
      <w:pPr>
        <w:pStyle w:val="ListBullet"/>
      </w:pPr>
      <w:r>
        <w:t>Expanded housing-navigation intake from three to five days per week and added two evening intake blocks each month.</w:t>
      </w:r>
    </w:p>
    <w:p>
      <w:pPr>
        <w:pStyle w:val="ListBullet"/>
      </w:pPr>
      <w:r>
        <w:t>Implemented a standardized housing stability assessment and completed 160 assessments during the reporting period.</w:t>
      </w:r>
    </w:p>
    <w:p>
      <w:pPr>
        <w:pStyle w:val="ListBullet"/>
      </w:pPr>
      <w:r>
        <w:t>Established referral pathways with Community Legal Clinic and Benefits Access Partners for eviction prevention, benefits screening, and related legal support.</w:t>
      </w:r>
    </w:p>
    <w:p>
      <w:pPr>
        <w:pStyle w:val="ListBullet"/>
      </w:pPr>
      <w:r>
        <w:t>Conducted four landlord-engagement sessions and added 11 landlords/property managers to the program referral network.</w:t>
      </w:r>
    </w:p>
    <w:p>
      <w:pPr>
        <w:pStyle w:val="ListBullet"/>
      </w:pPr>
      <w:r>
        <w:t>Distributed short-term housing stabilization assistance, including security deposits, utility arrears support, transit assistance, and move-in support, where program criteria were met.</w:t>
      </w:r>
    </w:p>
    <w:p>
      <w:pPr>
        <w:pStyle w:val="ListBullet"/>
      </w:pPr>
      <w:r>
        <w:t>Completed a baseline data-quality review with the external evaluator and began correcting inconsistent service coding in historical records.</w:t>
      </w:r>
    </w:p>
    <w:p>
      <w:pPr>
        <w:pStyle w:val="Heading1"/>
      </w:pPr>
      <w:r>
        <w:t>4. Challenges, Risks, and Corrective Actions</w:t>
      </w:r>
    </w:p>
    <w:p>
      <w:pPr>
        <w:pStyle w:val="Heading2"/>
      </w:pPr>
      <w:r>
        <w:t>Housing availability and landlord participation</w:t>
      </w:r>
    </w:p>
    <w:p>
      <w:r>
        <w:t>Low vacancy rates and landlord screening requirements delayed some placements. Seventeen households that had completed housing navigation remained placement-ready for more than 30 days at the end of July. BridgeWorks responded by adding landlord outreach, expanding search geography, and using flexible stabilization support where permitted.</w:t>
      </w:r>
    </w:p>
    <w:p>
      <w:pPr>
        <w:pStyle w:val="Heading2"/>
      </w:pPr>
      <w:r>
        <w:t>Program staffing change</w:t>
      </w:r>
    </w:p>
    <w:p>
      <w:r>
        <w:t>The Program Director resigned effective June 10, 2027. BridgeWorks notified Northstar Community Fund of the leadership change on June 14, 2027. Jordan Ellis was appointed Interim Program Director effective June 15, 2027. No interruption in participant services occurred, and the organization began recruitment for a permanent Program Director in July.</w:t>
      </w:r>
    </w:p>
    <w:p>
      <w:pPr>
        <w:pStyle w:val="Heading2"/>
      </w:pPr>
      <w:r>
        <w:t>Data quality</w:t>
      </w:r>
    </w:p>
    <w:p>
      <w:r>
        <w:t>The baseline review found inconsistent coding of assessment completion dates for a small number of records. Staff began a record-level validation process and revised the data-entry checklist. The satisfaction-survey dataset remains under validation and is therefore not being reported as a confirmed result for this period.</w:t>
      </w:r>
    </w:p>
    <w:p>
      <w:pPr>
        <w:pStyle w:val="Heading1"/>
      </w:pPr>
      <w:r>
        <w:t>5. Illustrative Participant Outcome</w:t>
      </w:r>
    </w:p>
    <w:p>
      <w:r>
        <w:t>One participating household, referred to here as Client A, entered the program after receiving a notice that its temporary housing arrangement would end within several weeks. Program staff completed a housing-stability assessment, helped the household complete benefits screening, coordinated with a legal-services partner, and supported a successful move into stable rental housing. The household remained housed at the most recent follow-up. This example is de-identified and does not include personally identifiable information.</w:t>
      </w:r>
    </w:p>
    <w:p>
      <w:pPr>
        <w:pStyle w:val="Heading1"/>
      </w:pPr>
      <w:r>
        <w:t>6. Matching Funds and Cross-Team Coordination</w:t>
      </w:r>
    </w:p>
    <w:p>
      <w:r>
        <w:t>Finance has documented $18,000 in eligible non-Fund cash contributions supporting the program through July 31, 2027. Match reporting is not required until Interim Report 2, but the Grants and Finance teams are tracking progress monthly to reduce closeout risk.</w:t>
      </w:r>
    </w:p>
    <w:p>
      <w:r>
        <w:t>The Grants team requested confirmation from Finance regarding several emergency-assistance transactions that require supporting documentation and, where applicable, Program Director approval. Those items will be resolved before the financial report is finalized.</w:t>
      </w:r>
    </w:p>
    <w:p>
      <w:pPr>
        <w:pStyle w:val="Heading1"/>
      </w:pPr>
      <w:r>
        <w:t>7. Evidence Available for This Reporting Period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DEADF"/>
          </w:tcPr>
          <w:p>
            <w:r/>
            <w:r>
              <w:rPr>
                <w:b/>
                <w:sz w:val="18"/>
              </w:rPr>
              <w:t>Evidence Item</w:t>
            </w:r>
          </w:p>
        </w:tc>
        <w:tc>
          <w:tcPr>
            <w:tcW w:type="dxa" w:w="2520"/>
            <w:vAlign w:val="center"/>
            <w:shd w:fill="DDEADF"/>
          </w:tcPr>
          <w:p>
            <w:r/>
            <w:r>
              <w:rPr>
                <w:b/>
                <w:sz w:val="18"/>
              </w:rPr>
              <w:t>Available?</w:t>
            </w:r>
          </w:p>
        </w:tc>
        <w:tc>
          <w:tcPr>
            <w:tcW w:type="dxa" w:w="2520"/>
            <w:vAlign w:val="center"/>
            <w:shd w:fill="DDEADF"/>
          </w:tcPr>
          <w:p>
            <w:r/>
            <w:r>
              <w:rPr>
                <w:b/>
                <w:sz w:val="18"/>
              </w:rPr>
              <w:t>Owner</w:t>
            </w:r>
          </w:p>
        </w:tc>
        <w:tc>
          <w:tcPr>
            <w:tcW w:type="dxa" w:w="2520"/>
            <w:vAlign w:val="center"/>
            <w:shd w:fill="DDEADF"/>
          </w:tcPr>
          <w:p>
            <w:r/>
            <w:r>
              <w:rPr>
                <w:b/>
                <w:sz w:val="18"/>
              </w:rPr>
              <w:t>Notes</w:t>
            </w:r>
          </w:p>
        </w:tc>
      </w:tr>
      <w:tr>
        <w:tc>
          <w:tcPr>
            <w:tcW w:type="dxa" w:w="2520"/>
            <w:vAlign w:val="center"/>
          </w:tcPr>
          <w:p>
            <w:r/>
            <w:r>
              <w:rPr>
                <w:b w:val="0"/>
                <w:sz w:val="18"/>
              </w:rPr>
              <w:t>Case-management enrollment report</w:t>
            </w:r>
          </w:p>
        </w:tc>
        <w:tc>
          <w:tcPr>
            <w:tcW w:type="dxa" w:w="2520"/>
            <w:vAlign w:val="center"/>
          </w:tcPr>
          <w:p>
            <w:r/>
            <w:r>
              <w:rPr>
                <w:b w:val="0"/>
                <w:sz w:val="18"/>
              </w:rPr>
              <w:t>Yes</w:t>
            </w:r>
          </w:p>
        </w:tc>
        <w:tc>
          <w:tcPr>
            <w:tcW w:type="dxa" w:w="2520"/>
            <w:vAlign w:val="center"/>
          </w:tcPr>
          <w:p>
            <w:r/>
            <w:r>
              <w:rPr>
                <w:b w:val="0"/>
                <w:sz w:val="18"/>
              </w:rPr>
              <w:t>Program</w:t>
            </w:r>
          </w:p>
        </w:tc>
        <w:tc>
          <w:tcPr>
            <w:tcW w:type="dxa" w:w="2520"/>
            <w:vAlign w:val="center"/>
          </w:tcPr>
          <w:p>
            <w:r/>
            <w:r>
              <w:rPr>
                <w:b w:val="0"/>
                <w:sz w:val="18"/>
              </w:rPr>
              <w:t>Supports unduplicated household count</w:t>
            </w:r>
          </w:p>
        </w:tc>
      </w:tr>
      <w:tr>
        <w:tc>
          <w:tcPr>
            <w:tcW w:type="dxa" w:w="2520"/>
            <w:vAlign w:val="center"/>
          </w:tcPr>
          <w:p>
            <w:r/>
            <w:r>
              <w:rPr>
                <w:b w:val="0"/>
                <w:sz w:val="18"/>
              </w:rPr>
              <w:t>Housing stability assessment records</w:t>
            </w:r>
          </w:p>
        </w:tc>
        <w:tc>
          <w:tcPr>
            <w:tcW w:type="dxa" w:w="2520"/>
            <w:vAlign w:val="center"/>
          </w:tcPr>
          <w:p>
            <w:r/>
            <w:r>
              <w:rPr>
                <w:b w:val="0"/>
                <w:sz w:val="18"/>
              </w:rPr>
              <w:t>Yes</w:t>
            </w:r>
          </w:p>
        </w:tc>
        <w:tc>
          <w:tcPr>
            <w:tcW w:type="dxa" w:w="2520"/>
            <w:vAlign w:val="center"/>
          </w:tcPr>
          <w:p>
            <w:r/>
            <w:r>
              <w:rPr>
                <w:b w:val="0"/>
                <w:sz w:val="18"/>
              </w:rPr>
              <w:t>Program</w:t>
            </w:r>
          </w:p>
        </w:tc>
        <w:tc>
          <w:tcPr>
            <w:tcW w:type="dxa" w:w="2520"/>
            <w:vAlign w:val="center"/>
          </w:tcPr>
          <w:p>
            <w:r/>
            <w:r>
              <w:rPr>
                <w:b w:val="0"/>
                <w:sz w:val="18"/>
              </w:rPr>
              <w:t>Assessment records available for validation</w:t>
            </w:r>
          </w:p>
        </w:tc>
      </w:tr>
      <w:tr>
        <w:tc>
          <w:tcPr>
            <w:tcW w:type="dxa" w:w="2520"/>
            <w:vAlign w:val="center"/>
          </w:tcPr>
          <w:p>
            <w:r/>
            <w:r>
              <w:rPr>
                <w:b w:val="0"/>
                <w:sz w:val="18"/>
              </w:rPr>
              <w:t>Placement verification records</w:t>
            </w:r>
          </w:p>
        </w:tc>
        <w:tc>
          <w:tcPr>
            <w:tcW w:type="dxa" w:w="2520"/>
            <w:vAlign w:val="center"/>
          </w:tcPr>
          <w:p>
            <w:r/>
            <w:r>
              <w:rPr>
                <w:b w:val="0"/>
                <w:sz w:val="18"/>
              </w:rPr>
              <w:t>Yes</w:t>
            </w:r>
          </w:p>
        </w:tc>
        <w:tc>
          <w:tcPr>
            <w:tcW w:type="dxa" w:w="2520"/>
            <w:vAlign w:val="center"/>
          </w:tcPr>
          <w:p>
            <w:r/>
            <w:r>
              <w:rPr>
                <w:b w:val="0"/>
                <w:sz w:val="18"/>
              </w:rPr>
              <w:t>Program</w:t>
            </w:r>
          </w:p>
        </w:tc>
        <w:tc>
          <w:tcPr>
            <w:tcW w:type="dxa" w:w="2520"/>
            <w:vAlign w:val="center"/>
          </w:tcPr>
          <w:p>
            <w:r/>
            <w:r>
              <w:rPr>
                <w:b w:val="0"/>
                <w:sz w:val="18"/>
              </w:rPr>
              <w:t>Lease/landlord/placement confirmations maintained in program files</w:t>
            </w:r>
          </w:p>
        </w:tc>
      </w:tr>
      <w:tr>
        <w:tc>
          <w:tcPr>
            <w:tcW w:type="dxa" w:w="2520"/>
            <w:vAlign w:val="center"/>
          </w:tcPr>
          <w:p>
            <w:r/>
            <w:r>
              <w:rPr>
                <w:b w:val="0"/>
                <w:sz w:val="18"/>
              </w:rPr>
              <w:t>120-day follow-up records</w:t>
            </w:r>
          </w:p>
        </w:tc>
        <w:tc>
          <w:tcPr>
            <w:tcW w:type="dxa" w:w="2520"/>
            <w:vAlign w:val="center"/>
          </w:tcPr>
          <w:p>
            <w:r/>
            <w:r>
              <w:rPr>
                <w:b w:val="0"/>
                <w:sz w:val="18"/>
              </w:rPr>
              <w:t>Yes</w:t>
            </w:r>
          </w:p>
        </w:tc>
        <w:tc>
          <w:tcPr>
            <w:tcW w:type="dxa" w:w="2520"/>
            <w:vAlign w:val="center"/>
          </w:tcPr>
          <w:p>
            <w:r/>
            <w:r>
              <w:rPr>
                <w:b w:val="0"/>
                <w:sz w:val="18"/>
              </w:rPr>
              <w:t>Program</w:t>
            </w:r>
          </w:p>
        </w:tc>
        <w:tc>
          <w:tcPr>
            <w:tcW w:type="dxa" w:w="2520"/>
            <w:vAlign w:val="center"/>
          </w:tcPr>
          <w:p>
            <w:r/>
            <w:r>
              <w:rPr>
                <w:b w:val="0"/>
                <w:sz w:val="18"/>
              </w:rPr>
              <w:t>Supports eligible retention cohort</w:t>
            </w:r>
          </w:p>
        </w:tc>
      </w:tr>
      <w:tr>
        <w:tc>
          <w:tcPr>
            <w:tcW w:type="dxa" w:w="2520"/>
            <w:vAlign w:val="center"/>
          </w:tcPr>
          <w:p>
            <w:r/>
            <w:r>
              <w:rPr>
                <w:b w:val="0"/>
                <w:sz w:val="18"/>
              </w:rPr>
              <w:t>Benefits-screening checklists</w:t>
            </w:r>
          </w:p>
        </w:tc>
        <w:tc>
          <w:tcPr>
            <w:tcW w:type="dxa" w:w="2520"/>
            <w:vAlign w:val="center"/>
          </w:tcPr>
          <w:p>
            <w:r/>
            <w:r>
              <w:rPr>
                <w:b w:val="0"/>
                <w:sz w:val="18"/>
              </w:rPr>
              <w:t>Yes</w:t>
            </w:r>
          </w:p>
        </w:tc>
        <w:tc>
          <w:tcPr>
            <w:tcW w:type="dxa" w:w="2520"/>
            <w:vAlign w:val="center"/>
          </w:tcPr>
          <w:p>
            <w:r/>
            <w:r>
              <w:rPr>
                <w:b w:val="0"/>
                <w:sz w:val="18"/>
              </w:rPr>
              <w:t>Program</w:t>
            </w:r>
          </w:p>
        </w:tc>
        <w:tc>
          <w:tcPr>
            <w:tcW w:type="dxa" w:w="2520"/>
            <w:vAlign w:val="center"/>
          </w:tcPr>
          <w:p>
            <w:r/>
            <w:r>
              <w:rPr>
                <w:b w:val="0"/>
                <w:sz w:val="18"/>
              </w:rPr>
              <w:t>Supports benefits-screening count</w:t>
            </w:r>
          </w:p>
        </w:tc>
      </w:tr>
      <w:tr>
        <w:tc>
          <w:tcPr>
            <w:tcW w:type="dxa" w:w="2520"/>
            <w:vAlign w:val="center"/>
          </w:tcPr>
          <w:p>
            <w:r/>
            <w:r>
              <w:rPr>
                <w:b w:val="0"/>
                <w:sz w:val="18"/>
              </w:rPr>
              <w:t>Client satisfaction survey export</w:t>
            </w:r>
          </w:p>
        </w:tc>
        <w:tc>
          <w:tcPr>
            <w:tcW w:type="dxa" w:w="2520"/>
            <w:vAlign w:val="center"/>
          </w:tcPr>
          <w:p>
            <w:r/>
            <w:r>
              <w:rPr>
                <w:b w:val="0"/>
                <w:sz w:val="18"/>
              </w:rPr>
              <w:t>Pending</w:t>
            </w:r>
          </w:p>
        </w:tc>
        <w:tc>
          <w:tcPr>
            <w:tcW w:type="dxa" w:w="2520"/>
            <w:vAlign w:val="center"/>
          </w:tcPr>
          <w:p>
            <w:r/>
            <w:r>
              <w:rPr>
                <w:b w:val="0"/>
                <w:sz w:val="18"/>
              </w:rPr>
              <w:t>Program / Data</w:t>
            </w:r>
          </w:p>
        </w:tc>
        <w:tc>
          <w:tcPr>
            <w:tcW w:type="dxa" w:w="2520"/>
            <w:vAlign w:val="center"/>
          </w:tcPr>
          <w:p>
            <w:r/>
            <w:r>
              <w:rPr>
                <w:b w:val="0"/>
                <w:sz w:val="18"/>
              </w:rPr>
              <w:t>Dataset still under validation</w:t>
            </w:r>
          </w:p>
        </w:tc>
      </w:tr>
      <w:tr>
        <w:tc>
          <w:tcPr>
            <w:tcW w:type="dxa" w:w="2520"/>
            <w:vAlign w:val="center"/>
          </w:tcPr>
          <w:p>
            <w:r/>
            <w:r>
              <w:rPr>
                <w:b w:val="0"/>
                <w:sz w:val="18"/>
              </w:rPr>
              <w:t>Leadership-change notification email</w:t>
            </w:r>
          </w:p>
        </w:tc>
        <w:tc>
          <w:tcPr>
            <w:tcW w:type="dxa" w:w="2520"/>
            <w:vAlign w:val="center"/>
          </w:tcPr>
          <w:p>
            <w:r/>
            <w:r>
              <w:rPr>
                <w:b w:val="0"/>
                <w:sz w:val="18"/>
              </w:rPr>
              <w:t>Yes</w:t>
            </w:r>
          </w:p>
        </w:tc>
        <w:tc>
          <w:tcPr>
            <w:tcW w:type="dxa" w:w="2520"/>
            <w:vAlign w:val="center"/>
          </w:tcPr>
          <w:p>
            <w:r/>
            <w:r>
              <w:rPr>
                <w:b w:val="0"/>
                <w:sz w:val="18"/>
              </w:rPr>
              <w:t>Grants</w:t>
            </w:r>
          </w:p>
        </w:tc>
        <w:tc>
          <w:tcPr>
            <w:tcW w:type="dxa" w:w="2520"/>
            <w:vAlign w:val="center"/>
          </w:tcPr>
          <w:p>
            <w:r/>
            <w:r>
              <w:rPr>
                <w:b w:val="0"/>
                <w:sz w:val="18"/>
              </w:rPr>
              <w:t>Notice sent to funder June 14, 2027</w:t>
            </w:r>
          </w:p>
        </w:tc>
      </w:tr>
      <w:tr>
        <w:tc>
          <w:tcPr>
            <w:tcW w:type="dxa" w:w="2520"/>
            <w:vAlign w:val="center"/>
          </w:tcPr>
          <w:p>
            <w:r/>
            <w:r>
              <w:rPr>
                <w:b w:val="0"/>
                <w:sz w:val="18"/>
              </w:rPr>
              <w:t>Supporting approvals for assistance above $1,500</w:t>
            </w:r>
          </w:p>
        </w:tc>
        <w:tc>
          <w:tcPr>
            <w:tcW w:type="dxa" w:w="2520"/>
            <w:vAlign w:val="center"/>
          </w:tcPr>
          <w:p>
            <w:r/>
            <w:r>
              <w:rPr>
                <w:b w:val="0"/>
                <w:sz w:val="18"/>
              </w:rPr>
              <w:t>Partial</w:t>
            </w:r>
          </w:p>
        </w:tc>
        <w:tc>
          <w:tcPr>
            <w:tcW w:type="dxa" w:w="2520"/>
            <w:vAlign w:val="center"/>
          </w:tcPr>
          <w:p>
            <w:r/>
            <w:r>
              <w:rPr>
                <w:b w:val="0"/>
                <w:sz w:val="18"/>
              </w:rPr>
              <w:t>Program / Finance</w:t>
            </w:r>
          </w:p>
        </w:tc>
        <w:tc>
          <w:tcPr>
            <w:tcW w:type="dxa" w:w="2520"/>
            <w:vAlign w:val="center"/>
          </w:tcPr>
          <w:p>
            <w:r/>
            <w:r>
              <w:rPr>
                <w:b w:val="0"/>
                <w:sz w:val="18"/>
              </w:rPr>
              <w:t>Some approvals still being collected</w:t>
            </w:r>
          </w:p>
        </w:tc>
      </w:tr>
    </w:tbl>
    <w:p/>
    <w:p>
      <w:pPr>
        <w:pStyle w:val="Heading1"/>
      </w:pPr>
      <w:r>
        <w:t>8. Priorities for the Next Reporting Period</w:t>
      </w:r>
    </w:p>
    <w:p>
      <w:pPr>
        <w:pStyle w:val="ListBullet"/>
      </w:pPr>
      <w:r>
        <w:t>Increase landlord recruitment and reduce time from assessment completion to housing placement.</w:t>
      </w:r>
    </w:p>
    <w:p>
      <w:pPr>
        <w:pStyle w:val="ListBullet"/>
      </w:pPr>
      <w:r>
        <w:t>Complete validation of the client satisfaction dataset and begin routine monthly survey-quality checks.</w:t>
      </w:r>
    </w:p>
    <w:p>
      <w:pPr>
        <w:pStyle w:val="ListBullet"/>
      </w:pPr>
      <w:r>
        <w:t>Complete recruitment for the permanent Program Director role.</w:t>
      </w:r>
    </w:p>
    <w:p>
      <w:pPr>
        <w:pStyle w:val="ListBullet"/>
      </w:pPr>
      <w:r>
        <w:t>Resolve remaining supporting-documentation gaps for emergency client assistance.</w:t>
      </w:r>
    </w:p>
    <w:p>
      <w:pPr>
        <w:pStyle w:val="ListBullet"/>
      </w:pPr>
      <w:r>
        <w:t>Continue monitoring cash-match progress and maintain monthly coordination between Grants, Finance, and Program.</w:t>
      </w:r>
    </w:p>
    <w:p>
      <w:pPr>
        <w:pStyle w:val="Heading1"/>
      </w:pPr>
      <w:r>
        <w:t>9. Internal Review Note</w:t>
      </w:r>
    </w:p>
    <w:p>
      <w:r>
        <w:t>This program update is an internal source document prepared for compilation of Interim Report 1. It has not been submitted to the funder. Financial amounts should be taken from the approved accounting source, not from this narrative document. Program metrics should be validated against the evidence sources listed above before final submission.</w:t>
      </w:r>
    </w:p>
    <w:p>
      <w:pPr>
        <w:jc w:val="center"/>
      </w:pPr>
      <w:r>
        <w:rPr>
          <w:b/>
          <w:sz w:val="18"/>
        </w:rPr>
        <w:t>END OF SYNTHETIC PROGRAM UPDATE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BridgeWorks Family Services | Northstar Community Fund | Award NCF-27-118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SYNTHETIC TEST DOCUMENT — NOT A REAL PROGRAM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