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color w:val="1f3864"/>
          <w:sz w:val="32"/>
          <w:szCs w:val="32"/>
          <w:rtl w:val="0"/>
        </w:rPr>
        <w:t xml:space="preserve">MEMORANDUM</w:t>
      </w:r>
      <w:r w:rsidDel="00000000" w:rsidR="00000000" w:rsidRPr="00000000">
        <w:rPr>
          <w:rtl w:val="0"/>
        </w:rPr>
      </w:r>
    </w:p>
    <w:p w:rsidR="00000000" w:rsidDel="00000000" w:rsidP="00000000" w:rsidRDefault="00000000" w:rsidRPr="00000000" w14:paraId="00000002">
      <w:pPr>
        <w:pBdr>
          <w:bottom w:color="999999" w:space="0" w:sz="6" w:val="single"/>
        </w:pBdr>
        <w:spacing w:after="200" w:lineRule="auto"/>
        <w:rPr/>
      </w:pP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Calibri" w:cs="Calibri" w:eastAsia="Calibri" w:hAnsi="Calibri"/>
          <w:b w:val="1"/>
          <w:bCs w:val="1"/>
          <w:sz w:val="21"/>
          <w:szCs w:val="21"/>
          <w:rtl w:val="0"/>
        </w:rPr>
        <w:t xml:space="preserve">To: </w:t>
      </w:r>
      <w:r w:rsidDel="00000000" w:rsidR="00000000" w:rsidRPr="00000000">
        <w:rPr>
          <w:rFonts w:ascii="Calibri" w:cs="Calibri" w:eastAsia="Calibri" w:hAnsi="Calibri"/>
          <w:sz w:val="21"/>
          <w:szCs w:val="21"/>
          <w:rtl w:val="0"/>
        </w:rPr>
        <w:t xml:space="preserve">Jonathan Dang</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rFonts w:ascii="Calibri" w:cs="Calibri" w:eastAsia="Calibri" w:hAnsi="Calibri"/>
          <w:b w:val="1"/>
          <w:bCs w:val="1"/>
          <w:sz w:val="21"/>
          <w:szCs w:val="21"/>
          <w:rtl w:val="0"/>
        </w:rPr>
        <w:t xml:space="preserve">From: </w:t>
      </w:r>
      <w:r w:rsidDel="00000000" w:rsidR="00000000" w:rsidRPr="00000000">
        <w:rPr>
          <w:rFonts w:ascii="Calibri" w:cs="Calibri" w:eastAsia="Calibri" w:hAnsi="Calibri"/>
          <w:sz w:val="21"/>
          <w:szCs w:val="21"/>
          <w:rtl w:val="0"/>
        </w:rPr>
        <w:t xml:space="preserve">AI</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Fonts w:ascii="Calibri" w:cs="Calibri" w:eastAsia="Calibri" w:hAnsi="Calibri"/>
          <w:b w:val="1"/>
          <w:bCs w:val="1"/>
          <w:sz w:val="21"/>
          <w:szCs w:val="21"/>
          <w:rtl w:val="0"/>
        </w:rPr>
        <w:t xml:space="preserve">Date: </w:t>
      </w:r>
      <w:r w:rsidDel="00000000" w:rsidR="00000000" w:rsidRPr="00000000">
        <w:rPr>
          <w:rFonts w:ascii="Calibri" w:cs="Calibri" w:eastAsia="Calibri" w:hAnsi="Calibri"/>
          <w:sz w:val="21"/>
          <w:szCs w:val="21"/>
          <w:rtl w:val="0"/>
        </w:rPr>
        <w:t xml:space="preserve">September 26, 2026</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rFonts w:ascii="Calibri" w:cs="Calibri" w:eastAsia="Calibri" w:hAnsi="Calibri"/>
          <w:b w:val="1"/>
          <w:bCs w:val="1"/>
          <w:sz w:val="21"/>
          <w:szCs w:val="21"/>
          <w:rtl w:val="0"/>
        </w:rPr>
        <w:t xml:space="preserve">Re: </w:t>
      </w:r>
      <w:r w:rsidDel="00000000" w:rsidR="00000000" w:rsidRPr="00000000">
        <w:rPr>
          <w:rFonts w:ascii="Calibri" w:cs="Calibri" w:eastAsia="Calibri" w:hAnsi="Calibri"/>
          <w:sz w:val="21"/>
          <w:szCs w:val="21"/>
          <w:rtl w:val="0"/>
        </w:rPr>
        <w:t xml:space="preserve">U.S. Avocado Market Trends — 2025 vs. 2026 Year-to-Date</w:t>
      </w:r>
      <w:r w:rsidDel="00000000" w:rsidR="00000000" w:rsidRPr="00000000">
        <w:rPr>
          <w:rtl w:val="0"/>
        </w:rPr>
      </w:r>
    </w:p>
    <w:p w:rsidR="00000000" w:rsidDel="00000000" w:rsidP="00000000" w:rsidRDefault="00000000" w:rsidRPr="00000000" w14:paraId="00000007">
      <w:pPr>
        <w:pBdr>
          <w:bottom w:color="999999" w:space="0" w:sz="6" w:val="single"/>
        </w:pBdr>
        <w:spacing w:after="200" w:lineRule="auto"/>
        <w:rPr/>
      </w:pPr>
      <w:r w:rsidDel="00000000" w:rsidR="00000000" w:rsidRPr="00000000">
        <w:rPr>
          <w:rtl w:val="0"/>
        </w:rPr>
      </w:r>
    </w:p>
    <w:p w:rsidR="00000000" w:rsidDel="00000000" w:rsidP="00000000" w:rsidRDefault="00000000" w:rsidRPr="00000000" w14:paraId="00000008">
      <w:pPr>
        <w:pStyle w:val="Heading2"/>
        <w:spacing w:after="100" w:before="220" w:lineRule="auto"/>
        <w:rPr/>
      </w:pPr>
      <w:r w:rsidDel="00000000" w:rsidR="00000000" w:rsidRPr="00000000">
        <w:rPr>
          <w:rFonts w:ascii="Calibri" w:cs="Calibri" w:eastAsia="Calibri" w:hAnsi="Calibri"/>
          <w:b w:val="1"/>
          <w:bCs w:val="1"/>
          <w:color w:val="1f3864"/>
          <w:sz w:val="24"/>
          <w:szCs w:val="24"/>
          <w:rtl w:val="0"/>
        </w:rPr>
        <w:t xml:space="preserve">Purpose</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Calibri" w:cs="Calibri" w:eastAsia="Calibri" w:hAnsi="Calibri"/>
          <w:sz w:val="21"/>
          <w:szCs w:val="21"/>
          <w:rtl w:val="0"/>
        </w:rPr>
        <w:t xml:space="preserve">This memo summarizes U.S. retail avocado market trends using Hass Avocado Board weekly scan data for full-year 2025 and the first 32 comparable weeks of 2026 (through the week ending August 9). It compares volume, pricing, and the organic segment to inform category planning and pricing conversations.</w:t>
      </w:r>
      <w:r w:rsidDel="00000000" w:rsidR="00000000" w:rsidRPr="00000000">
        <w:rPr>
          <w:rtl w:val="0"/>
        </w:rPr>
      </w:r>
    </w:p>
    <w:p w:rsidR="00000000" w:rsidDel="00000000" w:rsidP="00000000" w:rsidRDefault="00000000" w:rsidRPr="00000000" w14:paraId="0000000A">
      <w:pPr>
        <w:pStyle w:val="Heading2"/>
        <w:spacing w:after="100" w:before="220" w:lineRule="auto"/>
        <w:rPr/>
      </w:pPr>
      <w:r w:rsidDel="00000000" w:rsidR="00000000" w:rsidRPr="00000000">
        <w:rPr>
          <w:rFonts w:ascii="Calibri" w:cs="Calibri" w:eastAsia="Calibri" w:hAnsi="Calibri"/>
          <w:b w:val="1"/>
          <w:bCs w:val="1"/>
          <w:color w:val="1f3864"/>
          <w:sz w:val="24"/>
          <w:szCs w:val="24"/>
          <w:rtl w:val="0"/>
        </w:rPr>
        <w:t xml:space="preserve">Headline Takeaway</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sz w:val="21"/>
          <w:szCs w:val="21"/>
          <w:rtl w:val="0"/>
        </w:rPr>
        <w:t xml:space="preserve">2026 opened with a conventional-avocado supply surge that pushed prices well below 2025 levels, but that gap has been closing steadily since June as volume growth cools and prices climb back toward last year's range. Organic has been flat to slightly down and continues to lose share of the total category.</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2500"/>
        <w:gridCol w:w="2500"/>
        <w:tblGridChange w:id="0">
          <w:tblGrid>
            <w:gridCol w:w="2500"/>
            <w:gridCol w:w="2500"/>
            <w:gridCol w:w="2500"/>
            <w:gridCol w:w="2500"/>
          </w:tblGrid>
        </w:tblGridChange>
      </w:tblGrid>
      <w:tr>
        <w:trPr>
          <w:cantSplit w:val="0"/>
          <w:tblHeader w:val="0"/>
        </w:trPr>
        <w:tc>
          <w:tcPr>
            <w:shd w:fill="1f3864" w:val="clear"/>
            <w:tcMar>
              <w:top w:w="80.0" w:type="dxa"/>
              <w:left w:w="100.0" w:type="dxa"/>
              <w:bottom w:w="80.0" w:type="dxa"/>
              <w:right w:w="100.0" w:type="dxa"/>
            </w:tcMar>
          </w:tcPr>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color w:val="ffffff"/>
                <w:sz w:val="20"/>
                <w:szCs w:val="20"/>
                <w:rtl w:val="0"/>
              </w:rPr>
              <w:t xml:space="preserve">Metric (Jan–Aug, YoY)</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D">
            <w:pPr>
              <w:jc w:val="center"/>
              <w:rPr/>
            </w:pPr>
            <w:r w:rsidDel="00000000" w:rsidR="00000000" w:rsidRPr="00000000">
              <w:rPr>
                <w:rFonts w:ascii="Calibri" w:cs="Calibri" w:eastAsia="Calibri" w:hAnsi="Calibri"/>
                <w:b w:val="1"/>
                <w:bCs w:val="1"/>
                <w:color w:val="ffffff"/>
                <w:sz w:val="20"/>
                <w:szCs w:val="20"/>
                <w:rtl w:val="0"/>
              </w:rPr>
              <w:t xml:space="preserve">2025</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E">
            <w:pPr>
              <w:jc w:val="center"/>
              <w:rPr/>
            </w:pPr>
            <w:r w:rsidDel="00000000" w:rsidR="00000000" w:rsidRPr="00000000">
              <w:rPr>
                <w:rFonts w:ascii="Calibri" w:cs="Calibri" w:eastAsia="Calibri" w:hAnsi="Calibri"/>
                <w:b w:val="1"/>
                <w:bCs w:val="1"/>
                <w:color w:val="ffffff"/>
                <w:sz w:val="20"/>
                <w:szCs w:val="20"/>
                <w:rtl w:val="0"/>
              </w:rPr>
              <w:t xml:space="preserve">2026</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F">
            <w:pPr>
              <w:jc w:val="center"/>
              <w:rPr/>
            </w:pPr>
            <w:r w:rsidDel="00000000" w:rsidR="00000000" w:rsidRPr="00000000">
              <w:rPr>
                <w:rFonts w:ascii="Calibri" w:cs="Calibri" w:eastAsia="Calibri" w:hAnsi="Calibri"/>
                <w:b w:val="1"/>
                <w:bCs w:val="1"/>
                <w:color w:val="ffffff"/>
                <w:sz w:val="20"/>
                <w:szCs w:val="20"/>
                <w:rtl w:val="0"/>
              </w:rPr>
              <w:t xml:space="preserve">Change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0">
            <w:pPr>
              <w:jc w:val="center"/>
              <w:rPr/>
            </w:pPr>
            <w:r w:rsidDel="00000000" w:rsidR="00000000" w:rsidRPr="00000000">
              <w:rPr>
                <w:rFonts w:ascii="Calibri" w:cs="Calibri" w:eastAsia="Calibri" w:hAnsi="Calibri"/>
                <w:b w:val="0"/>
                <w:bCs w:val="0"/>
                <w:color w:val="000000"/>
                <w:sz w:val="20"/>
                <w:szCs w:val="20"/>
                <w:rtl w:val="0"/>
              </w:rPr>
              <w:t xml:space="preserve">Conventional volume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1">
            <w:pPr>
              <w:jc w:val="center"/>
              <w:rPr/>
            </w:pPr>
            <w:r w:rsidDel="00000000" w:rsidR="00000000" w:rsidRPr="00000000">
              <w:rPr>
                <w:rFonts w:ascii="Calibri" w:cs="Calibri" w:eastAsia="Calibri" w:hAnsi="Calibri"/>
                <w:b w:val="0"/>
                <w:bCs w:val="0"/>
                <w:color w:val="000000"/>
                <w:sz w:val="20"/>
                <w:szCs w:val="20"/>
                <w:rtl w:val="0"/>
              </w:rPr>
              <w:t xml:space="preserve">1.76B lbs✔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2">
            <w:pPr>
              <w:jc w:val="center"/>
              <w:rPr/>
            </w:pPr>
            <w:r w:rsidDel="00000000" w:rsidR="00000000" w:rsidRPr="00000000">
              <w:rPr>
                <w:rFonts w:ascii="Calibri" w:cs="Calibri" w:eastAsia="Calibri" w:hAnsi="Calibri"/>
                <w:b w:val="0"/>
                <w:bCs w:val="0"/>
                <w:color w:val="000000"/>
                <w:sz w:val="20"/>
                <w:szCs w:val="20"/>
                <w:rtl w:val="0"/>
              </w:rPr>
              <w:t xml:space="preserve">2.02B lbs</w:t>
            </w:r>
            <w:r w:rsidDel="00000000" w:rsidR="00000000" w:rsidRPr="00000000">
              <w:rPr>
                <w:rFonts w:ascii="Calibri" w:cs="Calibri" w:eastAsia="Calibri" w:hAnsi="Calibri"/>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3">
            <w:pPr>
              <w:jc w:val="center"/>
              <w:rPr/>
            </w:pPr>
            <w:r w:rsidDel="00000000" w:rsidR="00000000" w:rsidRPr="00000000">
              <w:rPr>
                <w:rFonts w:ascii="Calibri" w:cs="Calibri" w:eastAsia="Calibri" w:hAnsi="Calibri"/>
                <w:b w:val="1"/>
                <w:bCs w:val="1"/>
                <w:color w:val="1f7a3d"/>
                <w:sz w:val="20"/>
                <w:szCs w:val="20"/>
                <w:rtl w:val="0"/>
              </w:rPr>
              <w:t xml:space="preserve">+14.5%</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4">
            <w:pPr>
              <w:jc w:val="center"/>
              <w:rPr/>
            </w:pPr>
            <w:r w:rsidDel="00000000" w:rsidR="00000000" w:rsidRPr="00000000">
              <w:rPr>
                <w:rFonts w:ascii="Calibri" w:cs="Calibri" w:eastAsia="Calibri" w:hAnsi="Calibri"/>
                <w:b w:val="0"/>
                <w:bCs w:val="0"/>
                <w:color w:val="000000"/>
                <w:sz w:val="20"/>
                <w:szCs w:val="20"/>
                <w:rtl w:val="0"/>
              </w:rPr>
              <w:t xml:space="preserve">Conventional avg. price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5">
            <w:pPr>
              <w:jc w:val="center"/>
              <w:rPr/>
            </w:pPr>
            <w:r w:rsidDel="00000000" w:rsidR="00000000" w:rsidRPr="00000000">
              <w:rPr>
                <w:rFonts w:ascii="Calibri" w:cs="Calibri" w:eastAsia="Calibri" w:hAnsi="Calibri"/>
                <w:b w:val="0"/>
                <w:bCs w:val="0"/>
                <w:color w:val="000000"/>
                <w:sz w:val="20"/>
                <w:szCs w:val="20"/>
                <w:rtl w:val="0"/>
              </w:rPr>
              <w:t xml:space="preserve">$1.22/lb</w:t>
            </w:r>
            <w:r w:rsidDel="00000000" w:rsidR="00000000" w:rsidRPr="00000000">
              <w:rPr>
                <w:rFonts w:ascii="Calibri" w:cs="Calibri" w:eastAsia="Calibri" w:hAnsi="Calibri"/>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6">
            <w:pPr>
              <w:jc w:val="center"/>
              <w:rPr/>
            </w:pPr>
            <w:r w:rsidDel="00000000" w:rsidR="00000000" w:rsidRPr="00000000">
              <w:rPr>
                <w:rFonts w:ascii="Calibri" w:cs="Calibri" w:eastAsia="Calibri" w:hAnsi="Calibri"/>
                <w:b w:val="0"/>
                <w:bCs w:val="0"/>
                <w:color w:val="000000"/>
                <w:sz w:val="20"/>
                <w:szCs w:val="20"/>
                <w:rtl w:val="0"/>
              </w:rPr>
              <w:t xml:space="preserve">$0.98/lb</w:t>
            </w:r>
            <w:r w:rsidDel="00000000" w:rsidR="00000000" w:rsidRPr="00000000">
              <w:rPr>
                <w:rFonts w:ascii="Calibri" w:cs="Calibri" w:eastAsia="Calibri" w:hAnsi="Calibri"/>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b22222"/>
                <w:sz w:val="20"/>
                <w:szCs w:val="20"/>
                <w:rtl w:val="0"/>
              </w:rPr>
              <w:t xml:space="preserve">–19.4%</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8">
            <w:pPr>
              <w:jc w:val="center"/>
              <w:rPr/>
            </w:pPr>
            <w:r w:rsidDel="00000000" w:rsidR="00000000" w:rsidRPr="00000000">
              <w:rPr>
                <w:rFonts w:ascii="Calibri" w:cs="Calibri" w:eastAsia="Calibri" w:hAnsi="Calibri"/>
                <w:b w:val="0"/>
                <w:bCs w:val="0"/>
                <w:color w:val="000000"/>
                <w:sz w:val="20"/>
                <w:szCs w:val="20"/>
                <w:rtl w:val="0"/>
              </w:rPr>
              <w:t xml:space="preserve">Organic volume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9">
            <w:pPr>
              <w:jc w:val="center"/>
              <w:rPr/>
            </w:pPr>
            <w:r w:rsidDel="00000000" w:rsidR="00000000" w:rsidRPr="00000000">
              <w:rPr>
                <w:rFonts w:ascii="Calibri" w:cs="Calibri" w:eastAsia="Calibri" w:hAnsi="Calibri"/>
                <w:b w:val="0"/>
                <w:bCs w:val="0"/>
                <w:color w:val="000000"/>
                <w:sz w:val="20"/>
                <w:szCs w:val="20"/>
                <w:rtl w:val="0"/>
              </w:rPr>
              <w:t xml:space="preserve">105.9M lbs</w:t>
            </w:r>
            <w:r w:rsidDel="00000000" w:rsidR="00000000" w:rsidRPr="00000000">
              <w:rPr>
                <w:rFonts w:ascii="Calibri" w:cs="Calibri" w:eastAsia="Calibri" w:hAnsi="Calibri"/>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jc w:val="center"/>
              <w:rPr/>
            </w:pPr>
            <w:r w:rsidDel="00000000" w:rsidR="00000000" w:rsidRPr="00000000">
              <w:rPr>
                <w:rFonts w:ascii="Calibri" w:cs="Calibri" w:eastAsia="Calibri" w:hAnsi="Calibri"/>
                <w:b w:val="0"/>
                <w:bCs w:val="0"/>
                <w:color w:val="000000"/>
                <w:sz w:val="20"/>
                <w:szCs w:val="20"/>
                <w:rtl w:val="0"/>
              </w:rPr>
              <w:t xml:space="preserve">105.1M lbs</w:t>
            </w:r>
            <w:r w:rsidDel="00000000" w:rsidR="00000000" w:rsidRPr="00000000">
              <w:rPr>
                <w:rFonts w:ascii="Calibri" w:cs="Calibri" w:eastAsia="Calibri" w:hAnsi="Calibri"/>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jc w:val="center"/>
              <w:rPr/>
            </w:pPr>
            <w:r w:rsidDel="00000000" w:rsidR="00000000" w:rsidRPr="00000000">
              <w:rPr>
                <w:rFonts w:ascii="Calibri" w:cs="Calibri" w:eastAsia="Calibri" w:hAnsi="Calibri"/>
                <w:b w:val="1"/>
                <w:bCs w:val="1"/>
                <w:color w:val="b22222"/>
                <w:sz w:val="20"/>
                <w:szCs w:val="20"/>
                <w:rtl w:val="0"/>
              </w:rPr>
              <w:t xml:space="preserve">–0.7%</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C">
            <w:pPr>
              <w:jc w:val="center"/>
              <w:rPr/>
            </w:pPr>
            <w:r w:rsidDel="00000000" w:rsidR="00000000" w:rsidRPr="00000000">
              <w:rPr>
                <w:rFonts w:ascii="Calibri" w:cs="Calibri" w:eastAsia="Calibri" w:hAnsi="Calibri"/>
                <w:b w:val="0"/>
                <w:bCs w:val="0"/>
                <w:color w:val="000000"/>
                <w:sz w:val="20"/>
                <w:szCs w:val="20"/>
                <w:rtl w:val="0"/>
              </w:rPr>
              <w:t xml:space="preserve">Organic avg. price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jc w:val="center"/>
              <w:rPr/>
            </w:pPr>
            <w:r w:rsidDel="00000000" w:rsidR="00000000" w:rsidRPr="00000000">
              <w:rPr>
                <w:rFonts w:ascii="Calibri" w:cs="Calibri" w:eastAsia="Calibri" w:hAnsi="Calibri"/>
                <w:b w:val="0"/>
                <w:bCs w:val="0"/>
                <w:color w:val="000000"/>
                <w:sz w:val="20"/>
                <w:szCs w:val="20"/>
                <w:rtl w:val="0"/>
              </w:rPr>
              <w:t xml:space="preserve">$1.74/lb</w:t>
            </w:r>
            <w:r w:rsidDel="00000000" w:rsidR="00000000" w:rsidRPr="00000000">
              <w:rPr>
                <w:rFonts w:ascii="Calibri" w:cs="Calibri" w:eastAsia="Calibri" w:hAnsi="Calibri"/>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E">
            <w:pPr>
              <w:jc w:val="center"/>
              <w:rPr/>
            </w:pPr>
            <w:r w:rsidDel="00000000" w:rsidR="00000000" w:rsidRPr="00000000">
              <w:rPr>
                <w:rFonts w:ascii="Calibri" w:cs="Calibri" w:eastAsia="Calibri" w:hAnsi="Calibri"/>
                <w:b w:val="0"/>
                <w:bCs w:val="0"/>
                <w:color w:val="000000"/>
                <w:sz w:val="20"/>
                <w:szCs w:val="20"/>
                <w:rtl w:val="0"/>
              </w:rPr>
              <w:t xml:space="preserve">$1.56/lb</w:t>
            </w:r>
            <w:r w:rsidDel="00000000" w:rsidR="00000000" w:rsidRPr="00000000">
              <w:rPr>
                <w:rFonts w:ascii="Calibri" w:cs="Calibri" w:eastAsia="Calibri" w:hAnsi="Calibri"/>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jc w:val="center"/>
              <w:rPr/>
            </w:pPr>
            <w:r w:rsidDel="00000000" w:rsidR="00000000" w:rsidRPr="00000000">
              <w:rPr>
                <w:rFonts w:ascii="Calibri" w:cs="Calibri" w:eastAsia="Calibri" w:hAnsi="Calibri"/>
                <w:b w:val="1"/>
                <w:bCs w:val="1"/>
                <w:color w:val="b22222"/>
                <w:sz w:val="20"/>
                <w:szCs w:val="20"/>
                <w:rtl w:val="0"/>
              </w:rPr>
              <w:t xml:space="preserve">–10.3%</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0">
            <w:pPr>
              <w:jc w:val="center"/>
              <w:rPr/>
            </w:pPr>
            <w:r w:rsidDel="00000000" w:rsidR="00000000" w:rsidRPr="00000000">
              <w:rPr>
                <w:rFonts w:ascii="Calibri" w:cs="Calibri" w:eastAsia="Calibri" w:hAnsi="Calibri"/>
                <w:b w:val="0"/>
                <w:bCs w:val="0"/>
                <w:color w:val="000000"/>
                <w:sz w:val="20"/>
                <w:szCs w:val="20"/>
                <w:rtl w:val="0"/>
              </w:rPr>
              <w:t xml:space="preserve">Organic share of volume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jc w:val="center"/>
              <w:rPr/>
            </w:pPr>
            <w:r w:rsidDel="00000000" w:rsidR="00000000" w:rsidRPr="00000000">
              <w:rPr>
                <w:rFonts w:ascii="Calibri" w:cs="Calibri" w:eastAsia="Calibri" w:hAnsi="Calibri"/>
                <w:b w:val="0"/>
                <w:bCs w:val="0"/>
                <w:color w:val="000000"/>
                <w:sz w:val="20"/>
                <w:szCs w:val="20"/>
                <w:rtl w:val="0"/>
              </w:rPr>
              <w:t xml:space="preserve">5.7%</w:t>
            </w:r>
            <w:r w:rsidDel="00000000" w:rsidR="00000000" w:rsidRPr="00000000">
              <w:rPr>
                <w:rFonts w:ascii="Calibri" w:cs="Calibri" w:eastAsia="Calibri" w:hAnsi="Calibri"/>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0"/>
                <w:bCs w:val="0"/>
                <w:color w:val="000000"/>
                <w:sz w:val="20"/>
                <w:szCs w:val="20"/>
                <w:rtl w:val="0"/>
              </w:rPr>
              <w:t xml:space="preserve">4.9%</w:t>
            </w:r>
            <w:r w:rsidDel="00000000" w:rsidR="00000000" w:rsidRPr="00000000">
              <w:rPr>
                <w:rFonts w:ascii="Calibri" w:cs="Calibri" w:eastAsia="Calibri" w:hAnsi="Calibri"/>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b22222"/>
                <w:sz w:val="20"/>
                <w:szCs w:val="20"/>
                <w:rtl w:val="0"/>
              </w:rPr>
              <w:t xml:space="preserve">–0.7 pts</w:t>
            </w:r>
            <w:r w:rsidDel="00000000" w:rsidR="00000000" w:rsidRPr="00000000">
              <w:rPr>
                <w:rFonts w:ascii="Calibri" w:cs="Calibri" w:eastAsia="Calibri" w:hAnsi="Calibri"/>
                <w:rtl w:val="0"/>
              </w:rPr>
              <w:t xml:space="preserve">✔(rounding error)</w:t>
            </w:r>
            <w:r w:rsidDel="00000000" w:rsidR="00000000" w:rsidRPr="00000000">
              <w:rPr>
                <w:rtl w:val="0"/>
              </w:rPr>
            </w:r>
          </w:p>
        </w:tc>
      </w:tr>
    </w:tbl>
    <w:p w:rsidR="00000000" w:rsidDel="00000000" w:rsidP="00000000" w:rsidRDefault="00000000" w:rsidRPr="00000000" w14:paraId="00000024">
      <w:pPr>
        <w:pStyle w:val="Heading2"/>
        <w:spacing w:after="100" w:before="220" w:lineRule="auto"/>
        <w:rPr/>
      </w:pPr>
      <w:r w:rsidDel="00000000" w:rsidR="00000000" w:rsidRPr="00000000">
        <w:rPr>
          <w:rFonts w:ascii="Calibri" w:cs="Calibri" w:eastAsia="Calibri" w:hAnsi="Calibri"/>
          <w:b w:val="1"/>
          <w:bCs w:val="1"/>
          <w:color w:val="1f3864"/>
          <w:sz w:val="24"/>
          <w:szCs w:val="24"/>
          <w:rtl w:val="0"/>
        </w:rPr>
        <w:t xml:space="preserve">1. Conventional Volume Is Up, but Growth Is Decelerating</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Calibri" w:cs="Calibri" w:eastAsia="Calibri" w:hAnsi="Calibri"/>
          <w:sz w:val="21"/>
          <w:szCs w:val="21"/>
          <w:rtl w:val="0"/>
        </w:rPr>
        <w:t xml:space="preserve">Weekly conventional volume ran well ahead of 2025 for most of the first five months of 2026 — often 15–20% above the prior year's comparable week, peaking near 77M</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76M</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 lbs. in early February versus roughly 68M</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 lbs. at 2025's peak. Since June, however, weekly volume has fallen back to the 54–58M</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 lb. range, converging with 2025's pace. The full 32-week volume gain (+14.5%) is therefore front-loaded; the most recent 8 weeks show volume roughly flat year-over-year.</w:t>
      </w:r>
      <w:r w:rsidDel="00000000" w:rsidR="00000000" w:rsidRPr="00000000">
        <w:rPr>
          <w:rtl w:val="0"/>
        </w:rPr>
      </w:r>
    </w:p>
    <w:p w:rsidR="00000000" w:rsidDel="00000000" w:rsidP="00000000" w:rsidRDefault="00000000" w:rsidRPr="00000000" w14:paraId="00000026">
      <w:pPr>
        <w:pStyle w:val="Heading2"/>
        <w:spacing w:after="100" w:before="220" w:lineRule="auto"/>
        <w:rPr/>
      </w:pPr>
      <w:r w:rsidDel="00000000" w:rsidR="00000000" w:rsidRPr="00000000">
        <w:rPr>
          <w:rFonts w:ascii="Calibri" w:cs="Calibri" w:eastAsia="Calibri" w:hAnsi="Calibri"/>
          <w:b w:val="1"/>
          <w:bCs w:val="1"/>
          <w:color w:val="1f3864"/>
          <w:sz w:val="24"/>
          <w:szCs w:val="24"/>
          <w:rtl w:val="0"/>
        </w:rPr>
        <w:t xml:space="preserve">2. Prices Cratered Early, Then Recovered Sharply</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Calibri" w:cs="Calibri" w:eastAsia="Calibri" w:hAnsi="Calibri"/>
          <w:sz w:val="21"/>
          <w:szCs w:val="21"/>
          <w:rtl w:val="0"/>
        </w:rPr>
        <w:t xml:space="preserve">Conventional average selling price (ASP) opened 2026 near $0.90–$0.95/lb., roughly 20–25% below the same weeks in 2025 ($1.13–$1.31/lb.), consistent with the early-year oversupply. Beginning in June, ASP rose quickly — from about $0.97 in late May to a 2026 high of $1.19 in late June — before easing back to $1.06–$1.08 through late July and early August. The 19.4% YTD price decline masks this reversal: the most recent weeks are within roughly 5–10% of 2025 pricing, not 20% below it.</w:t>
      </w:r>
      <w:r w:rsidDel="00000000" w:rsidR="00000000" w:rsidRPr="00000000">
        <w:rPr>
          <w:rtl w:val="0"/>
        </w:rPr>
      </w:r>
    </w:p>
    <w:p w:rsidR="00000000" w:rsidDel="00000000" w:rsidP="00000000" w:rsidRDefault="00000000" w:rsidRPr="00000000" w14:paraId="00000028">
      <w:pPr>
        <w:pStyle w:val="Heading2"/>
        <w:spacing w:after="100" w:before="220" w:lineRule="auto"/>
        <w:rPr/>
      </w:pPr>
      <w:r w:rsidDel="00000000" w:rsidR="00000000" w:rsidRPr="00000000">
        <w:rPr>
          <w:rFonts w:ascii="Calibri" w:cs="Calibri" w:eastAsia="Calibri" w:hAnsi="Calibri"/>
          <w:b w:val="1"/>
          <w:bCs w:val="1"/>
          <w:color w:val="1f3864"/>
          <w:sz w:val="24"/>
          <w:szCs w:val="24"/>
          <w:rtl w:val="0"/>
        </w:rPr>
        <w:t xml:space="preserve">3. Organic Remains a Small, Shrinking Slice of the Category</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Calibri" w:cs="Calibri" w:eastAsia="Calibri" w:hAnsi="Calibri"/>
          <w:sz w:val="21"/>
          <w:szCs w:val="21"/>
          <w:rtl w:val="0"/>
        </w:rPr>
        <w:t xml:space="preserve">Organic volume was essentially flat (–0.7%)</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 while conventional volume rose 14.5%</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 so organic's share of total category volume slipped from 5.7% to 4.9%</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 Organic ASP fell 10.3%</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 to $1.56/lb., a smaller decline than conventional's, so the organic price premium over conventional actually widened (from roughly 43% to about 59% of conventional price).</w:t>
      </w:r>
      <w:r w:rsidDel="00000000" w:rsidR="00000000" w:rsidRPr="00000000">
        <w:rPr>
          <w:rtl w:val="0"/>
        </w:rPr>
      </w:r>
    </w:p>
    <w:p w:rsidR="00000000" w:rsidDel="00000000" w:rsidP="00000000" w:rsidRDefault="00000000" w:rsidRPr="00000000" w14:paraId="0000002A">
      <w:pPr>
        <w:pStyle w:val="Heading2"/>
        <w:spacing w:after="100" w:before="220" w:lineRule="auto"/>
        <w:rPr/>
      </w:pPr>
      <w:r w:rsidDel="00000000" w:rsidR="00000000" w:rsidRPr="00000000">
        <w:rPr>
          <w:rFonts w:ascii="Calibri" w:cs="Calibri" w:eastAsia="Calibri" w:hAnsi="Calibri"/>
          <w:b w:val="1"/>
          <w:bCs w:val="1"/>
          <w:color w:val="1f3864"/>
          <w:sz w:val="24"/>
          <w:szCs w:val="24"/>
          <w:rtl w:val="0"/>
        </w:rPr>
        <w:t xml:space="preserve">4. Mix Shift: More Bagged, Larger Fruit</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Calibri" w:cs="Calibri" w:eastAsia="Calibri" w:hAnsi="Calibri"/>
          <w:sz w:val="21"/>
          <w:szCs w:val="21"/>
          <w:rtl w:val="0"/>
        </w:rPr>
        <w:t xml:space="preserve">Within conventional, the bagged share of volume rose from 39.5% to 41.3%</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 and larger fruit (PLU 4225) gained share (10.6% → 12.8%)</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 while smaller fruit (PLU 4046) lost share (48.5% → 43.5%)</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 — a pattern consistent with the early-2026 supply glut favoring larger, promotable fruit sizes.</w:t>
      </w:r>
      <w:r w:rsidDel="00000000" w:rsidR="00000000" w:rsidRPr="00000000">
        <w:rPr>
          <w:rtl w:val="0"/>
        </w:rPr>
      </w:r>
    </w:p>
    <w:p w:rsidR="00000000" w:rsidDel="00000000" w:rsidP="00000000" w:rsidRDefault="00000000" w:rsidRPr="00000000" w14:paraId="0000002C">
      <w:pPr>
        <w:pStyle w:val="Heading2"/>
        <w:spacing w:after="100" w:before="220" w:lineRule="auto"/>
        <w:rPr/>
      </w:pPr>
      <w:r w:rsidDel="00000000" w:rsidR="00000000" w:rsidRPr="00000000">
        <w:rPr>
          <w:rFonts w:ascii="Calibri" w:cs="Calibri" w:eastAsia="Calibri" w:hAnsi="Calibri"/>
          <w:b w:val="1"/>
          <w:bCs w:val="1"/>
          <w:color w:val="1f3864"/>
          <w:sz w:val="24"/>
          <w:szCs w:val="24"/>
          <w:rtl w:val="0"/>
        </w:rPr>
        <w:t xml:space="preserve">Implications &amp; Recommendation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the 14.5% YTD volume gain and 19.4% price decline as a first-half story, not the current run-rate; recent weeks show near-flat volume and a materially smaller price gap versus 2025.</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Expect continued price firming into late summer/fall as 2026 supply normalizes toward 2025 levels — build replenishment and promo-pricing plans around $1.05–$1.15/lb. rather than early-year lows.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Organic's shrinking share and widening premium warrant a review of organic shelf space and pricing strategy at the next category review.</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Calibri" w:cs="Calibri" w:eastAsia="Calibri" w:hAnsi="Calibri"/>
          <w:i w:val="1"/>
          <w:iCs w:val="1"/>
          <w:sz w:val="21"/>
          <w:szCs w:val="21"/>
          <w:rtl w:val="0"/>
        </w:rPr>
        <w:t xml:space="preserve">Happy to walk through the underlying weekly data or extend this analysis to specific regions on request.</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bdfXVkF4bG+K4P6/oANnr5p6g==">CgMxLjA4AHIhMXhxQ3VtVmlqaU9hOFBqRHZ2enB1OG5UVmpLN2w4WTFv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2026-09-26T19:00:21.683Z</dcterms:created>
  <dc:creator>Un-named</dc:creator>
</cp:coreProperties>
</file>

<file path=docProps/custom.xml><?xml version="1.0" encoding="utf-8"?>
<Properties xmlns="http://schemas.openxmlformats.org/officeDocument/2006/custom-properties" xmlns:vt="http://schemas.openxmlformats.org/officeDocument/2006/docPropsVTypes"/>
</file>